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4EC" w:rsidRPr="001934EC" w:rsidRDefault="00A92BBD" w:rsidP="001934EC">
      <w:pPr>
        <w:shd w:val="clear" w:color="auto" w:fill="FFFFFF"/>
        <w:spacing w:before="100" w:beforeAutospacing="1" w:line="42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sv-S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sv-SE"/>
        </w:rPr>
        <w:t>Prediktion av metabolts s</w:t>
      </w:r>
      <w:r w:rsidR="001934EC" w:rsidRPr="003D78FD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sv-SE"/>
        </w:rPr>
        <w:t>yndrom</w:t>
      </w:r>
    </w:p>
    <w:p w:rsidR="001934EC" w:rsidRPr="001934EC" w:rsidRDefault="001934EC" w:rsidP="001934EC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sv-SE"/>
        </w:rPr>
      </w:pPr>
      <w:r w:rsidRPr="001934EC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sv-SE"/>
        </w:rPr>
        <w:t>Sammanfattning</w:t>
      </w:r>
    </w:p>
    <w:p w:rsidR="001934EC" w:rsidRPr="00E4282F" w:rsidRDefault="001934EC" w:rsidP="001934EC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</w:pP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>Rapporten presenterar en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 analys av metabolt syndrom </w:t>
      </w: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>kallat MetS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 med hjälp av mas</w:t>
      </w: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kininlärning. Data från NHANES 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>National Health a</w:t>
      </w: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>nd Nutrition Examination Survey användes för prediktionsmodeller samt till att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 identifiera viktiga riskfaktorer</w:t>
      </w: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. Gradient Boosting-modellen uppnådde en mycket bra 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prediktionsförmåga (AUC = 0.973) och identifierade triglyserider, midjemått och blodsocker som de viktigaste prediktorerna. Analysen visade </w:t>
      </w:r>
      <w:r w:rsidRPr="00E4282F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 xml:space="preserve">även </w:t>
      </w:r>
      <w:r w:rsidRPr="001934EC">
        <w:rPr>
          <w:rFonts w:ascii="Segoe UI" w:eastAsia="Times New Roman" w:hAnsi="Segoe UI" w:cs="Segoe UI"/>
          <w:color w:val="000000" w:themeColor="text1"/>
          <w:sz w:val="20"/>
          <w:szCs w:val="20"/>
          <w:lang w:eastAsia="sv-SE"/>
        </w:rPr>
        <w:t>signifikanta etniska skillnader där MexAmerican och Hispanic hade högst åldersjusterad risk för MetS.</w:t>
      </w:r>
    </w:p>
    <w:p w:rsidR="005C64B3" w:rsidRPr="00E4282F" w:rsidRDefault="005C64B3" w:rsidP="00974893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Bakgrund</w:t>
      </w:r>
    </w:p>
    <w:p w:rsidR="005C64B3" w:rsidRPr="00E4282F" w:rsidRDefault="005C64B3" w:rsidP="005C64B3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Metabolt syndrom (MetS) är ett tillstånd som kännetecknas av en kombination av metabola riskfaktorer:</w:t>
      </w:r>
    </w:p>
    <w:p w:rsidR="005C64B3" w:rsidRPr="00E4282F" w:rsidRDefault="005C64B3" w:rsidP="005C64B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Bukfetma (ökat midjemått)</w:t>
      </w:r>
    </w:p>
    <w:p w:rsidR="005C64B3" w:rsidRPr="00E4282F" w:rsidRDefault="005C64B3" w:rsidP="005C64B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Höga triglycerider</w:t>
      </w:r>
    </w:p>
    <w:p w:rsidR="005C64B3" w:rsidRPr="00E4282F" w:rsidRDefault="005C64B3" w:rsidP="005C64B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Lågt HDL-kolesterol</w:t>
      </w:r>
    </w:p>
    <w:p w:rsidR="005C64B3" w:rsidRPr="00E4282F" w:rsidRDefault="005C64B3" w:rsidP="005C64B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Högt blodsocker</w:t>
      </w:r>
    </w:p>
    <w:p w:rsidR="005C64B3" w:rsidRPr="00E4282F" w:rsidRDefault="005C64B3" w:rsidP="005C64B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Högt blodtryck</w:t>
      </w:r>
    </w:p>
    <w:p w:rsidR="005C64B3" w:rsidRPr="001934EC" w:rsidRDefault="005C64B3" w:rsidP="001329ED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MetS ökar risken för hjärt-kärlsjukdom, typ 2-diabetes och förtidig död. Tidig identifiering av högriskindivider är därför kliniskt viktigt.</w:t>
      </w:r>
    </w:p>
    <w:p w:rsidR="00856519" w:rsidRPr="00E4282F" w:rsidRDefault="00856519" w:rsidP="00856519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Syfte</w:t>
      </w:r>
    </w:p>
    <w:p w:rsidR="00856519" w:rsidRPr="00E4282F" w:rsidRDefault="00856519" w:rsidP="0058483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Utveckla bra prediktionsmodeller för att identifiera variabler kopplade till</w:t>
      </w:r>
      <w:r w:rsidR="004828F0" w:rsidRPr="00E4282F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E4282F">
        <w:rPr>
          <w:rFonts w:ascii="Segoe UI" w:hAnsi="Segoe UI" w:cs="Segoe UI"/>
          <w:color w:val="000000" w:themeColor="text1"/>
          <w:sz w:val="20"/>
          <w:szCs w:val="20"/>
        </w:rPr>
        <w:t>metabolt syndrom</w:t>
      </w:r>
    </w:p>
    <w:p w:rsidR="00856519" w:rsidRPr="00E4282F" w:rsidRDefault="00856519" w:rsidP="0058483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Identifiera de viktigaste riskfaktorerna för MetS</w:t>
      </w:r>
    </w:p>
    <w:p w:rsidR="00856519" w:rsidRPr="00E4282F" w:rsidRDefault="004828F0" w:rsidP="0058483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Undersöka etniska skillnader för MetSrisk tillsammans med</w:t>
      </w:r>
      <w:r w:rsidR="00856519" w:rsidRPr="00E4282F">
        <w:rPr>
          <w:rFonts w:ascii="Segoe UI" w:hAnsi="Segoe UI" w:cs="Segoe UI"/>
          <w:color w:val="000000" w:themeColor="text1"/>
          <w:sz w:val="20"/>
          <w:szCs w:val="20"/>
        </w:rPr>
        <w:t xml:space="preserve"> ålder</w:t>
      </w:r>
    </w:p>
    <w:p w:rsidR="00856519" w:rsidRPr="00E4282F" w:rsidRDefault="00856519" w:rsidP="0058483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Utvärdera och jämföra olika maskininlärningsmetoder</w:t>
      </w:r>
    </w:p>
    <w:p w:rsidR="009349DE" w:rsidRPr="00E4282F" w:rsidRDefault="009349DE" w:rsidP="009349DE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>Forskningsfrågor</w:t>
      </w:r>
    </w:p>
    <w:p w:rsidR="009349DE" w:rsidRPr="00E4282F" w:rsidRDefault="009349DE" w:rsidP="001329ED">
      <w:pPr>
        <w:pStyle w:val="Ingetavstnd"/>
      </w:pPr>
      <w:r w:rsidRPr="00E4282F">
        <w:t>Vilken maskininlärningsmodell presterar bäst för att predicera metabolt syndrom?</w:t>
      </w:r>
    </w:p>
    <w:p w:rsidR="009349DE" w:rsidRPr="00E4282F" w:rsidRDefault="009349DE" w:rsidP="001329ED">
      <w:pPr>
        <w:pStyle w:val="Ingetavstnd"/>
      </w:pPr>
      <w:r w:rsidRPr="00E4282F">
        <w:t>Vilka variabler är viktigaste prediktorerna för MetS?</w:t>
      </w:r>
    </w:p>
    <w:p w:rsidR="009349DE" w:rsidRPr="00E4282F" w:rsidRDefault="009349DE" w:rsidP="001329ED">
      <w:pPr>
        <w:pStyle w:val="Ingetavstnd"/>
      </w:pPr>
      <w:r w:rsidRPr="00E4282F">
        <w:t>Finns det etniska skillnader i MetS-risk efter justering för ålder?</w:t>
      </w:r>
    </w:p>
    <w:p w:rsidR="009349DE" w:rsidRPr="00E4282F" w:rsidRDefault="009349DE" w:rsidP="001329ED">
      <w:pPr>
        <w:pStyle w:val="Ingetavstnd"/>
      </w:pPr>
      <w:r w:rsidRPr="00E4282F">
        <w:t>Hur förklarar modellerna sina prediktioner?</w:t>
      </w:r>
    </w:p>
    <w:p w:rsidR="00773144" w:rsidRPr="00E4282F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</w:p>
    <w:p w:rsidR="00773144" w:rsidRPr="00E4282F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</w:p>
    <w:p w:rsidR="00773144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</w:p>
    <w:p w:rsidR="001329ED" w:rsidRPr="00E4282F" w:rsidRDefault="001329ED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</w:p>
    <w:p w:rsidR="00773144" w:rsidRPr="00E4282F" w:rsidRDefault="00773144" w:rsidP="00773144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lastRenderedPageBreak/>
        <w:t>Material och Metod</w:t>
      </w:r>
    </w:p>
    <w:p w:rsidR="00773144" w:rsidRPr="00E4282F" w:rsidRDefault="00773144" w:rsidP="0077314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Datakälla:</w:t>
      </w:r>
      <w:r w:rsidRPr="00E4282F">
        <w:rPr>
          <w:rFonts w:ascii="Segoe UI" w:hAnsi="Segoe UI" w:cs="Segoe UI"/>
          <w:color w:val="0F1115"/>
          <w:sz w:val="20"/>
          <w:szCs w:val="20"/>
        </w:rPr>
        <w:t> NHANES (National Health and Nutrition Examination Survey)</w:t>
      </w:r>
    </w:p>
    <w:p w:rsidR="00773144" w:rsidRPr="00E4282F" w:rsidRDefault="00773144" w:rsidP="0077314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Initialt dataset:</w:t>
      </w:r>
      <w:r w:rsidRPr="00E4282F">
        <w:rPr>
          <w:rFonts w:ascii="Segoe UI" w:hAnsi="Segoe UI" w:cs="Segoe UI"/>
          <w:color w:val="0F1115"/>
          <w:sz w:val="20"/>
          <w:szCs w:val="20"/>
        </w:rPr>
        <w:t> 2 401 observationer</w:t>
      </w:r>
    </w:p>
    <w:p w:rsidR="00773144" w:rsidRPr="00E4282F" w:rsidRDefault="00773144" w:rsidP="0077314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Efter rensning:</w:t>
      </w:r>
      <w:r w:rsidRPr="00E4282F">
        <w:rPr>
          <w:rFonts w:ascii="Segoe UI" w:hAnsi="Segoe UI" w:cs="Segoe UI"/>
          <w:color w:val="0F1115"/>
          <w:sz w:val="20"/>
          <w:szCs w:val="20"/>
        </w:rPr>
        <w:t> 2 311 observationer</w:t>
      </w:r>
      <w:r w:rsidR="00191E3D" w:rsidRPr="00E4282F">
        <w:rPr>
          <w:rFonts w:ascii="Segoe UI" w:hAnsi="Segoe UI" w:cs="Segoe UI"/>
          <w:color w:val="0F1115"/>
          <w:sz w:val="20"/>
          <w:szCs w:val="20"/>
        </w:rPr>
        <w:t xml:space="preserve">. </w:t>
      </w: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Bortfall:</w:t>
      </w:r>
      <w:r w:rsidRPr="00E4282F">
        <w:rPr>
          <w:rFonts w:ascii="Segoe UI" w:hAnsi="Segoe UI" w:cs="Segoe UI"/>
          <w:color w:val="0F1115"/>
          <w:sz w:val="20"/>
          <w:szCs w:val="20"/>
        </w:rPr>
        <w:t> 90 rader (3.7%) exkluderades på grund av:</w:t>
      </w:r>
    </w:p>
    <w:p w:rsidR="00773144" w:rsidRPr="00E4282F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Saknade värden på nyckelvariabler (midjemått, BMI, blodsocker, HDL, triglycerider)</w:t>
      </w:r>
    </w:p>
    <w:p w:rsidR="00773144" w:rsidRPr="00E4282F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Fysiologiskt orimliga värden (BMI &lt;12 eller &gt;70, blodsocker &lt;30 eller &gt;500, midjemått &lt;40 eller &gt;200 cm)</w:t>
      </w:r>
    </w:p>
    <w:p w:rsidR="00773144" w:rsidRPr="00E4282F" w:rsidRDefault="00773144" w:rsidP="0077314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</w:p>
    <w:p w:rsidR="00B31F3A" w:rsidRPr="00E4282F" w:rsidRDefault="00B31F3A" w:rsidP="00B31F3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Modeller</w:t>
      </w:r>
    </w:p>
    <w:p w:rsidR="00B31F3A" w:rsidRPr="00E4282F" w:rsidRDefault="00B31F3A" w:rsidP="00B31F3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Två modeller utvärderades:</w:t>
      </w:r>
    </w:p>
    <w:p w:rsidR="00B31F3A" w:rsidRPr="00E4282F" w:rsidRDefault="00B31F3A" w:rsidP="00B31F3A">
      <w:pPr>
        <w:pStyle w:val="Rubrik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Logistisk Regression</w:t>
      </w:r>
    </w:p>
    <w:p w:rsidR="00B31F3A" w:rsidRPr="00E4282F" w:rsidRDefault="00B31F3A" w:rsidP="00B31F3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Varför:</w:t>
      </w:r>
      <w:r w:rsidRPr="00E4282F">
        <w:rPr>
          <w:rFonts w:ascii="Segoe UI" w:hAnsi="Segoe UI" w:cs="Segoe UI"/>
          <w:color w:val="0F1115"/>
          <w:sz w:val="20"/>
          <w:szCs w:val="20"/>
        </w:rPr>
        <w:t> Enkel, tolkningsbar basmodell. Ger koefficienter som kan tolkas som odds ratio.</w:t>
      </w:r>
    </w:p>
    <w:p w:rsidR="00B31F3A" w:rsidRPr="00E4282F" w:rsidRDefault="00B31F3A" w:rsidP="00B31F3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Parametrar:</w:t>
      </w:r>
    </w:p>
    <w:p w:rsidR="00B31F3A" w:rsidRPr="00E4282F" w:rsidRDefault="00B31F3A" w:rsidP="00B31F3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</w:rPr>
        <w:t>max_iter=1000</w:t>
      </w:r>
      <w:r w:rsidRPr="00E4282F">
        <w:rPr>
          <w:rFonts w:ascii="Segoe UI" w:hAnsi="Segoe UI" w:cs="Segoe UI"/>
          <w:color w:val="0F1115"/>
          <w:sz w:val="20"/>
          <w:szCs w:val="20"/>
        </w:rPr>
        <w:t>: Säkerställer konvergens</w:t>
      </w:r>
    </w:p>
    <w:p w:rsidR="00B31F3A" w:rsidRPr="00E4282F" w:rsidRDefault="00B31F3A" w:rsidP="00B31F3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</w:rPr>
        <w:t>class_weight="balanced"</w:t>
      </w:r>
      <w:r w:rsidRPr="00E4282F">
        <w:rPr>
          <w:rFonts w:ascii="Segoe UI" w:hAnsi="Segoe UI" w:cs="Segoe UI"/>
          <w:color w:val="0F1115"/>
          <w:sz w:val="20"/>
          <w:szCs w:val="20"/>
        </w:rPr>
        <w:t>: Hanterar obalans i datan</w:t>
      </w:r>
    </w:p>
    <w:p w:rsidR="00B31F3A" w:rsidRPr="00E4282F" w:rsidRDefault="00B31F3A" w:rsidP="00B31F3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Hög tolkningsbarhet, snabb att träna</w:t>
      </w:r>
    </w:p>
    <w:p w:rsidR="00B31F3A" w:rsidRPr="00E4282F" w:rsidRDefault="00B31F3A" w:rsidP="00B31F3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</w:p>
    <w:p w:rsidR="00B31F3A" w:rsidRPr="00E4282F" w:rsidRDefault="00B31F3A" w:rsidP="00B31F3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  <w:sz w:val="20"/>
          <w:szCs w:val="20"/>
        </w:rPr>
      </w:pPr>
      <w:r w:rsidRPr="00E4282F">
        <w:rPr>
          <w:rFonts w:ascii="Segoe UI" w:hAnsi="Segoe UI" w:cs="Segoe UI"/>
          <w:b/>
          <w:color w:val="0F1115"/>
          <w:sz w:val="20"/>
          <w:szCs w:val="20"/>
        </w:rPr>
        <w:t>Gradient Boosting</w:t>
      </w:r>
    </w:p>
    <w:p w:rsidR="00B31F3A" w:rsidRPr="00E4282F" w:rsidRDefault="00B31F3A" w:rsidP="00B31F3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Kraftfull ensemblemetod som ofta presterar bra på tabulär data.</w:t>
      </w:r>
    </w:p>
    <w:p w:rsidR="009D46C0" w:rsidRPr="00E4282F" w:rsidRDefault="009D46C0" w:rsidP="009D46C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  <w:lang w:val="en-US"/>
        </w:rPr>
        <w:t>n_estimators=100</w:t>
      </w:r>
    </w:p>
    <w:p w:rsidR="009D46C0" w:rsidRPr="00E4282F" w:rsidRDefault="009D46C0" w:rsidP="009D46C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  <w:lang w:val="en-US"/>
        </w:rPr>
        <w:t>learning_rate=0.1</w:t>
      </w:r>
    </w:p>
    <w:p w:rsidR="009D46C0" w:rsidRPr="00E4282F" w:rsidRDefault="009D46C0" w:rsidP="009D46C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  <w:lang w:val="en-US"/>
        </w:rPr>
        <w:t>max_depth=4</w:t>
      </w:r>
    </w:p>
    <w:p w:rsidR="009D46C0" w:rsidRPr="00E4282F" w:rsidRDefault="009D46C0" w:rsidP="009D46C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Style w:val="HTML-kod"/>
          <w:rFonts w:ascii="Segoe UI" w:hAnsi="Segoe UI" w:cs="Segoe UI"/>
          <w:color w:val="0F1115"/>
          <w:shd w:val="clear" w:color="auto" w:fill="EBEEF2"/>
          <w:lang w:val="en-US"/>
        </w:rPr>
        <w:t>min_samples_split=5</w:t>
      </w:r>
    </w:p>
    <w:p w:rsidR="00172167" w:rsidRPr="00E4282F" w:rsidRDefault="00172167" w:rsidP="0017216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00000" w:themeColor="text1"/>
          <w:sz w:val="20"/>
          <w:szCs w:val="20"/>
        </w:rPr>
        <w:t xml:space="preserve">För att </w:t>
      </w:r>
      <w:r w:rsidRPr="00E4282F">
        <w:rPr>
          <w:rFonts w:ascii="Segoe UI" w:hAnsi="Segoe UI" w:cs="Segoe UI"/>
          <w:color w:val="0F1115"/>
          <w:sz w:val="20"/>
          <w:szCs w:val="20"/>
        </w:rPr>
        <w:t>fångar komplexa icke-linjära samband. Hanterar interaktioner automatiskt. Robust mot överanpassning. Ger feature importance.</w:t>
      </w:r>
    </w:p>
    <w:p w:rsidR="00F7128C" w:rsidRDefault="00F7128C" w:rsidP="00BA17BF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</w:p>
    <w:p w:rsidR="00BA17BF" w:rsidRPr="00E4282F" w:rsidRDefault="00BA17BF" w:rsidP="00BA17BF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Modelltolkning</w:t>
      </w:r>
    </w:p>
    <w:p w:rsidR="00BA17BF" w:rsidRPr="00E4282F" w:rsidRDefault="00BA17BF" w:rsidP="00BA17BF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SHAP (SHapley Additive exPlanations)</w:t>
      </w:r>
      <w:r w:rsidRPr="00E4282F">
        <w:rPr>
          <w:rFonts w:ascii="Segoe UI" w:hAnsi="Segoe UI" w:cs="Segoe UI"/>
          <w:color w:val="0F1115"/>
          <w:sz w:val="20"/>
          <w:szCs w:val="20"/>
        </w:rPr>
        <w:t> användes för att tolka modellerna.</w:t>
      </w:r>
    </w:p>
    <w:p w:rsidR="00BA17BF" w:rsidRPr="00E4282F" w:rsidRDefault="00FE1605" w:rsidP="00FE160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För att få </w:t>
      </w:r>
      <w:r w:rsidR="00BA17BF" w:rsidRPr="00E4282F">
        <w:rPr>
          <w:rFonts w:ascii="Segoe UI" w:hAnsi="Segoe UI" w:cs="Segoe UI"/>
          <w:color w:val="0F1115"/>
          <w:sz w:val="20"/>
          <w:szCs w:val="20"/>
        </w:rPr>
        <w:t>lokala förklaringar för individuella prediktioner</w:t>
      </w:r>
      <w:r w:rsidRPr="00E4282F">
        <w:rPr>
          <w:rFonts w:ascii="Segoe UI" w:hAnsi="Segoe UI" w:cs="Segoe UI"/>
          <w:color w:val="0F1115"/>
          <w:sz w:val="20"/>
          <w:szCs w:val="20"/>
        </w:rPr>
        <w:t xml:space="preserve">. </w:t>
      </w:r>
      <w:r w:rsidR="00BA17BF" w:rsidRPr="00E4282F">
        <w:rPr>
          <w:rFonts w:ascii="Segoe UI" w:hAnsi="Segoe UI" w:cs="Segoe UI"/>
          <w:color w:val="0F1115"/>
          <w:sz w:val="20"/>
          <w:szCs w:val="20"/>
        </w:rPr>
        <w:t>Visar hur varje feature bidrar till prediktionen</w:t>
      </w:r>
      <w:r w:rsidRPr="00E4282F">
        <w:rPr>
          <w:rFonts w:ascii="Segoe UI" w:hAnsi="Segoe UI" w:cs="Segoe UI"/>
          <w:color w:val="0F1115"/>
          <w:sz w:val="20"/>
          <w:szCs w:val="20"/>
        </w:rPr>
        <w:t>. Ger b</w:t>
      </w:r>
      <w:r w:rsidR="00BA17BF" w:rsidRPr="00E4282F">
        <w:rPr>
          <w:rFonts w:ascii="Segoe UI" w:hAnsi="Segoe UI" w:cs="Segoe UI"/>
          <w:color w:val="0F1115"/>
          <w:sz w:val="20"/>
          <w:szCs w:val="20"/>
        </w:rPr>
        <w:t>åde global och lokal tolkning</w:t>
      </w:r>
      <w:r w:rsidRPr="00E4282F">
        <w:rPr>
          <w:rFonts w:ascii="Segoe UI" w:hAnsi="Segoe UI" w:cs="Segoe UI"/>
          <w:color w:val="0F1115"/>
          <w:sz w:val="20"/>
          <w:szCs w:val="20"/>
        </w:rPr>
        <w:t>.</w:t>
      </w:r>
    </w:p>
    <w:p w:rsidR="00BA17BF" w:rsidRPr="00E4282F" w:rsidRDefault="00BA17BF" w:rsidP="00FE1605">
      <w:pPr>
        <w:rPr>
          <w:rFonts w:ascii="Segoe UI" w:hAnsi="Segoe UI" w:cs="Segoe UI"/>
          <w:color w:val="000000" w:themeColor="text1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00000" w:themeColor="text1"/>
          <w:sz w:val="20"/>
          <w:szCs w:val="20"/>
        </w:rPr>
        <w:t>För Gradient Boosting:</w:t>
      </w:r>
      <w:r w:rsidR="00FE1605" w:rsidRPr="00E4282F">
        <w:rPr>
          <w:rStyle w:val="Stark"/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FE1605" w:rsidRPr="00E4282F">
        <w:rPr>
          <w:rStyle w:val="Stark"/>
          <w:rFonts w:ascii="Segoe UI" w:hAnsi="Segoe UI" w:cs="Segoe UI"/>
          <w:b w:val="0"/>
          <w:color w:val="000000" w:themeColor="text1"/>
          <w:sz w:val="20"/>
          <w:szCs w:val="20"/>
        </w:rPr>
        <w:t>TreeExplainer</w:t>
      </w:r>
      <w:r w:rsidRPr="00E4282F">
        <w:rPr>
          <w:rFonts w:ascii="Segoe UI" w:hAnsi="Segoe UI" w:cs="Segoe UI"/>
          <w:b/>
          <w:color w:val="000000" w:themeColor="text1"/>
          <w:sz w:val="20"/>
          <w:szCs w:val="20"/>
        </w:rPr>
        <w:t> </w:t>
      </w:r>
      <w:r w:rsidRPr="00E4282F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Pr="00E4282F">
        <w:rPr>
          <w:rStyle w:val="Stark"/>
          <w:rFonts w:ascii="Segoe UI" w:hAnsi="Segoe UI" w:cs="Segoe UI"/>
          <w:color w:val="000000" w:themeColor="text1"/>
          <w:sz w:val="20"/>
          <w:szCs w:val="20"/>
        </w:rPr>
        <w:t>För Logistisk Regression:</w:t>
      </w:r>
      <w:r w:rsidR="00FE1605" w:rsidRPr="00E4282F">
        <w:rPr>
          <w:rStyle w:val="Stark"/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FE1605" w:rsidRPr="00E4282F">
        <w:rPr>
          <w:rStyle w:val="Stark"/>
          <w:rFonts w:ascii="Segoe UI" w:hAnsi="Segoe UI" w:cs="Segoe UI"/>
          <w:b w:val="0"/>
          <w:color w:val="000000" w:themeColor="text1"/>
          <w:sz w:val="20"/>
          <w:szCs w:val="20"/>
        </w:rPr>
        <w:t>LinearExplainer</w:t>
      </w:r>
      <w:r w:rsidR="00FE1605" w:rsidRPr="00E4282F">
        <w:rPr>
          <w:rStyle w:val="Stark"/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E4282F">
        <w:rPr>
          <w:rFonts w:ascii="Segoe UI" w:hAnsi="Segoe UI" w:cs="Segoe UI"/>
          <w:color w:val="000000" w:themeColor="text1"/>
          <w:sz w:val="20"/>
          <w:szCs w:val="20"/>
        </w:rPr>
        <w:t> </w:t>
      </w:r>
    </w:p>
    <w:p w:rsidR="00BA17BF" w:rsidRPr="00E4282F" w:rsidRDefault="00BA17BF" w:rsidP="00BA17BF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Etnisk analys</w:t>
      </w:r>
    </w:p>
    <w:p w:rsidR="00BA17BF" w:rsidRPr="00E4282F" w:rsidRDefault="00BA17BF" w:rsidP="00F7128C">
      <w:pPr>
        <w:pStyle w:val="Ingetavstnd"/>
      </w:pPr>
      <w:r w:rsidRPr="00E4282F">
        <w:t>För att undersöka etniska skillnader genomfördes:</w:t>
      </w:r>
    </w:p>
    <w:p w:rsidR="00BA17BF" w:rsidRPr="00E4282F" w:rsidRDefault="00BA17BF" w:rsidP="00F7128C">
      <w:pPr>
        <w:pStyle w:val="Ingetavstnd"/>
      </w:pPr>
      <w:r w:rsidRPr="00E4282F">
        <w:t>Deskriptiv analys av MetS-frekvens per etnicitet</w:t>
      </w:r>
    </w:p>
    <w:p w:rsidR="00BA17BF" w:rsidRPr="00E4282F" w:rsidRDefault="00BA17BF" w:rsidP="00F7128C">
      <w:pPr>
        <w:pStyle w:val="Ingetavstnd"/>
      </w:pPr>
      <w:r w:rsidRPr="00E4282F">
        <w:t>Chi2-test för skillnader i MetS-frekvens</w:t>
      </w:r>
    </w:p>
    <w:p w:rsidR="00BA17BF" w:rsidRPr="00E4282F" w:rsidRDefault="00BA17BF" w:rsidP="00F7128C">
      <w:pPr>
        <w:pStyle w:val="Ingetavstnd"/>
      </w:pPr>
      <w:r w:rsidRPr="00E4282F">
        <w:t>Logistisk regression med ålder som kovariat för åldersjustering</w:t>
      </w:r>
    </w:p>
    <w:p w:rsidR="00BA17BF" w:rsidRPr="00E4282F" w:rsidRDefault="00BA17BF" w:rsidP="00F7128C">
      <w:pPr>
        <w:pStyle w:val="Ingetavstnd"/>
      </w:pPr>
      <w:r w:rsidRPr="00E4282F">
        <w:t>Beräkning av odds ratio (OR) per etnicitet</w:t>
      </w:r>
    </w:p>
    <w:p w:rsidR="00533629" w:rsidRPr="00E4282F" w:rsidRDefault="00533629">
      <w:pPr>
        <w:rPr>
          <w:rFonts w:ascii="Segoe UI" w:hAnsi="Segoe UI" w:cs="Segoe UI"/>
          <w:color w:val="000000" w:themeColor="text1"/>
          <w:sz w:val="20"/>
          <w:szCs w:val="20"/>
        </w:rPr>
      </w:pPr>
    </w:p>
    <w:p w:rsidR="00C74B97" w:rsidRPr="00E4282F" w:rsidRDefault="00C74B97">
      <w:pPr>
        <w:rPr>
          <w:rFonts w:ascii="Segoe UI" w:hAnsi="Segoe UI" w:cs="Segoe UI"/>
          <w:color w:val="000000" w:themeColor="text1"/>
          <w:sz w:val="20"/>
          <w:szCs w:val="20"/>
        </w:rPr>
      </w:pPr>
    </w:p>
    <w:p w:rsidR="007664DA" w:rsidRPr="00E4282F" w:rsidRDefault="007664D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Resultat</w:t>
      </w:r>
    </w:p>
    <w:p w:rsidR="007664DA" w:rsidRPr="00E4282F" w:rsidRDefault="007664DA" w:rsidP="001845A9">
      <w:pPr>
        <w:pStyle w:val="Ingetavstnd"/>
      </w:pPr>
      <w:r w:rsidRPr="00E4282F">
        <w:t>Modellprestanda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39"/>
        <w:gridCol w:w="902"/>
        <w:gridCol w:w="819"/>
        <w:gridCol w:w="1482"/>
        <w:gridCol w:w="1199"/>
        <w:gridCol w:w="1432"/>
      </w:tblGrid>
      <w:tr w:rsidR="007664DA" w:rsidRPr="00E4282F" w:rsidTr="0076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Modell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AUC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Precision (MetS)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Recall (MetS)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F1-score (MetS)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Logistisk Regression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0.930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0.90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0.87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Gradient Boosting (default)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0.973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0.90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0.87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Gradient Boosting (optimerad)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0.973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0.90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0.87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1845A9">
            <w:pPr>
              <w:pStyle w:val="Ingetavstnd"/>
            </w:pPr>
            <w:r w:rsidRPr="00E4282F">
              <w:t>0.86</w:t>
            </w:r>
          </w:p>
        </w:tc>
      </w:tr>
    </w:tbl>
    <w:p w:rsidR="007664DA" w:rsidRPr="00E4282F" w:rsidRDefault="007664DA" w:rsidP="001845A9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Gradient Boosting presterar bättre än logistisk regression</w:t>
      </w:r>
      <w:r w:rsidRPr="00E4282F">
        <w:t> med AUC 0.973 vs 0.930.</w:t>
      </w:r>
    </w:p>
    <w:p w:rsidR="007664DA" w:rsidRPr="00E4282F" w:rsidRDefault="007664DA" w:rsidP="001845A9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Optimering gav ingen förbättring</w:t>
      </w:r>
      <w:r w:rsidR="008E1156" w:rsidRPr="00E4282F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,</w:t>
      </w:r>
      <w:r w:rsidRPr="00E4282F">
        <w:t> </w:t>
      </w:r>
      <w:r w:rsidR="00B03CB6" w:rsidRPr="00E4282F">
        <w:t>default</w:t>
      </w:r>
      <w:r w:rsidRPr="00E4282F">
        <w:t>parametrarna var redan nära optimala.</w:t>
      </w:r>
    </w:p>
    <w:p w:rsidR="009A4D2E" w:rsidRPr="00E4282F" w:rsidRDefault="009A4D2E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</w:p>
    <w:p w:rsidR="009A4D2E" w:rsidRPr="00E4282F" w:rsidRDefault="009A4D2E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noProof/>
          <w:color w:val="0F1115"/>
          <w:sz w:val="20"/>
          <w:szCs w:val="20"/>
        </w:rPr>
        <w:lastRenderedPageBreak/>
        <w:drawing>
          <wp:inline distT="0" distB="0" distL="0" distR="0">
            <wp:extent cx="4748599" cy="2377440"/>
            <wp:effectExtent l="19050" t="0" r="0" b="0"/>
            <wp:docPr id="2" name="Bildobjekt 1" descr="tha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at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805" cy="237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DA" w:rsidRPr="00E4282F" w:rsidRDefault="007664DA" w:rsidP="009A4D2E">
      <w:pPr>
        <w:pStyle w:val="Ingetavstnd"/>
        <w:rPr>
          <w:rFonts w:ascii="Segoe UI" w:hAnsi="Segoe UI" w:cs="Segoe UI"/>
          <w:b/>
          <w:sz w:val="20"/>
          <w:szCs w:val="20"/>
        </w:rPr>
      </w:pPr>
      <w:r w:rsidRPr="00E4282F">
        <w:rPr>
          <w:rFonts w:ascii="Segoe UI" w:hAnsi="Segoe UI" w:cs="Segoe UI"/>
          <w:b/>
          <w:sz w:val="20"/>
          <w:szCs w:val="20"/>
        </w:rPr>
        <w:t>Modellöverensstämmelse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61"/>
        <w:gridCol w:w="4755"/>
      </w:tblGrid>
      <w:tr w:rsidR="007664DA" w:rsidRPr="00E4282F" w:rsidTr="0076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Resultat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Överensstämmelse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Style w:val="Stark"/>
                <w:rFonts w:ascii="Segoe UI" w:hAnsi="Segoe UI" w:cs="Segoe UI"/>
                <w:sz w:val="20"/>
                <w:szCs w:val="20"/>
              </w:rPr>
              <w:t>98.3%</w:t>
            </w:r>
            <w:r w:rsidRPr="00E4282F">
              <w:rPr>
                <w:rFonts w:ascii="Segoe UI" w:hAnsi="Segoe UI" w:cs="Segoe UI"/>
                <w:sz w:val="20"/>
                <w:szCs w:val="20"/>
              </w:rPr>
              <w:t> (455 av 463)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Oense fall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9A4D2E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Style w:val="Stark"/>
                <w:rFonts w:ascii="Segoe UI" w:hAnsi="Segoe UI" w:cs="Segoe UI"/>
                <w:sz w:val="20"/>
                <w:szCs w:val="20"/>
              </w:rPr>
              <w:t>1.7%</w:t>
            </w:r>
            <w:r w:rsidRPr="00E4282F">
              <w:rPr>
                <w:rFonts w:ascii="Segoe UI" w:hAnsi="Segoe UI" w:cs="Segoe UI"/>
                <w:sz w:val="20"/>
                <w:szCs w:val="20"/>
              </w:rPr>
              <w:t> (8 av 463)</w:t>
            </w:r>
          </w:p>
        </w:tc>
      </w:tr>
    </w:tbl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445B7A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De</w:t>
      </w:r>
      <w:r w:rsidR="00445B7A" w:rsidRPr="00445B7A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t framkom</w:t>
      </w:r>
      <w:r w:rsidRPr="00445B7A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 xml:space="preserve"> 8 oense fall</w:t>
      </w:r>
      <w:r w:rsidR="00445B7A" w:rsidRPr="00445B7A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 xml:space="preserve"> som</w:t>
      </w:r>
      <w:r w:rsidRPr="00E4282F">
        <w:rPr>
          <w:rFonts w:ascii="Segoe UI" w:hAnsi="Segoe UI" w:cs="Segoe UI"/>
          <w:color w:val="0F1115"/>
          <w:sz w:val="20"/>
          <w:szCs w:val="20"/>
        </w:rPr>
        <w:t> kännetecknades av: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Medelålder: 50.1 år (jämfört med 47.9 år i testdatasetet)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Midjemått: 113.0 cm (jämfört med 98.0 cm)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BMI: 33.2 (jämfört med 28.6)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Blodsocker: 114.6 mg/dL (jämfört med 109.7)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Lägre triglycerider:</w:t>
      </w:r>
      <w:r w:rsidRPr="00E4282F">
        <w:rPr>
          <w:rFonts w:ascii="Segoe UI" w:hAnsi="Segoe UI" w:cs="Segoe UI"/>
          <w:b/>
          <w:sz w:val="20"/>
          <w:szCs w:val="20"/>
        </w:rPr>
        <w:t> </w:t>
      </w:r>
      <w:r w:rsidRPr="00E4282F">
        <w:rPr>
          <w:rFonts w:ascii="Segoe UI" w:hAnsi="Segoe UI" w:cs="Segoe UI"/>
          <w:sz w:val="20"/>
          <w:szCs w:val="20"/>
        </w:rPr>
        <w:t>99.1 mg/dL (jämfört med 125.3)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Slutsats:</w:t>
      </w:r>
      <w:r w:rsidR="009A4D2E" w:rsidRPr="00E4282F">
        <w:rPr>
          <w:rFonts w:ascii="Segoe UI" w:hAnsi="Segoe UI" w:cs="Segoe UI"/>
          <w:color w:val="0F1115"/>
          <w:sz w:val="20"/>
          <w:szCs w:val="20"/>
        </w:rPr>
        <w:t> Oense fall/</w:t>
      </w:r>
      <w:r w:rsidRPr="00E4282F">
        <w:rPr>
          <w:rFonts w:ascii="Segoe UI" w:hAnsi="Segoe UI" w:cs="Segoe UI"/>
          <w:color w:val="0F1115"/>
          <w:sz w:val="20"/>
          <w:szCs w:val="20"/>
        </w:rPr>
        <w:t>personer i gråzonen med 1-2 MetS-kriterier uppfyllda, där modellerna är osäkra.</w:t>
      </w:r>
    </w:p>
    <w:p w:rsidR="007664DA" w:rsidRPr="00445B7A" w:rsidRDefault="00445B7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445B7A">
        <w:rPr>
          <w:rFonts w:ascii="Segoe UI" w:hAnsi="Segoe UI" w:cs="Segoe UI"/>
          <w:color w:val="0F1115"/>
          <w:sz w:val="20"/>
          <w:szCs w:val="20"/>
        </w:rPr>
        <w:t>De viktigaste p</w:t>
      </w:r>
      <w:r w:rsidR="007664DA" w:rsidRPr="00445B7A">
        <w:rPr>
          <w:rFonts w:ascii="Segoe UI" w:hAnsi="Segoe UI" w:cs="Segoe UI"/>
          <w:color w:val="0F1115"/>
          <w:sz w:val="20"/>
          <w:szCs w:val="20"/>
        </w:rPr>
        <w:t>rediktorer</w:t>
      </w:r>
      <w:r w:rsidRPr="00445B7A">
        <w:rPr>
          <w:rFonts w:ascii="Segoe UI" w:hAnsi="Segoe UI" w:cs="Segoe UI"/>
          <w:color w:val="0F1115"/>
          <w:sz w:val="20"/>
          <w:szCs w:val="20"/>
        </w:rPr>
        <w:t>na</w:t>
      </w:r>
    </w:p>
    <w:p w:rsidR="007664DA" w:rsidRPr="00E4282F" w:rsidRDefault="00445B7A" w:rsidP="007664DA">
      <w:pPr>
        <w:pStyle w:val="Rubrik4"/>
        <w:shd w:val="clear" w:color="auto" w:fill="FFFFFF"/>
        <w:spacing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Från SHAP-analys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Triglycerider</w:t>
      </w:r>
      <w:r w:rsidRPr="00E4282F">
        <w:rPr>
          <w:rFonts w:ascii="Segoe UI" w:hAnsi="Segoe UI" w:cs="Segoe UI"/>
          <w:sz w:val="20"/>
          <w:szCs w:val="20"/>
        </w:rPr>
        <w:t> - högst påverkan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Midjemått (WaistCirc)</w:t>
      </w:r>
      <w:r w:rsidRPr="00E4282F">
        <w:rPr>
          <w:rFonts w:ascii="Segoe UI" w:hAnsi="Segoe UI" w:cs="Segoe UI"/>
          <w:sz w:val="20"/>
          <w:szCs w:val="20"/>
        </w:rPr>
        <w:t> - näst högst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Blodsocker (BloodGlucose)</w:t>
      </w:r>
      <w:r w:rsidRPr="00E4282F">
        <w:rPr>
          <w:rFonts w:ascii="Segoe UI" w:hAnsi="Segoe UI" w:cs="Segoe UI"/>
          <w:sz w:val="20"/>
          <w:szCs w:val="20"/>
        </w:rPr>
        <w:t> - tredje viktigast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HDL</w:t>
      </w:r>
      <w:r w:rsidRPr="00E4282F">
        <w:rPr>
          <w:rFonts w:ascii="Segoe UI" w:hAnsi="Segoe UI" w:cs="Segoe UI"/>
          <w:sz w:val="20"/>
          <w:szCs w:val="20"/>
        </w:rPr>
        <w:t> - negativt samband (högt HDL minskar risken)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Ålder</w:t>
      </w:r>
      <w:r w:rsidRPr="00E4282F">
        <w:rPr>
          <w:rFonts w:ascii="Segoe UI" w:hAnsi="Segoe UI" w:cs="Segoe UI"/>
          <w:sz w:val="20"/>
          <w:szCs w:val="20"/>
        </w:rPr>
        <w:t> - ökar risken med åldern</w:t>
      </w:r>
    </w:p>
    <w:p w:rsidR="007664DA" w:rsidRPr="00E4282F" w:rsidRDefault="007664DA" w:rsidP="008E1156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Kön (Male)</w:t>
      </w:r>
      <w:r w:rsidRPr="00E4282F">
        <w:rPr>
          <w:rFonts w:ascii="Segoe UI" w:hAnsi="Segoe UI" w:cs="Segoe UI"/>
          <w:sz w:val="20"/>
          <w:szCs w:val="20"/>
        </w:rPr>
        <w:t> - lägre risk för män i denna modell</w:t>
      </w:r>
    </w:p>
    <w:p w:rsidR="00F301E7" w:rsidRPr="00E4282F" w:rsidRDefault="00F301E7" w:rsidP="007664DA">
      <w:pPr>
        <w:pStyle w:val="Rubrik4"/>
        <w:shd w:val="clear" w:color="auto" w:fill="FFFFFF"/>
        <w:spacing w:after="200" w:line="351" w:lineRule="atLeast"/>
        <w:rPr>
          <w:rFonts w:ascii="Segoe UI" w:eastAsia="Times New Roman" w:hAnsi="Segoe UI" w:cs="Segoe UI"/>
          <w:b w:val="0"/>
          <w:bCs w:val="0"/>
          <w:i w:val="0"/>
          <w:iCs w:val="0"/>
          <w:color w:val="0F1115"/>
          <w:sz w:val="20"/>
          <w:szCs w:val="20"/>
          <w:lang w:eastAsia="sv-SE"/>
        </w:rPr>
      </w:pPr>
    </w:p>
    <w:p w:rsidR="008E1156" w:rsidRPr="00E4282F" w:rsidRDefault="008E1156" w:rsidP="008E1156">
      <w:pPr>
        <w:rPr>
          <w:rFonts w:ascii="Segoe UI" w:hAnsi="Segoe UI" w:cs="Segoe UI"/>
          <w:sz w:val="20"/>
          <w:szCs w:val="20"/>
          <w:lang w:eastAsia="sv-SE"/>
        </w:rPr>
      </w:pPr>
    </w:p>
    <w:p w:rsidR="008E1156" w:rsidRDefault="008E1156" w:rsidP="008E1156">
      <w:pPr>
        <w:rPr>
          <w:rFonts w:ascii="Segoe UI" w:hAnsi="Segoe UI" w:cs="Segoe UI"/>
          <w:sz w:val="20"/>
          <w:szCs w:val="20"/>
          <w:lang w:eastAsia="sv-SE"/>
        </w:rPr>
      </w:pPr>
    </w:p>
    <w:p w:rsidR="00445B7A" w:rsidRPr="00E4282F" w:rsidRDefault="00445B7A" w:rsidP="008E1156">
      <w:pPr>
        <w:rPr>
          <w:rFonts w:ascii="Segoe UI" w:hAnsi="Segoe UI" w:cs="Segoe UI"/>
          <w:sz w:val="20"/>
          <w:szCs w:val="20"/>
          <w:lang w:eastAsia="sv-SE"/>
        </w:rPr>
      </w:pPr>
    </w:p>
    <w:p w:rsidR="007664DA" w:rsidRPr="00E4282F" w:rsidRDefault="007664DA" w:rsidP="007664DA">
      <w:pPr>
        <w:pStyle w:val="Rubrik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lastRenderedPageBreak/>
        <w:t>Inbyggd Feature Importance (Gradient Boosting):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94"/>
        <w:gridCol w:w="4822"/>
      </w:tblGrid>
      <w:tr w:rsidR="007664DA" w:rsidRPr="00E4282F" w:rsidTr="0076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b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b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b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b/>
                <w:sz w:val="20"/>
                <w:szCs w:val="20"/>
              </w:rPr>
              <w:t>Importance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BloodGlucose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35.4%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Triglycerides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23.9%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WaistCirc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12.3%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HDL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9.9%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BMI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9.7%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Sex_Male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5.0%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Age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2.7%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UricAcid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0.7%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Race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F301E7">
            <w:pPr>
              <w:pStyle w:val="Ingetavstnd"/>
              <w:rPr>
                <w:rFonts w:ascii="Segoe UI" w:hAnsi="Segoe UI" w:cs="Segoe UI"/>
                <w:sz w:val="20"/>
                <w:szCs w:val="20"/>
              </w:rPr>
            </w:pPr>
            <w:r w:rsidRPr="00E4282F">
              <w:rPr>
                <w:rFonts w:ascii="Segoe UI" w:hAnsi="Segoe UI" w:cs="Segoe UI"/>
                <w:sz w:val="20"/>
                <w:szCs w:val="20"/>
              </w:rPr>
              <w:t>&lt;0.2%</w:t>
            </w:r>
          </w:p>
        </w:tc>
      </w:tr>
    </w:tbl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Skillnad mellan SHAP och inbyggd importance:</w:t>
      </w:r>
    </w:p>
    <w:p w:rsidR="007664DA" w:rsidRPr="00E4282F" w:rsidRDefault="007664DA" w:rsidP="00F804C7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Inbyggd importance</w:t>
      </w:r>
      <w:r w:rsidRPr="00E4282F">
        <w:rPr>
          <w:rFonts w:ascii="Segoe UI" w:hAnsi="Segoe UI" w:cs="Segoe UI"/>
          <w:sz w:val="20"/>
          <w:szCs w:val="20"/>
        </w:rPr>
        <w:t> mäter hur ofta en feature används i träden</w:t>
      </w:r>
    </w:p>
    <w:p w:rsidR="007664DA" w:rsidRPr="00E4282F" w:rsidRDefault="007664DA" w:rsidP="00F804C7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SHAP</w:t>
      </w:r>
      <w:r w:rsidRPr="00E4282F">
        <w:rPr>
          <w:rFonts w:ascii="Segoe UI" w:hAnsi="Segoe UI" w:cs="Segoe UI"/>
          <w:sz w:val="20"/>
          <w:szCs w:val="20"/>
        </w:rPr>
        <w:t> mäter den faktiska påverkan på prediktioner</w:t>
      </w:r>
    </w:p>
    <w:p w:rsidR="009A4D2E" w:rsidRPr="00D37DFE" w:rsidRDefault="007664DA" w:rsidP="00D37DFE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Triglycerider har störst faktisk påverkan, men bl</w:t>
      </w:r>
      <w:r w:rsidR="00D37DFE">
        <w:rPr>
          <w:rFonts w:ascii="Segoe UI" w:hAnsi="Segoe UI" w:cs="Segoe UI"/>
          <w:sz w:val="20"/>
          <w:szCs w:val="20"/>
        </w:rPr>
        <w:t>odsocker används oftast i träde</w:t>
      </w:r>
    </w:p>
    <w:p w:rsidR="00F301E7" w:rsidRPr="00E4282F" w:rsidRDefault="00D37DFE" w:rsidP="00F301E7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  <w:lang w:eastAsia="sv-SE"/>
        </w:rPr>
        <w:lastRenderedPageBreak/>
        <w:drawing>
          <wp:inline distT="0" distB="0" distL="0" distR="0">
            <wp:extent cx="4059970" cy="5101910"/>
            <wp:effectExtent l="19050" t="0" r="0" b="0"/>
            <wp:docPr id="3" name="Bildobjekt 2" descr="thi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s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471" cy="51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E7" w:rsidRPr="00E4282F" w:rsidRDefault="00F301E7" w:rsidP="00F301E7">
      <w:pPr>
        <w:rPr>
          <w:rFonts w:ascii="Segoe UI" w:hAnsi="Segoe UI" w:cs="Segoe UI"/>
          <w:sz w:val="20"/>
          <w:szCs w:val="20"/>
        </w:rPr>
      </w:pPr>
    </w:p>
    <w:p w:rsidR="00F301E7" w:rsidRPr="00E4282F" w:rsidRDefault="00F301E7" w:rsidP="00F301E7">
      <w:pPr>
        <w:rPr>
          <w:rFonts w:ascii="Segoe UI" w:hAnsi="Segoe UI" w:cs="Segoe UI"/>
          <w:sz w:val="20"/>
          <w:szCs w:val="20"/>
        </w:rPr>
      </w:pPr>
    </w:p>
    <w:p w:rsidR="009A4D2E" w:rsidRPr="00E4282F" w:rsidRDefault="009A4D2E" w:rsidP="009A4D2E">
      <w:pPr>
        <w:rPr>
          <w:rFonts w:ascii="Segoe UI" w:hAnsi="Segoe UI" w:cs="Segoe UI"/>
          <w:sz w:val="20"/>
          <w:szCs w:val="20"/>
        </w:rPr>
      </w:pP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</w:p>
    <w:p w:rsidR="00994C68" w:rsidRPr="00E4282F" w:rsidRDefault="00994C68" w:rsidP="007664DA">
      <w:pPr>
        <w:pStyle w:val="Rubrik4"/>
        <w:shd w:val="clear" w:color="auto" w:fill="FFFFFF"/>
        <w:spacing w:line="351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noProof/>
          <w:color w:val="0F1115"/>
          <w:sz w:val="20"/>
          <w:szCs w:val="20"/>
          <w:lang w:eastAsia="sv-SE"/>
        </w:rPr>
        <w:lastRenderedPageBreak/>
        <w:drawing>
          <wp:inline distT="0" distB="0" distL="0" distR="0">
            <wp:extent cx="4346216" cy="3123609"/>
            <wp:effectExtent l="19050" t="0" r="0" b="0"/>
            <wp:docPr id="1" name="Bildobjekt 0" descr="th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a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110" cy="31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B8" w:rsidRPr="00E4282F" w:rsidRDefault="00EE5EB8" w:rsidP="00994C68">
      <w:pPr>
        <w:pStyle w:val="Ingetavstnd"/>
        <w:rPr>
          <w:rFonts w:ascii="Segoe UI" w:hAnsi="Segoe UI" w:cs="Segoe UI"/>
          <w:b/>
          <w:sz w:val="20"/>
          <w:szCs w:val="20"/>
          <w:lang w:val="en-US"/>
        </w:rPr>
      </w:pPr>
    </w:p>
    <w:p w:rsidR="007664DA" w:rsidRPr="00E4282F" w:rsidRDefault="007664DA" w:rsidP="00994C68">
      <w:pPr>
        <w:pStyle w:val="Ingetavstnd"/>
        <w:rPr>
          <w:rFonts w:ascii="Segoe UI" w:hAnsi="Segoe UI" w:cs="Segoe UI"/>
          <w:sz w:val="20"/>
          <w:szCs w:val="20"/>
          <w:lang w:val="en-US"/>
        </w:rPr>
      </w:pPr>
      <w:r w:rsidRPr="00E4282F">
        <w:rPr>
          <w:rFonts w:ascii="Segoe UI" w:hAnsi="Segoe UI" w:cs="Segoe UI"/>
          <w:b/>
          <w:sz w:val="20"/>
          <w:szCs w:val="20"/>
          <w:lang w:val="en-US"/>
        </w:rPr>
        <w:t>Chi2</w:t>
      </w:r>
      <w:r w:rsidRPr="00E4282F">
        <w:rPr>
          <w:rFonts w:ascii="Segoe UI" w:hAnsi="Segoe UI" w:cs="Segoe UI"/>
          <w:sz w:val="20"/>
          <w:szCs w:val="20"/>
          <w:lang w:val="en-US"/>
        </w:rPr>
        <w:t>-test</w:t>
      </w:r>
    </w:p>
    <w:p w:rsidR="007664DA" w:rsidRPr="00E4282F" w:rsidRDefault="007664DA" w:rsidP="00994C68">
      <w:pPr>
        <w:pStyle w:val="Ingetavstnd"/>
        <w:rPr>
          <w:rFonts w:ascii="Segoe UI" w:hAnsi="Segoe UI" w:cs="Segoe UI"/>
          <w:sz w:val="20"/>
          <w:szCs w:val="20"/>
          <w:lang w:val="en-US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  <w:lang w:val="en-US"/>
        </w:rPr>
        <w:t>Chi2:</w:t>
      </w:r>
      <w:r w:rsidRPr="00E4282F">
        <w:rPr>
          <w:rFonts w:ascii="Segoe UI" w:hAnsi="Segoe UI" w:cs="Segoe UI"/>
          <w:sz w:val="20"/>
          <w:szCs w:val="20"/>
          <w:lang w:val="en-US"/>
        </w:rPr>
        <w:t> 28.40</w:t>
      </w:r>
    </w:p>
    <w:p w:rsidR="007664DA" w:rsidRPr="00E4282F" w:rsidRDefault="007664DA" w:rsidP="00994C68">
      <w:pPr>
        <w:pStyle w:val="Ingetavstnd"/>
        <w:rPr>
          <w:rFonts w:ascii="Segoe UI" w:hAnsi="Segoe UI" w:cs="Segoe UI"/>
          <w:sz w:val="20"/>
          <w:szCs w:val="20"/>
          <w:lang w:val="en-US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  <w:lang w:val="en-US"/>
        </w:rPr>
        <w:t>p-värde:</w:t>
      </w:r>
      <w:r w:rsidRPr="00E4282F">
        <w:rPr>
          <w:rFonts w:ascii="Segoe UI" w:hAnsi="Segoe UI" w:cs="Segoe UI"/>
          <w:sz w:val="20"/>
          <w:szCs w:val="20"/>
          <w:lang w:val="en-US"/>
        </w:rPr>
        <w:t> &lt; 0.001</w:t>
      </w:r>
    </w:p>
    <w:p w:rsidR="007664DA" w:rsidRPr="00E4282F" w:rsidRDefault="007664DA" w:rsidP="00994C6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Slutsats:</w:t>
      </w:r>
      <w:r w:rsidRPr="00E4282F">
        <w:rPr>
          <w:rFonts w:ascii="Segoe UI" w:hAnsi="Segoe UI" w:cs="Segoe UI"/>
          <w:color w:val="0F1115"/>
          <w:sz w:val="20"/>
          <w:szCs w:val="20"/>
        </w:rPr>
        <w:t> Skillnaderna i MetS-frekvens mellan etniciteter är statistiskt signifikanta.</w:t>
      </w:r>
    </w:p>
    <w:p w:rsidR="007664DA" w:rsidRPr="00E4282F" w:rsidRDefault="007664DA" w:rsidP="007664DA">
      <w:pPr>
        <w:pStyle w:val="Rubrik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Åldersjusterad Odds Ratio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8"/>
        <w:gridCol w:w="4260"/>
        <w:gridCol w:w="2098"/>
      </w:tblGrid>
      <w:tr w:rsidR="007664DA" w:rsidRPr="00E4282F" w:rsidTr="0076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Etnicitet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Åldersjusterad OR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Risknivå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MexAmerican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2.31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🔴</w:t>
            </w:r>
            <w:r w:rsidRPr="00E4282F">
              <w:t xml:space="preserve"> HÖG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Hispanic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1.83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🔴</w:t>
            </w:r>
            <w:r w:rsidRPr="00E4282F">
              <w:t xml:space="preserve"> HÖG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White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1.51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🟡</w:t>
            </w:r>
            <w:r w:rsidRPr="00E4282F">
              <w:t xml:space="preserve"> MEDEL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Black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1.40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🟡</w:t>
            </w:r>
            <w:r w:rsidRPr="00E4282F">
              <w:t xml:space="preserve"> MEDEL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Other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1.28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🟢</w:t>
            </w:r>
            <w:r w:rsidRPr="00E4282F">
              <w:t xml:space="preserve"> LÄGRE</w:t>
            </w:r>
          </w:p>
        </w:tc>
      </w:tr>
      <w:tr w:rsidR="007664DA" w:rsidRPr="00E4282F" w:rsidTr="007664DA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Asian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t>1.00 (referens)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7664DA" w:rsidRPr="00E4282F" w:rsidRDefault="007664DA" w:rsidP="00D37DFE">
            <w:pPr>
              <w:pStyle w:val="Ingetavstnd"/>
            </w:pPr>
            <w:r w:rsidRPr="00E4282F">
              <w:rPr>
                <w:rFonts w:ascii="Calibri" w:hAnsi="Calibri" w:cs="Calibri"/>
              </w:rPr>
              <w:t>🟢</w:t>
            </w:r>
            <w:r w:rsidRPr="00E4282F">
              <w:t xml:space="preserve"> LÄGRE</w:t>
            </w:r>
          </w:p>
        </w:tc>
      </w:tr>
    </w:tbl>
    <w:p w:rsidR="00F3380A" w:rsidRPr="00E4282F" w:rsidRDefault="00F3380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</w:p>
    <w:p w:rsidR="00445B7A" w:rsidRDefault="00445B7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</w:p>
    <w:p w:rsidR="00445B7A" w:rsidRPr="00445B7A" w:rsidRDefault="00445B7A" w:rsidP="00445B7A"/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lastRenderedPageBreak/>
        <w:t>Motsägelsefulla fall</w:t>
      </w:r>
    </w:p>
    <w:p w:rsidR="007664DA" w:rsidRPr="00E4282F" w:rsidRDefault="00F3380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 xml:space="preserve">Det var </w:t>
      </w:r>
      <w:r w:rsidR="007664DA" w:rsidRPr="00E4282F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29 personer</w:t>
      </w:r>
      <w:r w:rsidR="007664DA" w:rsidRPr="00E4282F">
        <w:rPr>
          <w:rFonts w:ascii="Segoe UI" w:hAnsi="Segoe UI" w:cs="Segoe UI"/>
          <w:color w:val="0F1115"/>
          <w:sz w:val="20"/>
          <w:szCs w:val="20"/>
        </w:rPr>
        <w:t> hade 0-1 MetS-kriterier uppfyllda men var märkta som MetS.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Kännetecken:</w:t>
      </w:r>
    </w:p>
    <w:p w:rsidR="007664DA" w:rsidRPr="00E4282F" w:rsidRDefault="007664DA" w:rsidP="00EE5EB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Medelålder: 55.4 år (7 år äldre än genomsnittet)</w:t>
      </w:r>
    </w:p>
    <w:p w:rsidR="007664DA" w:rsidRPr="00E4282F" w:rsidRDefault="007664DA" w:rsidP="00EE5EB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 xml:space="preserve">Midjemått: </w:t>
      </w:r>
      <w:proofErr w:type="gramStart"/>
      <w:r w:rsidRPr="00E4282F">
        <w:rPr>
          <w:rFonts w:ascii="Segoe UI" w:hAnsi="Segoe UI" w:cs="Segoe UI"/>
          <w:sz w:val="20"/>
          <w:szCs w:val="20"/>
        </w:rPr>
        <w:t>102.8</w:t>
      </w:r>
      <w:proofErr w:type="gramEnd"/>
      <w:r w:rsidRPr="00E4282F">
        <w:rPr>
          <w:rFonts w:ascii="Segoe UI" w:hAnsi="Segoe UI" w:cs="Segoe UI"/>
          <w:sz w:val="20"/>
          <w:szCs w:val="20"/>
        </w:rPr>
        <w:t xml:space="preserve"> cm (högre än genomsnittet)</w:t>
      </w:r>
    </w:p>
    <w:p w:rsidR="007664DA" w:rsidRPr="00E4282F" w:rsidRDefault="007664DA" w:rsidP="00EE5EB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BMI: 30.2 (högre än genomsnittet)</w:t>
      </w:r>
    </w:p>
    <w:p w:rsidR="007664DA" w:rsidRPr="00E4282F" w:rsidRDefault="007664DA" w:rsidP="00EE5EB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HDL: 48.7 (lägre än genomsnittet)</w:t>
      </w:r>
    </w:p>
    <w:p w:rsidR="007664DA" w:rsidRPr="00E4282F" w:rsidRDefault="007664DA" w:rsidP="00EE5EB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Överrepresentation av Black (34.5% vs 22.7%) och Hispanic (20.7% vs 10.7%)</w:t>
      </w:r>
    </w:p>
    <w:p w:rsidR="00EE5EB8" w:rsidRPr="00D37DFE" w:rsidRDefault="007664DA" w:rsidP="00D37DFE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Endast 1 person</w:t>
      </w:r>
      <w:r w:rsidRPr="00E4282F">
        <w:rPr>
          <w:rFonts w:ascii="Segoe UI" w:hAnsi="Segoe UI" w:cs="Segoe UI"/>
          <w:sz w:val="20"/>
          <w:szCs w:val="20"/>
        </w:rPr>
        <w:t> hade</w:t>
      </w:r>
      <w:r w:rsidR="00F3380A" w:rsidRPr="00E4282F">
        <w:rPr>
          <w:rFonts w:ascii="Segoe UI" w:hAnsi="Segoe UI" w:cs="Segoe UI"/>
          <w:sz w:val="20"/>
          <w:szCs w:val="20"/>
        </w:rPr>
        <w:t xml:space="preserve"> 3+ kriterier uppfyllda men utan</w:t>
      </w:r>
      <w:r w:rsidRPr="00E4282F">
        <w:rPr>
          <w:rFonts w:ascii="Segoe UI" w:hAnsi="Segoe UI" w:cs="Segoe UI"/>
          <w:sz w:val="20"/>
          <w:szCs w:val="20"/>
        </w:rPr>
        <w:t xml:space="preserve"> MetS.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Modellval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Gradient Boosting</w:t>
      </w:r>
      <w:r w:rsidRPr="00E4282F">
        <w:rPr>
          <w:rFonts w:ascii="Segoe UI" w:hAnsi="Segoe UI" w:cs="Segoe UI"/>
          <w:color w:val="0F1115"/>
          <w:sz w:val="20"/>
          <w:szCs w:val="20"/>
        </w:rPr>
        <w:t> valdes som slutgiltig modell baserat på:</w:t>
      </w:r>
    </w:p>
    <w:p w:rsidR="007664DA" w:rsidRPr="00E4282F" w:rsidRDefault="007664DA" w:rsidP="00D37DFE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Bäst prestanda:</w:t>
      </w:r>
      <w:r w:rsidRPr="00E4282F">
        <w:t> AUC 0.973 vs 0.930 för logistisk regression</w:t>
      </w:r>
    </w:p>
    <w:p w:rsidR="007664DA" w:rsidRPr="00E4282F" w:rsidRDefault="007664DA" w:rsidP="00D37DFE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Flexibilitet:</w:t>
      </w:r>
      <w:r w:rsidRPr="00E4282F">
        <w:t> Fångar icke-linjära samband och interaktioner</w:t>
      </w:r>
    </w:p>
    <w:p w:rsidR="007664DA" w:rsidRPr="00E4282F" w:rsidRDefault="007664DA" w:rsidP="00D37DFE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Robusthet:</w:t>
      </w:r>
      <w:r w:rsidRPr="00E4282F">
        <w:t> Mindre känslig för extremvärden</w:t>
      </w:r>
    </w:p>
    <w:p w:rsidR="007664DA" w:rsidRPr="00E4282F" w:rsidRDefault="007664DA" w:rsidP="00D37DFE">
      <w:pPr>
        <w:pStyle w:val="Ingetavstnd"/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Tolkningsbarhet:</w:t>
      </w:r>
      <w:r w:rsidRPr="00E4282F">
        <w:t> SHAP möjliggör förklaring av individuella prediktioner</w:t>
      </w:r>
    </w:p>
    <w:p w:rsidR="00F3380A" w:rsidRPr="00E4282F" w:rsidRDefault="00F3380A" w:rsidP="007664DA">
      <w:pPr>
        <w:pStyle w:val="ds-markdown-paragraph"/>
        <w:shd w:val="clear" w:color="auto" w:fill="FFFFFF"/>
        <w:spacing w:before="200" w:beforeAutospacing="0" w:after="200" w:afterAutospacing="0"/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</w:pP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Logistisk regression</w:t>
      </w:r>
      <w:r w:rsidRPr="00E4282F">
        <w:rPr>
          <w:rFonts w:ascii="Segoe UI" w:hAnsi="Segoe UI" w:cs="Segoe UI"/>
          <w:color w:val="0F1115"/>
          <w:sz w:val="20"/>
          <w:szCs w:val="20"/>
        </w:rPr>
        <w:t> användes som basmodell för:</w:t>
      </w:r>
    </w:p>
    <w:p w:rsidR="007664DA" w:rsidRPr="00E4282F" w:rsidRDefault="007664DA" w:rsidP="00F3380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 Visar värdet av mer komplexa modeller</w:t>
      </w:r>
      <w:r w:rsidR="00F3380A" w:rsidRPr="00E4282F">
        <w:rPr>
          <w:rFonts w:ascii="Segoe UI" w:hAnsi="Segoe UI" w:cs="Segoe UI"/>
          <w:color w:val="0F1115"/>
          <w:sz w:val="20"/>
          <w:szCs w:val="20"/>
        </w:rPr>
        <w:t xml:space="preserve">, </w:t>
      </w:r>
      <w:r w:rsidRPr="00E4282F">
        <w:rPr>
          <w:rStyle w:val="Stark"/>
          <w:rFonts w:ascii="Segoe UI" w:eastAsiaTheme="majorEastAsia" w:hAnsi="Segoe UI" w:cs="Segoe UI"/>
          <w:b w:val="0"/>
          <w:color w:val="0F1115"/>
          <w:sz w:val="20"/>
          <w:szCs w:val="20"/>
        </w:rPr>
        <w:t>Tolkningsbarhet:</w:t>
      </w:r>
      <w:r w:rsidRPr="00E4282F">
        <w:rPr>
          <w:rFonts w:ascii="Segoe UI" w:hAnsi="Segoe UI" w:cs="Segoe UI"/>
          <w:color w:val="0F1115"/>
          <w:sz w:val="20"/>
          <w:szCs w:val="20"/>
        </w:rPr>
        <w:t> Enkel förklaring av odds ratio</w:t>
      </w:r>
      <w:r w:rsidR="00F3380A" w:rsidRPr="00E4282F">
        <w:rPr>
          <w:rFonts w:ascii="Segoe UI" w:hAnsi="Segoe UI" w:cs="Segoe UI"/>
          <w:color w:val="0F1115"/>
          <w:sz w:val="20"/>
          <w:szCs w:val="20"/>
        </w:rPr>
        <w:t>. Läkare är vana vid odds.</w:t>
      </w:r>
    </w:p>
    <w:p w:rsidR="007664DA" w:rsidRPr="00E4282F" w:rsidRDefault="00D37DFE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De viktigaste r</w:t>
      </w:r>
      <w:r w:rsidR="007664DA" w:rsidRPr="00E4282F">
        <w:rPr>
          <w:rFonts w:ascii="Segoe UI" w:hAnsi="Segoe UI" w:cs="Segoe UI"/>
          <w:color w:val="0F1115"/>
          <w:sz w:val="20"/>
          <w:szCs w:val="20"/>
        </w:rPr>
        <w:t>iskfaktorer</w:t>
      </w:r>
      <w:r>
        <w:rPr>
          <w:rFonts w:ascii="Segoe UI" w:hAnsi="Segoe UI" w:cs="Segoe UI"/>
          <w:color w:val="0F1115"/>
          <w:sz w:val="20"/>
          <w:szCs w:val="20"/>
        </w:rPr>
        <w:t>na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Resultaten bekräftar klinisk kunskap: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Triglycerider</w:t>
      </w:r>
      <w:r w:rsidRPr="00E4282F">
        <w:rPr>
          <w:rFonts w:ascii="Segoe UI" w:hAnsi="Segoe UI" w:cs="Segoe UI"/>
          <w:sz w:val="20"/>
          <w:szCs w:val="20"/>
        </w:rPr>
        <w:t> - central komponent i MetS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Midjemått</w:t>
      </w:r>
      <w:r w:rsidRPr="00E4282F">
        <w:rPr>
          <w:rFonts w:ascii="Segoe UI" w:hAnsi="Segoe UI" w:cs="Segoe UI"/>
          <w:sz w:val="20"/>
          <w:szCs w:val="20"/>
        </w:rPr>
        <w:t> - mått på central fetma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Blodsocker</w:t>
      </w:r>
      <w:r w:rsidRPr="00E4282F">
        <w:rPr>
          <w:rFonts w:ascii="Segoe UI" w:hAnsi="Segoe UI" w:cs="Segoe UI"/>
          <w:sz w:val="20"/>
          <w:szCs w:val="20"/>
        </w:rPr>
        <w:t> - indikator på insulinresistens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HDL</w:t>
      </w:r>
      <w:r w:rsidRPr="00E4282F">
        <w:rPr>
          <w:rFonts w:ascii="Segoe UI" w:hAnsi="Segoe UI" w:cs="Segoe UI"/>
          <w:sz w:val="20"/>
          <w:szCs w:val="20"/>
        </w:rPr>
        <w:t> - skyddande faktor (negativt samband)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Klinisk implikation:</w:t>
      </w:r>
      <w:r w:rsidRPr="00E4282F">
        <w:rPr>
          <w:rFonts w:ascii="Segoe UI" w:hAnsi="Segoe UI" w:cs="Segoe UI"/>
          <w:sz w:val="20"/>
          <w:szCs w:val="20"/>
        </w:rPr>
        <w:t> Dessa variabler bör prioriteras vid screening.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Etniska Skillnader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MexAmerican och Hispanic</w:t>
      </w:r>
      <w:r w:rsidRPr="00E4282F">
        <w:rPr>
          <w:rFonts w:ascii="Segoe UI" w:hAnsi="Segoe UI" w:cs="Segoe UI"/>
          <w:color w:val="0F1115"/>
          <w:sz w:val="20"/>
          <w:szCs w:val="20"/>
        </w:rPr>
        <w:t> har högst åldersjusterad risk för MetS.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Möjliga förklaringar: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Genetiska faktorer</w:t>
      </w:r>
      <w:r w:rsidRPr="00E4282F">
        <w:rPr>
          <w:rFonts w:ascii="Segoe UI" w:hAnsi="Segoe UI" w:cs="Segoe UI"/>
          <w:sz w:val="20"/>
          <w:szCs w:val="20"/>
        </w:rPr>
        <w:t> - olika populationer har olika genetisk predisposition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Kostvanor</w:t>
      </w:r>
      <w:r w:rsidRPr="00E4282F">
        <w:rPr>
          <w:rFonts w:ascii="Segoe UI" w:hAnsi="Segoe UI" w:cs="Segoe UI"/>
          <w:sz w:val="20"/>
          <w:szCs w:val="20"/>
        </w:rPr>
        <w:t> - traditionell kost kan påverka risken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Socioekonomiska faktorer</w:t>
      </w:r>
      <w:r w:rsidRPr="00E4282F">
        <w:rPr>
          <w:rFonts w:ascii="Segoe UI" w:hAnsi="Segoe UI" w:cs="Segoe UI"/>
          <w:sz w:val="20"/>
          <w:szCs w:val="20"/>
        </w:rPr>
        <w:t> - tillgång till vård och hälsokunskap</w:t>
      </w:r>
    </w:p>
    <w:p w:rsidR="005870F8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Metabola skillnader</w:t>
      </w:r>
      <w:r w:rsidRPr="00E4282F">
        <w:rPr>
          <w:rFonts w:ascii="Segoe UI" w:hAnsi="Segoe UI" w:cs="Segoe UI"/>
          <w:sz w:val="20"/>
          <w:szCs w:val="20"/>
        </w:rPr>
        <w:t> - olika trösklar för insulinresistens</w:t>
      </w:r>
    </w:p>
    <w:p w:rsidR="005870F8" w:rsidRPr="00E4282F" w:rsidRDefault="005870F8" w:rsidP="005870F8">
      <w:pPr>
        <w:pStyle w:val="Ingetavstnd"/>
        <w:rPr>
          <w:rFonts w:ascii="Segoe UI" w:hAnsi="Segoe UI" w:cs="Segoe UI"/>
          <w:sz w:val="20"/>
          <w:szCs w:val="20"/>
        </w:rPr>
      </w:pP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Klinisk relevans: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Screening bör prioritera högriskgrupper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Preventionsinsatser bör anpassas efter etnisk bakgrund</w:t>
      </w:r>
    </w:p>
    <w:p w:rsidR="007664DA" w:rsidRPr="00E4282F" w:rsidRDefault="007664DA" w:rsidP="005870F8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Lägre trösklar för intervention i högriskgrupper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lastRenderedPageBreak/>
        <w:t>Ålderseffekt</w:t>
      </w:r>
    </w:p>
    <w:p w:rsidR="00C92B60" w:rsidRPr="00E4282F" w:rsidRDefault="007664DA" w:rsidP="005870F8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Ålder var en stark prediktor för MetS (koefficient </w:t>
      </w:r>
      <w:proofErr w:type="gramStart"/>
      <w:r w:rsidRPr="00E4282F">
        <w:rPr>
          <w:rFonts w:ascii="Segoe UI" w:hAnsi="Segoe UI" w:cs="Segoe UI"/>
          <w:color w:val="0F1115"/>
          <w:sz w:val="20"/>
          <w:szCs w:val="20"/>
        </w:rPr>
        <w:t>0.573</w:t>
      </w:r>
      <w:proofErr w:type="gramEnd"/>
      <w:r w:rsidRPr="00E4282F">
        <w:rPr>
          <w:rFonts w:ascii="Segoe UI" w:hAnsi="Segoe UI" w:cs="Segoe UI"/>
          <w:color w:val="0F1115"/>
          <w:sz w:val="20"/>
          <w:szCs w:val="20"/>
        </w:rPr>
        <w:t xml:space="preserve"> i åldersjusterad modell).</w:t>
      </w:r>
      <w:r w:rsidR="005870F8" w:rsidRPr="00E4282F">
        <w:rPr>
          <w:rFonts w:ascii="Segoe UI" w:hAnsi="Segoe UI" w:cs="Segoe UI"/>
          <w:color w:val="0F1115"/>
          <w:sz w:val="20"/>
          <w:szCs w:val="20"/>
        </w:rPr>
        <w:t xml:space="preserve"> </w:t>
      </w:r>
      <w:r w:rsidRPr="00E4282F">
        <w:rPr>
          <w:rFonts w:ascii="Segoe UI" w:hAnsi="Segoe UI" w:cs="Segoe UI"/>
          <w:color w:val="0F1115"/>
          <w:sz w:val="20"/>
          <w:szCs w:val="20"/>
        </w:rPr>
        <w:t>Äldre personer bör screenas oftare</w:t>
      </w:r>
      <w:r w:rsidR="005870F8" w:rsidRPr="00E4282F">
        <w:rPr>
          <w:rFonts w:ascii="Segoe UI" w:hAnsi="Segoe UI" w:cs="Segoe UI"/>
          <w:color w:val="0F1115"/>
          <w:sz w:val="20"/>
          <w:szCs w:val="20"/>
        </w:rPr>
        <w:t xml:space="preserve">. </w:t>
      </w:r>
      <w:r w:rsidRPr="00E4282F">
        <w:rPr>
          <w:rFonts w:ascii="Segoe UI" w:hAnsi="Segoe UI" w:cs="Segoe UI"/>
          <w:color w:val="0F1115"/>
          <w:sz w:val="20"/>
          <w:szCs w:val="20"/>
        </w:rPr>
        <w:t>Prevention bör starta i yngre ålder för högriskgrupper</w:t>
      </w:r>
      <w:r w:rsidR="00C92B60" w:rsidRPr="00E4282F">
        <w:rPr>
          <w:rFonts w:ascii="Segoe UI" w:hAnsi="Segoe UI" w:cs="Segoe UI"/>
          <w:color w:val="0F1115"/>
          <w:sz w:val="20"/>
          <w:szCs w:val="20"/>
        </w:rPr>
        <w:t>.</w:t>
      </w:r>
    </w:p>
    <w:p w:rsidR="007664DA" w:rsidRPr="00E4282F" w:rsidRDefault="00B535B0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Gråzoner</w:t>
      </w:r>
    </w:p>
    <w:p w:rsidR="007664DA" w:rsidRPr="00E4282F" w:rsidRDefault="005535DD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De 8 oense fallen, 29 motsägelsefulla personer </w:t>
      </w:r>
      <w:r w:rsidR="007664DA" w:rsidRPr="00E4282F">
        <w:rPr>
          <w:rFonts w:ascii="Segoe UI" w:hAnsi="Segoe UI" w:cs="Segoe UI"/>
          <w:color w:val="0F1115"/>
          <w:sz w:val="20"/>
          <w:szCs w:val="20"/>
        </w:rPr>
        <w:t>i gråzonen.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Kännetecken:</w:t>
      </w:r>
    </w:p>
    <w:p w:rsidR="007664DA" w:rsidRPr="00E4282F" w:rsidRDefault="007664DA" w:rsidP="002A03CB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1-2 MetS-kriterier uppfyllda</w:t>
      </w:r>
    </w:p>
    <w:p w:rsidR="007664DA" w:rsidRPr="00E4282F" w:rsidRDefault="007664DA" w:rsidP="002A03CB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Osäkra kliniska bilder</w:t>
      </w:r>
    </w:p>
    <w:p w:rsidR="007664DA" w:rsidRPr="00E4282F" w:rsidRDefault="007664DA" w:rsidP="002A03CB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Modellerna är osäkra (sannolikheter nära 50</w:t>
      </w:r>
      <w:r w:rsidR="00FC4788">
        <w:rPr>
          <w:rFonts w:ascii="Segoe UI" w:hAnsi="Segoe UI" w:cs="Segoe UI"/>
          <w:sz w:val="20"/>
          <w:szCs w:val="20"/>
        </w:rPr>
        <w:t xml:space="preserve"> </w:t>
      </w:r>
      <w:r w:rsidRPr="00E4282F">
        <w:rPr>
          <w:rFonts w:ascii="Segoe UI" w:hAnsi="Segoe UI" w:cs="Segoe UI"/>
          <w:sz w:val="20"/>
          <w:szCs w:val="20"/>
        </w:rPr>
        <w:t>%)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Modellerna är</w:t>
      </w:r>
      <w:r w:rsidR="002A03CB" w:rsidRPr="00E4282F">
        <w:rPr>
          <w:rFonts w:ascii="Segoe UI" w:hAnsi="Segoe UI" w:cs="Segoe UI"/>
          <w:color w:val="0F1115"/>
          <w:sz w:val="20"/>
          <w:szCs w:val="20"/>
        </w:rPr>
        <w:t xml:space="preserve"> visar </w:t>
      </w:r>
      <w:r w:rsidRPr="00E4282F">
        <w:rPr>
          <w:rFonts w:ascii="Segoe UI" w:hAnsi="Segoe UI" w:cs="Segoe UI"/>
          <w:color w:val="0F1115"/>
          <w:sz w:val="20"/>
          <w:szCs w:val="20"/>
        </w:rPr>
        <w:t>osäkerhet</w:t>
      </w:r>
      <w:r w:rsidR="002A03CB" w:rsidRPr="00E4282F">
        <w:rPr>
          <w:rFonts w:ascii="Segoe UI" w:hAnsi="Segoe UI" w:cs="Segoe UI"/>
          <w:color w:val="0F1115"/>
          <w:sz w:val="20"/>
          <w:szCs w:val="20"/>
        </w:rPr>
        <w:t>en.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Begränsningar</w:t>
      </w:r>
    </w:p>
    <w:p w:rsidR="007664DA" w:rsidRPr="00E4282F" w:rsidRDefault="007664DA" w:rsidP="00445B7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Saknar blodtryck</w:t>
      </w:r>
      <w:r w:rsidRPr="00E4282F">
        <w:t> - ett av 5 MetS-kriterier</w:t>
      </w:r>
    </w:p>
    <w:p w:rsidR="007664DA" w:rsidRPr="00E4282F" w:rsidRDefault="007664DA" w:rsidP="00445B7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Tvärsnittsdata</w:t>
      </w:r>
      <w:r w:rsidRPr="00E4282F">
        <w:t> - kan inte fastställa kausalitet</w:t>
      </w:r>
    </w:p>
    <w:p w:rsidR="007664DA" w:rsidRPr="00E4282F" w:rsidRDefault="007664DA" w:rsidP="00445B7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Självrapporterad etnicitet</w:t>
      </w:r>
      <w:r w:rsidRPr="00E4282F">
        <w:t> - kan innehålla mätfel</w:t>
      </w:r>
    </w:p>
    <w:p w:rsidR="007664DA" w:rsidRPr="00E4282F" w:rsidRDefault="007664DA" w:rsidP="00445B7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Saknar medicinering</w:t>
      </w:r>
      <w:r w:rsidRPr="00E4282F">
        <w:t> - kan påverka värden (t.ex. statiner)</w:t>
      </w:r>
    </w:p>
    <w:p w:rsidR="007664DA" w:rsidRPr="00E4282F" w:rsidRDefault="007664DA" w:rsidP="00445B7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Endast NHANES</w:t>
      </w:r>
      <w:r w:rsidRPr="00E4282F">
        <w:t> - generaliserbarhet till andra populationer okänd</w:t>
      </w:r>
    </w:p>
    <w:p w:rsidR="007664DA" w:rsidRPr="00E4282F" w:rsidRDefault="00445B7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Jämförelse med tidigare f</w:t>
      </w:r>
      <w:r w:rsidR="007664DA" w:rsidRPr="00E4282F">
        <w:rPr>
          <w:rFonts w:ascii="Segoe UI" w:hAnsi="Segoe UI" w:cs="Segoe UI"/>
          <w:color w:val="0F1115"/>
          <w:sz w:val="20"/>
          <w:szCs w:val="20"/>
        </w:rPr>
        <w:t>orskning</w:t>
      </w:r>
    </w:p>
    <w:p w:rsidR="007664DA" w:rsidRPr="00E4282F" w:rsidRDefault="007664DA" w:rsidP="007664DA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Resultaten stämmer överens med tidigare studier:</w:t>
      </w:r>
    </w:p>
    <w:p w:rsidR="007664DA" w:rsidRPr="00E4282F" w:rsidRDefault="007664DA" w:rsidP="00B366B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Triglycerider och midjemått</w:t>
      </w:r>
      <w:r w:rsidRPr="00E4282F">
        <w:t> är bland de viktigaste prediktorerna (Alberti et al., 2009)</w:t>
      </w:r>
    </w:p>
    <w:p w:rsidR="007664DA" w:rsidRPr="00E4282F" w:rsidRDefault="007664DA" w:rsidP="00B366B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Etniska skillnader</w:t>
      </w:r>
      <w:r w:rsidRPr="00E4282F">
        <w:t> i MetS-risk är väldokumenterade (Ford et al., 2004)</w:t>
      </w:r>
    </w:p>
    <w:p w:rsidR="007664DA" w:rsidRPr="00E4282F" w:rsidRDefault="007664DA" w:rsidP="00B366B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MexAmerican</w:t>
      </w:r>
      <w:r w:rsidRPr="00E4282F">
        <w:t> har högst MetS-frekvens i USA (Aguilar et al., 2015)</w:t>
      </w:r>
    </w:p>
    <w:p w:rsidR="007664DA" w:rsidRPr="00E4282F" w:rsidRDefault="007664DA" w:rsidP="00B366BA">
      <w:pPr>
        <w:pStyle w:val="Ingetavstnd"/>
      </w:pPr>
      <w:r w:rsidRPr="00E4282F">
        <w:rPr>
          <w:rStyle w:val="Stark"/>
          <w:rFonts w:ascii="Segoe UI" w:hAnsi="Segoe UI" w:cs="Segoe UI"/>
          <w:color w:val="0F1115"/>
          <w:sz w:val="20"/>
          <w:szCs w:val="20"/>
        </w:rPr>
        <w:t>Asian</w:t>
      </w:r>
      <w:r w:rsidRPr="00E4282F">
        <w:t> har lägre MetS-frekvens vid lägre BMI (WHO, 2004)</w:t>
      </w:r>
    </w:p>
    <w:p w:rsidR="007664DA" w:rsidRPr="00E4282F" w:rsidRDefault="007664DA" w:rsidP="007664DA">
      <w:pPr>
        <w:spacing w:before="401" w:after="401"/>
        <w:rPr>
          <w:rFonts w:ascii="Segoe UI" w:hAnsi="Segoe UI" w:cs="Segoe UI"/>
          <w:sz w:val="20"/>
          <w:szCs w:val="20"/>
        </w:rPr>
      </w:pPr>
    </w:p>
    <w:p w:rsidR="007664DA" w:rsidRPr="00E4282F" w:rsidRDefault="007664D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7664DA" w:rsidRPr="00E4282F" w:rsidRDefault="007664D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C92B60" w:rsidRDefault="00C92B60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B366BA" w:rsidRDefault="00B366B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B366BA" w:rsidRPr="00E4282F" w:rsidRDefault="00B366B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7664DA" w:rsidRPr="00F021EF" w:rsidRDefault="002A03CB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4"/>
          <w:szCs w:val="24"/>
        </w:rPr>
      </w:pPr>
      <w:r w:rsidRPr="00F021EF">
        <w:rPr>
          <w:rFonts w:ascii="Segoe UI" w:hAnsi="Segoe UI" w:cs="Segoe UI"/>
          <w:color w:val="0F1115"/>
          <w:sz w:val="24"/>
          <w:szCs w:val="24"/>
        </w:rPr>
        <w:lastRenderedPageBreak/>
        <w:t>Slutsat</w:t>
      </w:r>
      <w:r w:rsidR="00C92B60" w:rsidRPr="00F021EF">
        <w:rPr>
          <w:rFonts w:ascii="Segoe UI" w:hAnsi="Segoe UI" w:cs="Segoe UI"/>
          <w:color w:val="0F1115"/>
          <w:sz w:val="24"/>
          <w:szCs w:val="24"/>
        </w:rPr>
        <w:t>s</w:t>
      </w:r>
    </w:p>
    <w:p w:rsidR="007664DA" w:rsidRPr="00E4282F" w:rsidRDefault="007664DA" w:rsidP="00ED61E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Gradient Boosting</w:t>
      </w:r>
      <w:r w:rsidR="006E4F50" w:rsidRPr="00E4282F">
        <w:rPr>
          <w:rFonts w:ascii="Segoe UI" w:hAnsi="Segoe UI" w:cs="Segoe UI"/>
          <w:color w:val="0F1115"/>
          <w:sz w:val="20"/>
          <w:szCs w:val="20"/>
        </w:rPr>
        <w:t xml:space="preserve"> Bra </w:t>
      </w:r>
      <w:r w:rsidRPr="00E4282F">
        <w:rPr>
          <w:rFonts w:ascii="Segoe UI" w:hAnsi="Segoe UI" w:cs="Segoe UI"/>
          <w:color w:val="0F1115"/>
          <w:sz w:val="20"/>
          <w:szCs w:val="20"/>
        </w:rPr>
        <w:t xml:space="preserve">modell för att predicera metabolt syndrom (AUC = </w:t>
      </w:r>
      <w:proofErr w:type="gramStart"/>
      <w:r w:rsidRPr="00E4282F">
        <w:rPr>
          <w:rFonts w:ascii="Segoe UI" w:hAnsi="Segoe UI" w:cs="Segoe UI"/>
          <w:color w:val="0F1115"/>
          <w:sz w:val="20"/>
          <w:szCs w:val="20"/>
        </w:rPr>
        <w:t>0.973</w:t>
      </w:r>
      <w:proofErr w:type="gramEnd"/>
      <w:r w:rsidRPr="00E4282F">
        <w:rPr>
          <w:rFonts w:ascii="Segoe UI" w:hAnsi="Segoe UI" w:cs="Segoe UI"/>
          <w:color w:val="0F1115"/>
          <w:sz w:val="20"/>
          <w:szCs w:val="20"/>
        </w:rPr>
        <w:t>)</w:t>
      </w:r>
    </w:p>
    <w:p w:rsidR="007664DA" w:rsidRPr="00E4282F" w:rsidRDefault="007664DA" w:rsidP="00ED61E1">
      <w:pPr>
        <w:pStyle w:val="ds-markdown-paragraph"/>
        <w:shd w:val="clear" w:color="auto" w:fill="FFFFFF"/>
        <w:spacing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Viktigaste prediktorerna</w:t>
      </w:r>
      <w:r w:rsidRPr="00E4282F">
        <w:rPr>
          <w:rFonts w:ascii="Segoe UI" w:hAnsi="Segoe UI" w:cs="Segoe UI"/>
          <w:color w:val="0F1115"/>
          <w:sz w:val="20"/>
          <w:szCs w:val="20"/>
        </w:rPr>
        <w:t> är:</w:t>
      </w:r>
    </w:p>
    <w:p w:rsidR="007664DA" w:rsidRPr="00E4282F" w:rsidRDefault="007664DA" w:rsidP="00E20A0B">
      <w:pPr>
        <w:pStyle w:val="Ingetavstnd"/>
      </w:pPr>
      <w:r w:rsidRPr="00E4282F">
        <w:t>Triglycerider</w:t>
      </w:r>
    </w:p>
    <w:p w:rsidR="007664DA" w:rsidRPr="00E4282F" w:rsidRDefault="007664DA" w:rsidP="00E20A0B">
      <w:pPr>
        <w:pStyle w:val="Ingetavstnd"/>
      </w:pPr>
      <w:r w:rsidRPr="00E4282F">
        <w:t>Midjemått</w:t>
      </w:r>
    </w:p>
    <w:p w:rsidR="007664DA" w:rsidRPr="00E4282F" w:rsidRDefault="007664DA" w:rsidP="00E20A0B">
      <w:pPr>
        <w:pStyle w:val="Ingetavstnd"/>
      </w:pPr>
      <w:r w:rsidRPr="00E4282F">
        <w:t>Blodsocker</w:t>
      </w:r>
    </w:p>
    <w:p w:rsidR="007664DA" w:rsidRPr="00E4282F" w:rsidRDefault="007664DA" w:rsidP="00E20A0B">
      <w:pPr>
        <w:pStyle w:val="Ingetavstnd"/>
      </w:pPr>
      <w:r w:rsidRPr="00E4282F">
        <w:t>HDL (skyddande)</w:t>
      </w:r>
    </w:p>
    <w:p w:rsidR="007664DA" w:rsidRPr="00E4282F" w:rsidRDefault="007664DA" w:rsidP="00ED61E1">
      <w:pPr>
        <w:pStyle w:val="ds-markdown-paragraph"/>
        <w:shd w:val="clear" w:color="auto" w:fill="FFFFFF"/>
        <w:spacing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Etniska skillnader</w:t>
      </w:r>
      <w:r w:rsidR="00E20A0B">
        <w:rPr>
          <w:rFonts w:ascii="Segoe UI" w:hAnsi="Segoe UI" w:cs="Segoe UI"/>
          <w:color w:val="0F1115"/>
          <w:sz w:val="20"/>
          <w:szCs w:val="20"/>
        </w:rPr>
        <w:t>,</w:t>
      </w:r>
      <w:r w:rsidRPr="00E4282F">
        <w:rPr>
          <w:rFonts w:ascii="Segoe UI" w:hAnsi="Segoe UI" w:cs="Segoe UI"/>
          <w:color w:val="0F1115"/>
          <w:sz w:val="20"/>
          <w:szCs w:val="20"/>
        </w:rPr>
        <w:t xml:space="preserve"> signifikanta:</w:t>
      </w:r>
    </w:p>
    <w:p w:rsidR="007664DA" w:rsidRPr="00E4282F" w:rsidRDefault="007664DA" w:rsidP="00E20A0B">
      <w:pPr>
        <w:pStyle w:val="Ingetavstnd"/>
      </w:pPr>
      <w:r w:rsidRPr="00E4282F">
        <w:t>MexAmerican: högst risk (OR = 2.31)</w:t>
      </w:r>
    </w:p>
    <w:p w:rsidR="007664DA" w:rsidRPr="00E4282F" w:rsidRDefault="007664DA" w:rsidP="00E20A0B">
      <w:pPr>
        <w:pStyle w:val="Ingetavstnd"/>
      </w:pPr>
      <w:r w:rsidRPr="00E4282F">
        <w:t>Hispanic: näst högst (OR = 1.83)</w:t>
      </w:r>
    </w:p>
    <w:p w:rsidR="007664DA" w:rsidRPr="00E4282F" w:rsidRDefault="007664DA" w:rsidP="00E20A0B">
      <w:pPr>
        <w:pStyle w:val="Ingetavstnd"/>
      </w:pPr>
      <w:r w:rsidRPr="00E4282F">
        <w:t>Asian: lägst risk (referens)</w:t>
      </w:r>
    </w:p>
    <w:p w:rsidR="007664DA" w:rsidRPr="00E4282F" w:rsidRDefault="007664DA" w:rsidP="00ED61E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Ålder</w:t>
      </w:r>
      <w:r w:rsidRPr="00E4282F">
        <w:rPr>
          <w:rFonts w:ascii="Segoe UI" w:hAnsi="Segoe UI" w:cs="Segoe UI"/>
          <w:color w:val="0F1115"/>
          <w:sz w:val="20"/>
          <w:szCs w:val="20"/>
        </w:rPr>
        <w:t> är en stark oberoende riskfaktor</w:t>
      </w:r>
    </w:p>
    <w:p w:rsidR="007664DA" w:rsidRPr="00E4282F" w:rsidRDefault="007664DA" w:rsidP="00ED61E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Modellerna är stabila</w:t>
      </w:r>
      <w:r w:rsidRPr="00E4282F">
        <w:rPr>
          <w:rFonts w:ascii="Segoe UI" w:hAnsi="Segoe UI" w:cs="Segoe UI"/>
          <w:color w:val="0F1115"/>
          <w:sz w:val="20"/>
          <w:szCs w:val="20"/>
        </w:rPr>
        <w:t> - 98.3% överensstämmelse mellan logistisk regression och Gradient Boosting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Kliniska Rekommendationer</w:t>
      </w:r>
    </w:p>
    <w:p w:rsidR="007664DA" w:rsidRPr="00E4282F" w:rsidRDefault="007664DA" w:rsidP="007664DA">
      <w:pPr>
        <w:pStyle w:val="ds-markdown-paragraph"/>
        <w:numPr>
          <w:ilvl w:val="0"/>
          <w:numId w:val="31"/>
        </w:numPr>
        <w:shd w:val="clear" w:color="auto" w:fill="FFFFFF"/>
        <w:spacing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Screening:</w:t>
      </w:r>
    </w:p>
    <w:p w:rsidR="007664DA" w:rsidRPr="00E4282F" w:rsidRDefault="007664DA" w:rsidP="008B3E22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Prioritera MexAmerican och Hispanic</w:t>
      </w:r>
    </w:p>
    <w:p w:rsidR="007664DA" w:rsidRPr="00E4282F" w:rsidRDefault="007664DA" w:rsidP="008B3E22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Fokusera på triglyserider, midjemått och blodsocker</w:t>
      </w:r>
    </w:p>
    <w:p w:rsidR="006E4861" w:rsidRPr="00E4282F" w:rsidRDefault="007664DA" w:rsidP="007F65A9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Lägre ålder för screening i högriskgrupper</w:t>
      </w:r>
    </w:p>
    <w:p w:rsidR="007664DA" w:rsidRPr="00E4282F" w:rsidRDefault="007664DA" w:rsidP="007664DA">
      <w:pPr>
        <w:pStyle w:val="ds-markdown-paragraph"/>
        <w:numPr>
          <w:ilvl w:val="0"/>
          <w:numId w:val="31"/>
        </w:numPr>
        <w:shd w:val="clear" w:color="auto" w:fill="FFFFFF"/>
        <w:spacing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Style w:val="Stark"/>
          <w:rFonts w:ascii="Segoe UI" w:eastAsiaTheme="majorEastAsia" w:hAnsi="Segoe UI" w:cs="Segoe UI"/>
          <w:color w:val="0F1115"/>
          <w:sz w:val="20"/>
          <w:szCs w:val="20"/>
        </w:rPr>
        <w:t>Forskning:</w:t>
      </w:r>
    </w:p>
    <w:p w:rsidR="007664DA" w:rsidRPr="00E4282F" w:rsidRDefault="007664DA" w:rsidP="008B3E22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Inkludera blodtryck i framtida studier</w:t>
      </w:r>
    </w:p>
    <w:p w:rsidR="007664DA" w:rsidRPr="00E4282F" w:rsidRDefault="007664DA" w:rsidP="008B3E22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Validera modellen på andra dataset</w:t>
      </w:r>
    </w:p>
    <w:p w:rsidR="007664DA" w:rsidRPr="00E4282F" w:rsidRDefault="007664DA" w:rsidP="008B3E22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Fonts w:ascii="Segoe UI" w:hAnsi="Segoe UI" w:cs="Segoe UI"/>
          <w:sz w:val="20"/>
          <w:szCs w:val="20"/>
        </w:rPr>
        <w:t>Undersök orsaker till etniska skillnader</w:t>
      </w:r>
    </w:p>
    <w:p w:rsidR="007664DA" w:rsidRPr="00E4282F" w:rsidRDefault="007664DA" w:rsidP="007664DA">
      <w:pPr>
        <w:pStyle w:val="Rubrik3"/>
        <w:shd w:val="clear" w:color="auto" w:fill="FFFFFF"/>
        <w:spacing w:before="401" w:after="200" w:line="376" w:lineRule="atLeast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>Framtida Arbete</w:t>
      </w:r>
    </w:p>
    <w:p w:rsidR="007664DA" w:rsidRPr="00E4282F" w:rsidRDefault="007664DA" w:rsidP="00600C45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Inkludera blodtryck</w:t>
      </w:r>
      <w:r w:rsidR="00771B7B" w:rsidRPr="00E4282F">
        <w:rPr>
          <w:rFonts w:ascii="Segoe UI" w:hAnsi="Segoe UI" w:cs="Segoe UI"/>
          <w:sz w:val="20"/>
          <w:szCs w:val="20"/>
        </w:rPr>
        <w:t xml:space="preserve"> för </w:t>
      </w:r>
      <w:r w:rsidRPr="00E4282F">
        <w:rPr>
          <w:rFonts w:ascii="Segoe UI" w:hAnsi="Segoe UI" w:cs="Segoe UI"/>
          <w:sz w:val="20"/>
          <w:szCs w:val="20"/>
        </w:rPr>
        <w:t>fullständiga MetS-kriterier</w:t>
      </w:r>
    </w:p>
    <w:p w:rsidR="007664DA" w:rsidRPr="00E4282F" w:rsidRDefault="007664DA" w:rsidP="00600C45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Testa andra modeller</w:t>
      </w:r>
      <w:r w:rsidR="00771B7B" w:rsidRPr="00E4282F">
        <w:rPr>
          <w:rFonts w:ascii="Segoe UI" w:hAnsi="Segoe UI" w:cs="Segoe UI"/>
          <w:sz w:val="20"/>
          <w:szCs w:val="20"/>
        </w:rPr>
        <w:t xml:space="preserve"> ev. Random Forest, XGBoost</w:t>
      </w:r>
    </w:p>
    <w:p w:rsidR="007664DA" w:rsidRPr="00E4282F" w:rsidRDefault="007664DA" w:rsidP="00600C45">
      <w:pPr>
        <w:pStyle w:val="Ingetavstnd"/>
        <w:rPr>
          <w:rFonts w:ascii="Segoe UI" w:hAnsi="Segoe UI" w:cs="Segoe UI"/>
          <w:sz w:val="20"/>
          <w:szCs w:val="20"/>
        </w:rPr>
      </w:pPr>
      <w:r w:rsidRPr="00E4282F">
        <w:rPr>
          <w:rStyle w:val="Stark"/>
          <w:rFonts w:ascii="Segoe UI" w:hAnsi="Segoe UI" w:cs="Segoe UI"/>
          <w:b w:val="0"/>
          <w:color w:val="0F1115"/>
          <w:sz w:val="20"/>
          <w:szCs w:val="20"/>
        </w:rPr>
        <w:t>Implementering</w:t>
      </w:r>
      <w:r w:rsidR="00771B7B" w:rsidRPr="00E4282F">
        <w:rPr>
          <w:rFonts w:ascii="Segoe UI" w:hAnsi="Segoe UI" w:cs="Segoe UI"/>
          <w:sz w:val="20"/>
          <w:szCs w:val="20"/>
        </w:rPr>
        <w:t>. U</w:t>
      </w:r>
      <w:r w:rsidRPr="00E4282F">
        <w:rPr>
          <w:rFonts w:ascii="Segoe UI" w:hAnsi="Segoe UI" w:cs="Segoe UI"/>
          <w:sz w:val="20"/>
          <w:szCs w:val="20"/>
        </w:rPr>
        <w:t xml:space="preserve">tveckla ett </w:t>
      </w:r>
      <w:r w:rsidR="00771B7B" w:rsidRPr="00E4282F">
        <w:rPr>
          <w:rFonts w:ascii="Segoe UI" w:hAnsi="Segoe UI" w:cs="Segoe UI"/>
          <w:sz w:val="20"/>
          <w:szCs w:val="20"/>
        </w:rPr>
        <w:t xml:space="preserve">ramverk för </w:t>
      </w:r>
      <w:r w:rsidRPr="00E4282F">
        <w:rPr>
          <w:rFonts w:ascii="Segoe UI" w:hAnsi="Segoe UI" w:cs="Segoe UI"/>
          <w:sz w:val="20"/>
          <w:szCs w:val="20"/>
        </w:rPr>
        <w:t>kliniskt beslutsstöd</w:t>
      </w:r>
    </w:p>
    <w:p w:rsidR="007664DA" w:rsidRPr="00E4282F" w:rsidRDefault="007664DA" w:rsidP="007664DA">
      <w:pPr>
        <w:spacing w:before="401" w:after="401"/>
        <w:rPr>
          <w:rFonts w:ascii="Segoe UI" w:hAnsi="Segoe UI" w:cs="Segoe UI"/>
          <w:sz w:val="20"/>
          <w:szCs w:val="20"/>
        </w:rPr>
      </w:pPr>
    </w:p>
    <w:p w:rsidR="00600C45" w:rsidRPr="00E4282F" w:rsidRDefault="00600C45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600C45" w:rsidRPr="00E4282F" w:rsidRDefault="00600C45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600C45" w:rsidRPr="00E4282F" w:rsidRDefault="00600C45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0"/>
          <w:szCs w:val="20"/>
        </w:rPr>
      </w:pPr>
    </w:p>
    <w:p w:rsidR="007664DA" w:rsidRPr="00C61621" w:rsidRDefault="007664DA" w:rsidP="007664DA">
      <w:pPr>
        <w:pStyle w:val="Rubrik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2"/>
          <w:szCs w:val="22"/>
        </w:rPr>
      </w:pPr>
      <w:r w:rsidRPr="00C61621">
        <w:rPr>
          <w:rFonts w:ascii="Segoe UI" w:hAnsi="Segoe UI" w:cs="Segoe UI"/>
          <w:color w:val="0F1115"/>
          <w:sz w:val="22"/>
          <w:szCs w:val="22"/>
        </w:rPr>
        <w:lastRenderedPageBreak/>
        <w:t>Referenser</w:t>
      </w:r>
    </w:p>
    <w:p w:rsidR="007664DA" w:rsidRPr="00E4282F" w:rsidRDefault="007664DA" w:rsidP="007664D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Alberti, K. G. M. M., et al. </w:t>
      </w: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t>(2009). Harmonizing the metabolic syndrome. </w:t>
      </w:r>
      <w:r w:rsidRPr="00E4282F">
        <w:rPr>
          <w:rStyle w:val="Betoning"/>
          <w:rFonts w:ascii="Segoe UI" w:eastAsiaTheme="majorEastAsia" w:hAnsi="Segoe UI" w:cs="Segoe UI"/>
          <w:color w:val="0F1115"/>
          <w:sz w:val="20"/>
          <w:szCs w:val="20"/>
          <w:lang w:val="en-US"/>
        </w:rPr>
        <w:t>Circulation</w:t>
      </w: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t>, 120(16), 1640-1645.</w:t>
      </w:r>
    </w:p>
    <w:p w:rsidR="007664DA" w:rsidRPr="00E4282F" w:rsidRDefault="007664DA" w:rsidP="007664D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Aguilar, M., et al. (2015). </w:t>
      </w: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t>Prevalence of the metabolic syndrome in the United States, 2003-2012. </w:t>
      </w:r>
      <w:r w:rsidRPr="00E4282F">
        <w:rPr>
          <w:rStyle w:val="Betoning"/>
          <w:rFonts w:ascii="Segoe UI" w:eastAsiaTheme="majorEastAsia" w:hAnsi="Segoe UI" w:cs="Segoe UI"/>
          <w:color w:val="0F1115"/>
          <w:sz w:val="20"/>
          <w:szCs w:val="20"/>
        </w:rPr>
        <w:t>JAMA</w:t>
      </w:r>
      <w:r w:rsidRPr="00E4282F">
        <w:rPr>
          <w:rFonts w:ascii="Segoe UI" w:hAnsi="Segoe UI" w:cs="Segoe UI"/>
          <w:color w:val="0F1115"/>
          <w:sz w:val="20"/>
          <w:szCs w:val="20"/>
        </w:rPr>
        <w:t>, 313(19), 1973-1974.</w:t>
      </w:r>
    </w:p>
    <w:p w:rsidR="007664DA" w:rsidRPr="00E4282F" w:rsidRDefault="007664DA" w:rsidP="007664D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</w:rPr>
        <w:t xml:space="preserve">Ford, E. S., et al. (2004). </w:t>
      </w: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t>Prevalence of the metabolic syndrome among US adults. </w:t>
      </w:r>
      <w:r w:rsidRPr="00E4282F">
        <w:rPr>
          <w:rStyle w:val="Betoning"/>
          <w:rFonts w:ascii="Segoe UI" w:eastAsiaTheme="majorEastAsia" w:hAnsi="Segoe UI" w:cs="Segoe UI"/>
          <w:color w:val="0F1115"/>
          <w:sz w:val="20"/>
          <w:szCs w:val="20"/>
        </w:rPr>
        <w:t>JAMA</w:t>
      </w:r>
      <w:r w:rsidRPr="00E4282F">
        <w:rPr>
          <w:rFonts w:ascii="Segoe UI" w:hAnsi="Segoe UI" w:cs="Segoe UI"/>
          <w:color w:val="0F1115"/>
          <w:sz w:val="20"/>
          <w:szCs w:val="20"/>
        </w:rPr>
        <w:t>, 291(9), 1109-1111.</w:t>
      </w:r>
    </w:p>
    <w:p w:rsidR="007664DA" w:rsidRPr="00E4282F" w:rsidRDefault="007664DA" w:rsidP="007664D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4282F">
        <w:rPr>
          <w:rFonts w:ascii="Segoe UI" w:hAnsi="Segoe UI" w:cs="Segoe UI"/>
          <w:color w:val="0F1115"/>
          <w:sz w:val="20"/>
          <w:szCs w:val="20"/>
          <w:lang w:val="en-US"/>
        </w:rPr>
        <w:t>WHO Expert Consultation. (2004). Appropriate body-mass index for Asian populations. </w:t>
      </w:r>
      <w:r w:rsidRPr="00E4282F">
        <w:rPr>
          <w:rStyle w:val="Betoning"/>
          <w:rFonts w:ascii="Segoe UI" w:eastAsiaTheme="majorEastAsia" w:hAnsi="Segoe UI" w:cs="Segoe UI"/>
          <w:color w:val="0F1115"/>
          <w:sz w:val="20"/>
          <w:szCs w:val="20"/>
        </w:rPr>
        <w:t>The Lancet</w:t>
      </w:r>
      <w:r w:rsidRPr="00E4282F">
        <w:rPr>
          <w:rFonts w:ascii="Segoe UI" w:hAnsi="Segoe UI" w:cs="Segoe UI"/>
          <w:color w:val="0F1115"/>
          <w:sz w:val="20"/>
          <w:szCs w:val="20"/>
        </w:rPr>
        <w:t>, 363(9403), 157-163.</w:t>
      </w:r>
    </w:p>
    <w:p w:rsidR="00C74B97" w:rsidRDefault="00C74B97">
      <w:pPr>
        <w:rPr>
          <w:rFonts w:ascii="Segoe UI" w:hAnsi="Segoe UI" w:cs="Segoe UI"/>
          <w:color w:val="000000" w:themeColor="text1"/>
          <w:sz w:val="20"/>
          <w:szCs w:val="20"/>
        </w:rPr>
      </w:pPr>
    </w:p>
    <w:p w:rsidR="000C26EB" w:rsidRDefault="000C26EB">
      <w:pPr>
        <w:rPr>
          <w:rFonts w:ascii="Segoe UI" w:hAnsi="Segoe UI" w:cs="Segoe UI"/>
          <w:color w:val="000000" w:themeColor="text1"/>
          <w:sz w:val="20"/>
          <w:szCs w:val="20"/>
        </w:rPr>
      </w:pPr>
      <w:r>
        <w:rPr>
          <w:rFonts w:ascii="Segoe UI" w:hAnsi="Segoe UI" w:cs="Segoe UI"/>
          <w:color w:val="000000" w:themeColor="text1"/>
          <w:sz w:val="20"/>
          <w:szCs w:val="20"/>
        </w:rPr>
        <w:t>Dataset:</w:t>
      </w:r>
    </w:p>
    <w:p w:rsidR="000C26EB" w:rsidRDefault="000C26EB">
      <w:pPr>
        <w:rPr>
          <w:rFonts w:ascii="Segoe UI" w:hAnsi="Segoe UI" w:cs="Segoe UI"/>
          <w:color w:val="000000" w:themeColor="text1"/>
          <w:sz w:val="20"/>
          <w:szCs w:val="20"/>
        </w:rPr>
      </w:pPr>
      <w:hyperlink r:id="rId8" w:history="1">
        <w:r w:rsidRPr="00183FD8">
          <w:rPr>
            <w:rStyle w:val="Hyperlnk"/>
            <w:rFonts w:ascii="Segoe UI" w:hAnsi="Segoe UI" w:cs="Segoe UI"/>
            <w:sz w:val="20"/>
            <w:szCs w:val="20"/>
          </w:rPr>
          <w:t>https://www.kaggle.com/datasets/antimoni/metabolic-syndrome</w:t>
        </w:r>
      </w:hyperlink>
    </w:p>
    <w:p w:rsidR="000C26EB" w:rsidRPr="00E4282F" w:rsidRDefault="000C26EB">
      <w:pPr>
        <w:rPr>
          <w:rFonts w:ascii="Segoe UI" w:hAnsi="Segoe UI" w:cs="Segoe UI"/>
          <w:color w:val="000000" w:themeColor="text1"/>
          <w:sz w:val="20"/>
          <w:szCs w:val="20"/>
        </w:rPr>
      </w:pPr>
    </w:p>
    <w:sectPr w:rsidR="000C26EB" w:rsidRPr="00E4282F" w:rsidSect="005336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564E"/>
    <w:multiLevelType w:val="hybridMultilevel"/>
    <w:tmpl w:val="413AB466"/>
    <w:lvl w:ilvl="0" w:tplc="595467F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  <w:b w:val="0"/>
        <w:color w:val="000000" w:themeColor="text1"/>
        <w:sz w:val="24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42C60"/>
    <w:multiLevelType w:val="hybridMultilevel"/>
    <w:tmpl w:val="4FFA7A66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53C5B"/>
    <w:multiLevelType w:val="multilevel"/>
    <w:tmpl w:val="6F1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F7A57"/>
    <w:multiLevelType w:val="multilevel"/>
    <w:tmpl w:val="718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B390B"/>
    <w:multiLevelType w:val="multilevel"/>
    <w:tmpl w:val="1976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DD2C20"/>
    <w:multiLevelType w:val="multilevel"/>
    <w:tmpl w:val="079E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963BD0"/>
    <w:multiLevelType w:val="multilevel"/>
    <w:tmpl w:val="D7E0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355DEB"/>
    <w:multiLevelType w:val="multilevel"/>
    <w:tmpl w:val="A6D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092976"/>
    <w:multiLevelType w:val="multilevel"/>
    <w:tmpl w:val="976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945AD8"/>
    <w:multiLevelType w:val="multilevel"/>
    <w:tmpl w:val="A8D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E008DD"/>
    <w:multiLevelType w:val="multilevel"/>
    <w:tmpl w:val="9026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3A1B48"/>
    <w:multiLevelType w:val="multilevel"/>
    <w:tmpl w:val="97B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011580"/>
    <w:multiLevelType w:val="multilevel"/>
    <w:tmpl w:val="F9C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32B81"/>
    <w:multiLevelType w:val="multilevel"/>
    <w:tmpl w:val="4DD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C5438D"/>
    <w:multiLevelType w:val="multilevel"/>
    <w:tmpl w:val="60AE61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CF51C7"/>
    <w:multiLevelType w:val="multilevel"/>
    <w:tmpl w:val="FB7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2E76BA"/>
    <w:multiLevelType w:val="multilevel"/>
    <w:tmpl w:val="31223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AA8666E"/>
    <w:multiLevelType w:val="multilevel"/>
    <w:tmpl w:val="C6B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983DCB"/>
    <w:multiLevelType w:val="multilevel"/>
    <w:tmpl w:val="8630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4F3349"/>
    <w:multiLevelType w:val="multilevel"/>
    <w:tmpl w:val="69A6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2E24E3"/>
    <w:multiLevelType w:val="multilevel"/>
    <w:tmpl w:val="A610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915854"/>
    <w:multiLevelType w:val="multilevel"/>
    <w:tmpl w:val="A7E6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6B165C"/>
    <w:multiLevelType w:val="multilevel"/>
    <w:tmpl w:val="06EA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4812A1"/>
    <w:multiLevelType w:val="multilevel"/>
    <w:tmpl w:val="A92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BD60EB"/>
    <w:multiLevelType w:val="multilevel"/>
    <w:tmpl w:val="A3D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A31B4C"/>
    <w:multiLevelType w:val="multilevel"/>
    <w:tmpl w:val="F410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D077DE"/>
    <w:multiLevelType w:val="multilevel"/>
    <w:tmpl w:val="8872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F66179C"/>
    <w:multiLevelType w:val="multilevel"/>
    <w:tmpl w:val="FD40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5071F5"/>
    <w:multiLevelType w:val="multilevel"/>
    <w:tmpl w:val="E41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9E2029"/>
    <w:multiLevelType w:val="multilevel"/>
    <w:tmpl w:val="F4D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BF2F81"/>
    <w:multiLevelType w:val="multilevel"/>
    <w:tmpl w:val="601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E674D6"/>
    <w:multiLevelType w:val="multilevel"/>
    <w:tmpl w:val="EC1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9160F6"/>
    <w:multiLevelType w:val="multilevel"/>
    <w:tmpl w:val="F87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"/>
  </w:num>
  <w:num w:numId="3">
    <w:abstractNumId w:val="0"/>
  </w:num>
  <w:num w:numId="4">
    <w:abstractNumId w:val="22"/>
  </w:num>
  <w:num w:numId="5">
    <w:abstractNumId w:val="14"/>
  </w:num>
  <w:num w:numId="6">
    <w:abstractNumId w:val="5"/>
  </w:num>
  <w:num w:numId="7">
    <w:abstractNumId w:val="9"/>
  </w:num>
  <w:num w:numId="8">
    <w:abstractNumId w:val="30"/>
  </w:num>
  <w:num w:numId="9">
    <w:abstractNumId w:val="8"/>
  </w:num>
  <w:num w:numId="10">
    <w:abstractNumId w:val="11"/>
  </w:num>
  <w:num w:numId="11">
    <w:abstractNumId w:val="17"/>
  </w:num>
  <w:num w:numId="12">
    <w:abstractNumId w:val="15"/>
  </w:num>
  <w:num w:numId="13">
    <w:abstractNumId w:val="13"/>
  </w:num>
  <w:num w:numId="14">
    <w:abstractNumId w:val="4"/>
  </w:num>
  <w:num w:numId="15">
    <w:abstractNumId w:val="23"/>
  </w:num>
  <w:num w:numId="16">
    <w:abstractNumId w:val="2"/>
  </w:num>
  <w:num w:numId="17">
    <w:abstractNumId w:val="6"/>
  </w:num>
  <w:num w:numId="18">
    <w:abstractNumId w:val="12"/>
  </w:num>
  <w:num w:numId="19">
    <w:abstractNumId w:val="29"/>
  </w:num>
  <w:num w:numId="20">
    <w:abstractNumId w:val="16"/>
  </w:num>
  <w:num w:numId="21">
    <w:abstractNumId w:val="20"/>
  </w:num>
  <w:num w:numId="22">
    <w:abstractNumId w:val="27"/>
  </w:num>
  <w:num w:numId="23">
    <w:abstractNumId w:val="10"/>
  </w:num>
  <w:num w:numId="24">
    <w:abstractNumId w:val="31"/>
  </w:num>
  <w:num w:numId="25">
    <w:abstractNumId w:val="3"/>
  </w:num>
  <w:num w:numId="26">
    <w:abstractNumId w:val="7"/>
  </w:num>
  <w:num w:numId="27">
    <w:abstractNumId w:val="32"/>
  </w:num>
  <w:num w:numId="28">
    <w:abstractNumId w:val="21"/>
  </w:num>
  <w:num w:numId="29">
    <w:abstractNumId w:val="26"/>
  </w:num>
  <w:num w:numId="30">
    <w:abstractNumId w:val="18"/>
  </w:num>
  <w:num w:numId="31">
    <w:abstractNumId w:val="25"/>
  </w:num>
  <w:num w:numId="32">
    <w:abstractNumId w:val="19"/>
  </w:num>
  <w:num w:numId="33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1304"/>
  <w:hyphenationZone w:val="425"/>
  <w:characterSpacingControl w:val="doNotCompress"/>
  <w:compat/>
  <w:rsids>
    <w:rsidRoot w:val="001934EC"/>
    <w:rsid w:val="000C26EB"/>
    <w:rsid w:val="001329ED"/>
    <w:rsid w:val="00172167"/>
    <w:rsid w:val="001845A9"/>
    <w:rsid w:val="00191E3D"/>
    <w:rsid w:val="001934EC"/>
    <w:rsid w:val="002063BD"/>
    <w:rsid w:val="002A03CB"/>
    <w:rsid w:val="00372B81"/>
    <w:rsid w:val="003D78FD"/>
    <w:rsid w:val="00405DE3"/>
    <w:rsid w:val="00445B7A"/>
    <w:rsid w:val="004828F0"/>
    <w:rsid w:val="00533629"/>
    <w:rsid w:val="005535DD"/>
    <w:rsid w:val="00584836"/>
    <w:rsid w:val="005870F8"/>
    <w:rsid w:val="005C64B3"/>
    <w:rsid w:val="00600C45"/>
    <w:rsid w:val="00695F67"/>
    <w:rsid w:val="006E4861"/>
    <w:rsid w:val="006E4F50"/>
    <w:rsid w:val="007664DA"/>
    <w:rsid w:val="00771B7B"/>
    <w:rsid w:val="00773144"/>
    <w:rsid w:val="007F65A9"/>
    <w:rsid w:val="00856519"/>
    <w:rsid w:val="008B3E22"/>
    <w:rsid w:val="008E1156"/>
    <w:rsid w:val="009349DE"/>
    <w:rsid w:val="00974893"/>
    <w:rsid w:val="00994C68"/>
    <w:rsid w:val="009A4D2E"/>
    <w:rsid w:val="009D46C0"/>
    <w:rsid w:val="00A92BBD"/>
    <w:rsid w:val="00B03CB6"/>
    <w:rsid w:val="00B31F3A"/>
    <w:rsid w:val="00B366BA"/>
    <w:rsid w:val="00B535B0"/>
    <w:rsid w:val="00BA17BF"/>
    <w:rsid w:val="00BD294C"/>
    <w:rsid w:val="00BF297E"/>
    <w:rsid w:val="00C1707A"/>
    <w:rsid w:val="00C61621"/>
    <w:rsid w:val="00C74B97"/>
    <w:rsid w:val="00C92B60"/>
    <w:rsid w:val="00D07630"/>
    <w:rsid w:val="00D37DFE"/>
    <w:rsid w:val="00E20A0B"/>
    <w:rsid w:val="00E4282F"/>
    <w:rsid w:val="00E55900"/>
    <w:rsid w:val="00ED61E1"/>
    <w:rsid w:val="00EE5EB8"/>
    <w:rsid w:val="00F021EF"/>
    <w:rsid w:val="00F0448B"/>
    <w:rsid w:val="00F301E7"/>
    <w:rsid w:val="00F3380A"/>
    <w:rsid w:val="00F7128C"/>
    <w:rsid w:val="00F804C7"/>
    <w:rsid w:val="00FC4788"/>
    <w:rsid w:val="00FE1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629"/>
  </w:style>
  <w:style w:type="paragraph" w:styleId="Rubrik1">
    <w:name w:val="heading 1"/>
    <w:basedOn w:val="Normal"/>
    <w:link w:val="Rubrik1Char"/>
    <w:uiPriority w:val="9"/>
    <w:qFormat/>
    <w:rsid w:val="00193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193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C64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31F3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934EC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1934EC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customStyle="1" w:styleId="ds-markdown-paragraph">
    <w:name w:val="ds-markdown-paragraph"/>
    <w:basedOn w:val="Normal"/>
    <w:rsid w:val="0019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C64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ark">
    <w:name w:val="Strong"/>
    <w:basedOn w:val="Standardstycketeckensnitt"/>
    <w:uiPriority w:val="22"/>
    <w:qFormat/>
    <w:rsid w:val="00773144"/>
    <w:rPr>
      <w:b/>
      <w:bCs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31F3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-kod">
    <w:name w:val="HTML Code"/>
    <w:basedOn w:val="Standardstycketeckensnitt"/>
    <w:uiPriority w:val="99"/>
    <w:semiHidden/>
    <w:unhideWhenUsed/>
    <w:rsid w:val="00B31F3A"/>
    <w:rPr>
      <w:rFonts w:ascii="Courier New" w:eastAsia="Times New Roman" w:hAnsi="Courier New" w:cs="Courier New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7664DA"/>
    <w:rPr>
      <w:i/>
      <w:iCs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994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94C68"/>
    <w:rPr>
      <w:rFonts w:ascii="Tahoma" w:hAnsi="Tahoma" w:cs="Tahoma"/>
      <w:sz w:val="16"/>
      <w:szCs w:val="16"/>
    </w:rPr>
  </w:style>
  <w:style w:type="paragraph" w:styleId="Ingetavstnd">
    <w:name w:val="No Spacing"/>
    <w:uiPriority w:val="1"/>
    <w:qFormat/>
    <w:rsid w:val="00994C68"/>
    <w:pPr>
      <w:spacing w:after="0" w:line="240" w:lineRule="auto"/>
    </w:pPr>
  </w:style>
  <w:style w:type="character" w:styleId="Hyperlnk">
    <w:name w:val="Hyperlink"/>
    <w:basedOn w:val="Standardstycketeckensnitt"/>
    <w:uiPriority w:val="99"/>
    <w:unhideWhenUsed/>
    <w:rsid w:val="000C26E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9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timoni/metabolic-syndr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1465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K</dc:creator>
  <cp:lastModifiedBy>L K</cp:lastModifiedBy>
  <cp:revision>56</cp:revision>
  <dcterms:created xsi:type="dcterms:W3CDTF">2026-07-26T20:10:00Z</dcterms:created>
  <dcterms:modified xsi:type="dcterms:W3CDTF">2026-07-26T21:18:00Z</dcterms:modified>
</cp:coreProperties>
</file>