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b w:val="0"/>
          <w:i w:val="0"/>
        </w:rPr>
        <w:t>Home Compass</w:t>
      </w:r>
    </w:p>
    <w:p>
      <w:pPr>
        <w:pStyle w:val="Subtitle"/>
      </w:pPr>
      <w:r>
        <w:rPr>
          <w:b w:val="0"/>
          <w:i w:val="0"/>
        </w:rPr>
        <w:t>Product Requirements Document — The Housing Assistant for newcomers to Ontario</w:t>
      </w:r>
    </w:p>
    <w:p>
      <w:r>
        <w:rPr>
          <w:i/>
          <w:color w:val="5B6068"/>
          <w:sz w:val="20"/>
        </w:rPr>
        <w:t>Compiled 2026-08-26 by direct source-code audit (routes, components, data files, ingestion pipeline) rather than from prior documentation. Covers the whole product; see the companion Home-Compass-AI-PRD.docx for a deep, Innovation-Mode treatment of the AI Advisor sub-feature specifically (eval framework, guardrails, claim-vs-reality audit).</w:t>
      </w:r>
    </w:p>
    <w:p/>
    <w:p>
      <w:pPr>
        <w:pStyle w:val="Heading1"/>
      </w:pPr>
      <w:r>
        <w:rPr>
          <w:b w:val="0"/>
          <w:i w:val="0"/>
        </w:rPr>
        <w:t>1. Executive Summary</w:t>
      </w:r>
    </w:p>
    <w:p>
      <w:r>
        <w:rPr>
          <w:b w:val="0"/>
          <w:i w:val="0"/>
        </w:rPr>
        <w:t>Home Compass is a single-page web app (TanStack Start + React 19, one route, SSR via Nitro) that helps newcomers to Ontario — international students, principal applicants with a job offer, and other immigration streams — plan, evaluate, and verify their housing. It is built around a strict two-lane separation:</w:t>
      </w:r>
    </w:p>
    <w:p>
      <w:pPr>
        <w:pStyle w:val="ListBullet"/>
        <w:ind w:left="283"/>
      </w:pPr>
      <w:r>
        <w:t>Static reference lane — pre-built, source-aware content: Find Housing guidance, an Evaluate Housing checklist, a settlement Journey checklist, and a "Check the Place" neighbourhood crime-rate lookup built on ingested City of Toronto Police data.</w:t>
      </w:r>
    </w:p>
    <w:p>
      <w:pPr>
        <w:pStyle w:val="ListBullet"/>
        <w:ind w:left="283"/>
      </w:pPr>
      <w:r>
        <w:t>AI Advisor lane — a conversational assistant (Gemini, via the Lovable AI Gateway with a direct-Gemini fallback) for open-ended questions that the static lane can't anticipate.</w:t>
      </w:r>
    </w:p>
    <w:p>
      <w:r>
        <w:rPr>
          <w:b w:val="0"/>
          <w:i w:val="0"/>
        </w:rPr>
        <w:t>The two lanes are deliberately never mixed in one direction: no curated or ingested data (crime stats, rent benchmarks) is ever fed into the Advisor's prompt, and no AI output is ever written into the static lane. The one narrow, intentional exception runs the other way — the Advisor's context includes a summary of the user's own in-app activity (which Evaluate Housing items they've reviewed, which housing type they selected), never anything the user didn't do themselves.</w:t>
      </w:r>
    </w:p>
    <w:p>
      <w:pPr>
        <w:pStyle w:val="Heading1"/>
      </w:pPr>
      <w:r>
        <w:rPr>
          <w:b w:val="0"/>
          <w:i w:val="0"/>
        </w:rPr>
        <w:t>2. Problem Statement</w:t>
      </w:r>
    </w:p>
    <w:p>
      <w:pPr>
        <w:pStyle w:val="ListBullet"/>
        <w:ind w:left="283"/>
      </w:pPr>
      <w:r>
        <w:t>Newcomers must make high-stakes housing decisions — where to live, what rent is fair, whether a listing is a scam — with fragmented, hard-to-verify information and no local track record (credit history, references) to lean on.</w:t>
      </w:r>
    </w:p>
    <w:p>
      <w:pPr>
        <w:pStyle w:val="ListBullet"/>
        <w:ind w:left="283"/>
      </w:pPr>
      <w:r>
        <w:t>Government safety and rent data exists but is scattered across formats (ArcGIS feeds, Census XLSX workbooks, CMHC portal exports) that no ordinary user will find and cross-reference themselves.</w:t>
      </w:r>
    </w:p>
    <w:p>
      <w:pPr>
        <w:pStyle w:val="ListBullet"/>
        <w:ind w:left="283"/>
      </w:pPr>
      <w:r>
        <w:t>Generic chatbots can answer housing questions but have no access to real local safety/rent figures, and no structural way to signal which part of an answer is sourced fact versus generated guidance.</w:t>
      </w:r>
    </w:p>
    <w:p>
      <w:pPr>
        <w:pStyle w:val="ListBullet"/>
        <w:ind w:left="283"/>
      </w:pPr>
      <w:r>
        <w:t>Ontario-specific tenancy rules (deposit limits, rent-increase notice periods, what a landlord can and can't ask for) are easy for a newcomer to get wrong, and getting them wrong is expensive.</w:t>
      </w:r>
    </w:p>
    <w:p>
      <w:pPr>
        <w:pStyle w:val="Heading1"/>
      </w:pPr>
      <w:r>
        <w:rPr>
          <w:b w:val="0"/>
          <w:i w:val="0"/>
        </w:rPr>
        <w:t>3. Goals and Success Metrics</w:t>
      </w:r>
    </w:p>
    <w:p>
      <w:pPr>
        <w:pStyle w:val="ListBullet"/>
        <w:ind w:left="283"/>
      </w:pPr>
      <w:r>
        <w:t>Give newcomers a single place to understand the Toronto rental process end to end — from arrival housing through lease signing to tenancy rights — without inventing listings, prices, or recommendations the product can't stand behind.</w:t>
      </w:r>
    </w:p>
    <w:p>
      <w:pPr>
        <w:pStyle w:val="ListBullet"/>
        <w:ind w:left="283"/>
      </w:pPr>
      <w:r>
        <w:t>Ground neighbourhood-level claims in real government data (TPS crime rates; CKAN and, once available, CMHC rent data) rather than generic or AI-generated figures.</w:t>
      </w:r>
    </w:p>
    <w:p>
      <w:pPr>
        <w:pStyle w:val="ListBullet"/>
        <w:ind w:left="283"/>
      </w:pPr>
      <w:r>
        <w:t>Keep the AI Advisor honestly labelled and scoped: a conversational aid that clarifies before it answers, never a source of truth for facts the static lane already owns.</w:t>
      </w:r>
    </w:p>
    <w:p>
      <w:r>
        <w:rPr>
          <w:b w:val="0"/>
          <w:i/>
        </w:rPr>
        <w:t>Current instrumentation gap: none of the metrics below are measured today — there is no analytics of any kind in the codebase. Standing up basic instrumentation is a prerequisite for treating any of these as more than aspirational.</w:t>
      </w:r>
    </w:p>
    <w:tbl>
      <w:tblPr>
        <w:tblStyle w:val="LightGrid-Accent1"/>
        <w:tblW w:type="auto" w:w="0"/>
        <w:jc w:val="left"/>
        <w:tblLook w:firstColumn="1" w:firstRow="1" w:lastColumn="0" w:lastRow="0" w:noHBand="0" w:noVBand="1" w:val="04A0"/>
      </w:tblPr>
      <w:tblGrid>
        <w:gridCol w:w="2880"/>
        <w:gridCol w:w="2880"/>
        <w:gridCol w:w="2880"/>
      </w:tblGrid>
      <w:tr>
        <w:tc>
          <w:tcPr>
            <w:tcW w:type="dxa" w:w="3685"/>
            <w:shd w:val="clear" w:color="auto" w:fill="1F3A5F"/>
          </w:tcPr>
          <w:p>
            <w:r/>
            <w:r>
              <w:rPr>
                <w:b/>
                <w:color w:val="FFFFFF"/>
                <w:sz w:val="21"/>
              </w:rPr>
              <w:t>Metric</w:t>
            </w:r>
          </w:p>
        </w:tc>
        <w:tc>
          <w:tcPr>
            <w:tcW w:type="dxa" w:w="3685"/>
            <w:shd w:val="clear" w:color="auto" w:fill="1F3A5F"/>
          </w:tcPr>
          <w:p>
            <w:r/>
            <w:r>
              <w:rPr>
                <w:b/>
                <w:color w:val="FFFFFF"/>
                <w:sz w:val="21"/>
              </w:rPr>
              <w:t>Why it matters</w:t>
            </w:r>
          </w:p>
        </w:tc>
        <w:tc>
          <w:tcPr>
            <w:tcW w:type="dxa" w:w="3118"/>
            <w:shd w:val="clear" w:color="auto" w:fill="1F3A5F"/>
          </w:tcPr>
          <w:p>
            <w:r/>
            <w:r>
              <w:rPr>
                <w:b/>
                <w:color w:val="FFFFFF"/>
                <w:sz w:val="21"/>
              </w:rPr>
              <w:t>Current instrumentation</w:t>
            </w:r>
          </w:p>
        </w:tc>
      </w:tr>
      <w:tr>
        <w:tc>
          <w:tcPr>
            <w:tcW w:type="dxa" w:w="3685"/>
          </w:tcPr>
          <w:p>
            <w:r/>
            <w:r>
              <w:rPr>
                <w:sz w:val="20"/>
              </w:rPr>
              <w:t>% of sessions that complete a Check the Place lookup</w:t>
            </w:r>
          </w:p>
        </w:tc>
        <w:tc>
          <w:tcPr>
            <w:tcW w:type="dxa" w:w="3685"/>
          </w:tcPr>
          <w:p>
            <w:r/>
            <w:r>
              <w:rPr>
                <w:sz w:val="20"/>
              </w:rPr>
              <w:t>Signals whether the sourced-data hook is actually used</w:t>
            </w:r>
          </w:p>
        </w:tc>
        <w:tc>
          <w:tcPr>
            <w:tcW w:type="dxa" w:w="3118"/>
          </w:tcPr>
          <w:p>
            <w:r/>
            <w:r>
              <w:rPr>
                <w:sz w:val="20"/>
              </w:rPr>
              <w:t>None</w:t>
            </w:r>
          </w:p>
        </w:tc>
      </w:tr>
      <w:tr>
        <w:tc>
          <w:tcPr>
            <w:tcW w:type="dxa" w:w="3685"/>
          </w:tcPr>
          <w:p>
            <w:r/>
            <w:r>
              <w:rPr>
                <w:sz w:val="20"/>
              </w:rPr>
              <w:t>Evaluate Housing checklist completion rate (of 14 items)</w:t>
            </w:r>
          </w:p>
        </w:tc>
        <w:tc>
          <w:tcPr>
            <w:tcW w:type="dxa" w:w="3685"/>
          </w:tcPr>
          <w:p>
            <w:r/>
            <w:r>
              <w:rPr>
                <w:sz w:val="20"/>
              </w:rPr>
              <w:t>Signals engagement with the static reference lane</w:t>
            </w:r>
          </w:p>
        </w:tc>
        <w:tc>
          <w:tcPr>
            <w:tcW w:type="dxa" w:w="3118"/>
          </w:tcPr>
          <w:p>
            <w:r/>
            <w:r>
              <w:rPr>
                <w:sz w:val="20"/>
              </w:rPr>
              <w:t>Tracked only in the visiting browser's local storage — never reported anywhere</w:t>
            </w:r>
          </w:p>
        </w:tc>
      </w:tr>
      <w:tr>
        <w:tc>
          <w:tcPr>
            <w:tcW w:type="dxa" w:w="3685"/>
          </w:tcPr>
          <w:p>
            <w:r/>
            <w:r>
              <w:rPr>
                <w:sz w:val="20"/>
              </w:rPr>
              <w:t>Advisor engagement rate (messages per session)</w:t>
            </w:r>
          </w:p>
        </w:tc>
        <w:tc>
          <w:tcPr>
            <w:tcW w:type="dxa" w:w="3685"/>
          </w:tcPr>
          <w:p>
            <w:r/>
            <w:r>
              <w:rPr>
                <w:sz w:val="20"/>
              </w:rPr>
              <w:t>Signals demand for open-ended guidance beyond the static lane</w:t>
            </w:r>
          </w:p>
        </w:tc>
        <w:tc>
          <w:tcPr>
            <w:tcW w:type="dxa" w:w="3118"/>
          </w:tcPr>
          <w:p>
            <w:r/>
            <w:r>
              <w:rPr>
                <w:sz w:val="20"/>
              </w:rPr>
              <w:t>None</w:t>
            </w:r>
          </w:p>
        </w:tc>
      </w:tr>
      <w:tr>
        <w:tc>
          <w:tcPr>
            <w:tcW w:type="dxa" w:w="3685"/>
          </w:tcPr>
          <w:p>
            <w:r/>
            <w:r>
              <w:rPr>
                <w:sz w:val="20"/>
              </w:rPr>
              <w:t>Advisor no-fabrication rate</w:t>
            </w:r>
          </w:p>
        </w:tc>
        <w:tc>
          <w:tcPr>
            <w:tcW w:type="dxa" w:w="3685"/>
          </w:tcPr>
          <w:p>
            <w:r/>
            <w:r>
              <w:rPr>
                <w:sz w:val="20"/>
              </w:rPr>
              <w:t>The Advisor's core trust guarantee — never inventing an address, landlord, listing, or price</w:t>
            </w:r>
          </w:p>
        </w:tc>
        <w:tc>
          <w:tcPr>
            <w:tcW w:type="dxa" w:w="3118"/>
          </w:tcPr>
          <w:p>
            <w:r/>
            <w:r>
              <w:rPr>
                <w:sz w:val="20"/>
              </w:rPr>
              <w:t>None — no eval harness exists (see AI PRD)</w:t>
            </w:r>
          </w:p>
        </w:tc>
      </w:tr>
    </w:tbl>
    <w:p>
      <w:pPr>
        <w:spacing w:after="80"/>
      </w:pPr>
    </w:p>
    <w:p>
      <w:pPr>
        <w:pStyle w:val="Heading1"/>
      </w:pPr>
      <w:r>
        <w:rPr>
          <w:b w:val="0"/>
          <w:i w:val="0"/>
        </w:rPr>
        <w:t>4. Target Users / Personas</w:t>
      </w:r>
    </w:p>
    <w:p>
      <w:r>
        <w:rPr>
          <w:b w:val="0"/>
          <w:i w:val="0"/>
        </w:rPr>
        <w:t>These map directly to the app's own state: flow-state.tsx's Filters.status ("student" | "job-offer" | "other") and journey.ts's three immigration-journey stages (pre-landing / just-landed / settling). Persona and stage are independent axes — a user picks one of each, not a combined profile.</w:t>
      </w:r>
    </w:p>
    <w:tbl>
      <w:tblPr>
        <w:tblStyle w:val="LightGrid-Accent1"/>
        <w:tblW w:type="auto" w:w="0"/>
        <w:jc w:val="left"/>
        <w:tblLook w:firstColumn="1" w:firstRow="1" w:lastColumn="0" w:lastRow="0" w:noHBand="0" w:noVBand="1" w:val="04A0"/>
      </w:tblPr>
      <w:tblGrid>
        <w:gridCol w:w="2880"/>
        <w:gridCol w:w="2880"/>
        <w:gridCol w:w="2880"/>
      </w:tblGrid>
      <w:tr>
        <w:tc>
          <w:tcPr>
            <w:tcW w:type="dxa" w:w="3402"/>
            <w:shd w:val="clear" w:color="auto" w:fill="1F3A5F"/>
          </w:tcPr>
          <w:p>
            <w:r/>
            <w:r>
              <w:rPr>
                <w:b/>
                <w:color w:val="FFFFFF"/>
                <w:sz w:val="21"/>
              </w:rPr>
              <w:t>Persona</w:t>
            </w:r>
          </w:p>
        </w:tc>
        <w:tc>
          <w:tcPr>
            <w:tcW w:type="dxa" w:w="3685"/>
            <w:shd w:val="clear" w:color="auto" w:fill="1F3A5F"/>
          </w:tcPr>
          <w:p>
            <w:r/>
            <w:r>
              <w:rPr>
                <w:b/>
                <w:color w:val="FFFFFF"/>
                <w:sz w:val="21"/>
              </w:rPr>
              <w:t>Distinguishing need</w:t>
            </w:r>
          </w:p>
        </w:tc>
        <w:tc>
          <w:tcPr>
            <w:tcW w:type="dxa" w:w="3402"/>
            <w:shd w:val="clear" w:color="auto" w:fill="1F3A5F"/>
          </w:tcPr>
          <w:p>
            <w:r/>
            <w:r>
              <w:rPr>
                <w:b/>
                <w:color w:val="FFFFFF"/>
                <w:sz w:val="21"/>
              </w:rPr>
              <w:t>What it changes in the UI</w:t>
            </w:r>
          </w:p>
        </w:tc>
      </w:tr>
      <w:tr>
        <w:tc>
          <w:tcPr>
            <w:tcW w:type="dxa" w:w="3402"/>
          </w:tcPr>
          <w:p>
            <w:r/>
            <w:r>
              <w:rPr>
                <w:sz w:val="20"/>
              </w:rPr>
              <w:t>International student</w:t>
            </w:r>
          </w:p>
        </w:tc>
        <w:tc>
          <w:tcPr>
            <w:tcW w:type="dxa" w:w="3685"/>
          </w:tcPr>
          <w:p>
            <w:r/>
            <w:r>
              <w:rPr>
                <w:sz w:val="20"/>
              </w:rPr>
              <w:t>Budget against a student income; needs off-campus housing-board access</w:t>
            </w:r>
          </w:p>
        </w:tc>
        <w:tc>
          <w:tcPr>
            <w:tcW w:type="dxa" w:w="3402"/>
          </w:tcPr>
          <w:p>
            <w:r/>
            <w:r>
              <w:rPr>
                <w:sz w:val="20"/>
              </w:rPr>
              <w:t>Reveals a fourth, student-only Find Housing card (university housing boards)</w:t>
            </w:r>
          </w:p>
        </w:tc>
      </w:tr>
      <w:tr>
        <w:tc>
          <w:tcPr>
            <w:tcW w:type="dxa" w:w="3402"/>
          </w:tcPr>
          <w:p>
            <w:r/>
            <w:r>
              <w:rPr>
                <w:sz w:val="20"/>
              </w:rPr>
              <w:t>Principal applicant, job offer in hand</w:t>
            </w:r>
          </w:p>
        </w:tc>
        <w:tc>
          <w:tcPr>
            <w:tcW w:type="dxa" w:w="3685"/>
          </w:tcPr>
          <w:p>
            <w:r/>
            <w:r>
              <w:rPr>
                <w:sz w:val="20"/>
              </w:rPr>
              <w:t>Move fast on a lease near the job; verify a specific address isn't a scam</w:t>
            </w:r>
          </w:p>
        </w:tc>
        <w:tc>
          <w:tcPr>
            <w:tcW w:type="dxa" w:w="3402"/>
          </w:tcPr>
          <w:p>
            <w:r/>
            <w:r>
              <w:rPr>
                <w:sz w:val="20"/>
              </w:rPr>
              <w:t>No UI change — served by the same core flow as "Other"</w:t>
            </w:r>
          </w:p>
        </w:tc>
      </w:tr>
      <w:tr>
        <w:tc>
          <w:tcPr>
            <w:tcW w:type="dxa" w:w="3402"/>
          </w:tcPr>
          <w:p>
            <w:r/>
            <w:r>
              <w:rPr>
                <w:sz w:val="20"/>
              </w:rPr>
              <w:t>Other immigration stream (family, refugee, etc.)</w:t>
            </w:r>
          </w:p>
        </w:tc>
        <w:tc>
          <w:tcPr>
            <w:tcW w:type="dxa" w:w="3685"/>
          </w:tcPr>
          <w:p>
            <w:r/>
            <w:r>
              <w:rPr>
                <w:sz w:val="20"/>
              </w:rPr>
              <w:t>Longer-horizon neighbourhood fit — safety, affordability, community</w:t>
            </w:r>
          </w:p>
        </w:tc>
        <w:tc>
          <w:tcPr>
            <w:tcW w:type="dxa" w:w="3402"/>
          </w:tcPr>
          <w:p>
            <w:r/>
            <w:r>
              <w:rPr>
                <w:sz w:val="20"/>
              </w:rPr>
              <w:t>No UI change — the default persona</w:t>
            </w:r>
          </w:p>
        </w:tc>
      </w:tr>
    </w:tbl>
    <w:p>
      <w:pPr>
        <w:spacing w:after="80"/>
      </w:pPr>
    </w:p>
    <w:tbl>
      <w:tblPr>
        <w:tblStyle w:val="LightGrid-Accent1"/>
        <w:tblW w:type="auto" w:w="0"/>
        <w:jc w:val="left"/>
        <w:tblLook w:firstColumn="1" w:firstRow="1" w:lastColumn="0" w:lastRow="0" w:noHBand="0" w:noVBand="1" w:val="04A0"/>
      </w:tblPr>
      <w:tblGrid>
        <w:gridCol w:w="2880"/>
        <w:gridCol w:w="2880"/>
        <w:gridCol w:w="2880"/>
      </w:tblGrid>
      <w:tr>
        <w:tc>
          <w:tcPr>
            <w:tcW w:type="dxa" w:w="2268"/>
            <w:shd w:val="clear" w:color="auto" w:fill="1F3A5F"/>
          </w:tcPr>
          <w:p>
            <w:r/>
            <w:r>
              <w:rPr>
                <w:b/>
                <w:color w:val="FFFFFF"/>
                <w:sz w:val="21"/>
              </w:rPr>
              <w:t>Journey stage</w:t>
            </w:r>
          </w:p>
        </w:tc>
        <w:tc>
          <w:tcPr>
            <w:tcW w:type="dxa" w:w="2551"/>
            <w:shd w:val="clear" w:color="auto" w:fill="1F3A5F"/>
          </w:tcPr>
          <w:p>
            <w:r/>
            <w:r>
              <w:rPr>
                <w:b/>
                <w:color w:val="FFFFFF"/>
                <w:sz w:val="21"/>
              </w:rPr>
              <w:t>Window</w:t>
            </w:r>
          </w:p>
        </w:tc>
        <w:tc>
          <w:tcPr>
            <w:tcW w:type="dxa" w:w="5669"/>
            <w:shd w:val="clear" w:color="auto" w:fill="1F3A5F"/>
          </w:tcPr>
          <w:p>
            <w:r/>
            <w:r>
              <w:rPr>
                <w:b/>
                <w:color w:val="FFFFFF"/>
                <w:sz w:val="21"/>
              </w:rPr>
              <w:t>What it changes in the UI</w:t>
            </w:r>
          </w:p>
        </w:tc>
      </w:tr>
      <w:tr>
        <w:tc>
          <w:tcPr>
            <w:tcW w:type="dxa" w:w="2268"/>
          </w:tcPr>
          <w:p>
            <w:r/>
            <w:r>
              <w:rPr>
                <w:sz w:val="20"/>
              </w:rPr>
              <w:t>Pre-landing</w:t>
            </w:r>
          </w:p>
        </w:tc>
        <w:tc>
          <w:tcPr>
            <w:tcW w:type="dxa" w:w="2551"/>
          </w:tcPr>
          <w:p>
            <w:r/>
            <w:r>
              <w:rPr>
                <w:sz w:val="20"/>
              </w:rPr>
              <w:t>Before you fly</w:t>
            </w:r>
          </w:p>
        </w:tc>
        <w:tc>
          <w:tcPr>
            <w:tcW w:type="dxa" w:w="5669"/>
          </w:tcPr>
          <w:p>
            <w:r/>
            <w:r>
              <w:rPr>
                <w:sz w:val="20"/>
              </w:rPr>
              <w:t>"Heads up" note + task checklist about arranging temporary housing and a document pack from abroad</w:t>
            </w:r>
          </w:p>
        </w:tc>
      </w:tr>
      <w:tr>
        <w:tc>
          <w:tcPr>
            <w:tcW w:type="dxa" w:w="2268"/>
          </w:tcPr>
          <w:p>
            <w:r/>
            <w:r>
              <w:rPr>
                <w:sz w:val="20"/>
              </w:rPr>
              <w:t>Just landed</w:t>
            </w:r>
          </w:p>
        </w:tc>
        <w:tc>
          <w:tcPr>
            <w:tcW w:type="dxa" w:w="2551"/>
          </w:tcPr>
          <w:p>
            <w:r/>
            <w:r>
              <w:rPr>
                <w:sz w:val="20"/>
              </w:rPr>
              <w:t>First weeks on the ground</w:t>
            </w:r>
          </w:p>
        </w:tc>
        <w:tc>
          <w:tcPr>
            <w:tcW w:type="dxa" w:w="5669"/>
          </w:tcPr>
          <w:p>
            <w:r/>
            <w:r>
              <w:rPr>
                <w:sz w:val="20"/>
              </w:rPr>
              <w:t>"Heads up" note + tasks about SIN, viewings, and verifying a shortlisted address</w:t>
            </w:r>
          </w:p>
        </w:tc>
      </w:tr>
      <w:tr>
        <w:tc>
          <w:tcPr>
            <w:tcW w:type="dxa" w:w="2268"/>
          </w:tcPr>
          <w:p>
            <w:r/>
            <w:r>
              <w:rPr>
                <w:sz w:val="20"/>
              </w:rPr>
              <w:t>Settling</w:t>
            </w:r>
          </w:p>
        </w:tc>
        <w:tc>
          <w:tcPr>
            <w:tcW w:type="dxa" w:w="2551"/>
          </w:tcPr>
          <w:p>
            <w:r/>
            <w:r>
              <w:rPr>
                <w:sz w:val="20"/>
              </w:rPr>
              <w:t>After you have a lease</w:t>
            </w:r>
          </w:p>
        </w:tc>
        <w:tc>
          <w:tcPr>
            <w:tcW w:type="dxa" w:w="5669"/>
          </w:tcPr>
          <w:p>
            <w:r/>
            <w:r>
              <w:rPr>
                <w:sz w:val="20"/>
              </w:rPr>
              <w:t>"Heads up" note + tasks about tenancy rights, credit-building, and lease renewal</w:t>
            </w:r>
          </w:p>
        </w:tc>
      </w:tr>
    </w:tbl>
    <w:p>
      <w:pPr>
        <w:spacing w:after="80"/>
      </w:pPr>
    </w:p>
    <w:p>
      <w:pPr>
        <w:pStyle w:val="Heading1"/>
      </w:pPr>
      <w:r>
        <w:rPr>
          <w:b w:val="0"/>
          <w:i w:val="0"/>
        </w:rPr>
        <w:t>5. Product Scope and Key Features</w:t>
      </w:r>
    </w:p>
    <w:p>
      <w:r>
        <w:rPr>
          <w:b w:val="0"/>
          <w:i w:val="0"/>
        </w:rPr>
        <w:t>A fixed three-column shell: an index/navigation column, the static reference lane, and the AI Advisor. On mobile the Advisor becomes a primary 70vh section at the top, with the static lane below.</w:t>
      </w:r>
    </w:p>
    <w:p>
      <w:pPr>
        <w:pStyle w:val="Heading2"/>
      </w:pPr>
      <w:r>
        <w:rPr>
          <w:b w:val="0"/>
          <w:i w:val="0"/>
        </w:rPr>
        <w:t>5.1 Find Housing</w:t>
      </w:r>
    </w:p>
    <w:p>
      <w:r>
        <w:rPr>
          <w:b w:val="0"/>
          <w:i w:val="0"/>
        </w:rPr>
        <w:t>Two independent card groups (housing-sections.ts):</w:t>
      </w:r>
    </w:p>
    <w:p>
      <w:pPr>
        <w:pStyle w:val="ListBullet"/>
        <w:ind w:left="283"/>
      </w:pPr>
      <w:r>
        <w:t>Duration — temporary (days–weeks), short-term (1–6 months), long-term (6+ months). Informational only; picking one doesn't filter anything else in the app.</w:t>
      </w:r>
    </w:p>
    <w:p>
      <w:pPr>
        <w:pStyle w:val="ListBullet"/>
        <w:ind w:left="283"/>
      </w:pPr>
      <w:r>
        <w:t>Housing type — managed buildings, owner-owned units, rooms &amp; shared housing, and (student persona only) university housing boards. Single-select; the choice is lifted into shared state and summarized for the AI Advisor.</w:t>
      </w:r>
    </w:p>
    <w:p>
      <w:pPr>
        <w:pStyle w:val="ListBullet"/>
        <w:ind w:left="283"/>
      </w:pPr>
      <w:r>
        <w:t>Every card has a "Learn more" panel listing real external resources (Rentals.ca, Kijiji, university off-campus housing offices, etc.) with name, URL, and a one-line description — no listings or prices are ever shown inside the app itself.</w:t>
      </w:r>
    </w:p>
    <w:p>
      <w:pPr>
        <w:pStyle w:val="Heading2"/>
      </w:pPr>
      <w:r>
        <w:rPr>
          <w:b w:val="0"/>
          <w:i w:val="0"/>
        </w:rPr>
        <w:t>5.2 Evaluate Housing</w:t>
      </w:r>
    </w:p>
    <w:p>
      <w:r>
        <w:rPr>
          <w:b w:val="0"/>
          <w:i w:val="0"/>
        </w:rPr>
        <w:t>A factual, 14-item checklist across 8 topic groups: living setup, total housing costs, commute &amp; transportation, lease terms &amp; rent control, required documents, temporary-vs-long-term strategy, negotiation strategy, and application &amp; communication. Each item can be marked "Reviewed"; progress persists in the browser's local storage and is summarized for the Advisor. There are no prices, listings, or computed totals — a prior monthly cost calculator was removed for implying more precision than a handful of self-entered numbers can support.</w:t>
      </w:r>
    </w:p>
    <w:p>
      <w:pPr>
        <w:pStyle w:val="Heading2"/>
      </w:pPr>
      <w:r>
        <w:rPr>
          <w:b w:val="0"/>
          <w:i w:val="0"/>
        </w:rPr>
        <w:t>5.3 Check the Place</w:t>
      </w:r>
    </w:p>
    <w:p>
      <w:r>
        <w:rPr>
          <w:b w:val="0"/>
          <w:i w:val="0"/>
        </w:rPr>
        <w:t>A user types an address; it's matched to one of 158 known Toronto neighbourhoods by substring on the neighbourhood name (there is no geocoding pipeline — a street address that omits the neighbourhood name won't resolve, by design). A match shows a crime-rate comparison table (assault, break &amp; enter, robbery, auto theft, theft from vehicle) against the population-weighted citywide average, sourced from Toronto Police Service open data. Users can bookmark a place to a "Saved Places" shortlist, also kept in local storage. Rent/CMHC figures are ingested (see §7) but not currently surfaced in this view.</w:t>
      </w:r>
    </w:p>
    <w:p>
      <w:pPr>
        <w:pStyle w:val="Heading2"/>
      </w:pPr>
      <w:r>
        <w:rPr>
          <w:b w:val="0"/>
          <w:i w:val="0"/>
        </w:rPr>
        <w:t>5.4 Settlement Journey</w:t>
      </w:r>
    </w:p>
    <w:p>
      <w:r>
        <w:rPr>
          <w:b w:val="0"/>
          <w:i w:val="0"/>
        </w:rPr>
        <w:t>A checklist per immigration stage (journey.ts), each task tagged as sourced "reference" or general "guidance," with a citation into a small provenance registry (currently the Landlord and Tenant Board) for deposit rules, tenancy rights, and rent-increase notice periods. Items without a citation yet render a "Source to be validated" badge rather than a fabricated one.</w:t>
      </w:r>
    </w:p>
    <w:p>
      <w:pPr>
        <w:pStyle w:val="Heading2"/>
      </w:pPr>
      <w:r>
        <w:rPr>
          <w:b w:val="0"/>
          <w:i w:val="0"/>
        </w:rPr>
        <w:t>5.5 AI Advisor</w:t>
      </w:r>
    </w:p>
    <w:p>
      <w:r>
        <w:rPr>
          <w:b w:val="0"/>
          <w:i w:val="0"/>
        </w:rPr>
        <w:t>A docked, persistent chat panel — never a bubble, never a fullscreen takeover. Backed by Gemini 2.5 Flash via the Lovable AI Gateway, falling back to a direct Gemini API call (model configurable via GEMINI_MODEL) if the gateway key isn't configured. The system prompt enforces:</w:t>
      </w:r>
    </w:p>
    <w:p>
      <w:pPr>
        <w:pStyle w:val="ListBullet"/>
        <w:ind w:left="283"/>
      </w:pPr>
      <w:r>
        <w:t>Ontario-specific rules: first + last month's rent is the legal maximum deposit, no damage deposits, refundable key deposits, 90 days' notice for rent increases.</w:t>
      </w:r>
    </w:p>
    <w:p>
      <w:pPr>
        <w:pStyle w:val="ListBullet"/>
        <w:ind w:left="283"/>
      </w:pPr>
      <w:r>
        <w:t>Concrete credit-history substitutes for newcomers: proof of funds, guarantor, offer/admission letter, translated references.</w:t>
      </w:r>
    </w:p>
    <w:p>
      <w:pPr>
        <w:pStyle w:val="ListBullet"/>
        <w:ind w:left="283"/>
      </w:pPr>
      <w:r>
        <w:t>Scam-pattern flagging whenever money is discussed before a live viewing.</w:t>
      </w:r>
    </w:p>
    <w:p>
      <w:pPr>
        <w:pStyle w:val="ListBullet"/>
        <w:ind w:left="283"/>
      </w:pPr>
      <w:r>
        <w:t>A hard rule against inventing specific addresses, landlords, listings, or prices — the Advisor has no listing database and says so.</w:t>
      </w:r>
    </w:p>
    <w:p>
      <w:pPr>
        <w:pStyle w:val="ListBullet"/>
        <w:ind w:left="283"/>
      </w:pPr>
      <w:r>
        <w:t>A clarifying-question protocol: at most three short questions in the first reply, one at a time after that, never re-asking what the app context already provides.</w:t>
      </w:r>
    </w:p>
    <w:p>
      <w:r>
        <w:rPr>
          <w:b w:val="0"/>
          <w:i w:val="0"/>
        </w:rPr>
        <w:t>Session limits (client- and server-enforced, src/lib/advisor-limits.ts): 15 questions per session, 600 characters per message, the last 8 turns of history sent as context, 700 max output tokens per answer, and a 40-request-per-hour per-IP budget.</w:t>
      </w:r>
    </w:p>
    <w:p>
      <w:r>
        <w:rPr>
          <w:i/>
          <w:color w:val="5B6068"/>
          <w:sz w:val="20"/>
        </w:rPr>
        <w:t>Known gap: the Advisor's header currently reads "Multi-model engine (Claude + ChatGPT + Gemini) · URL-verified · Citation enforced" — none of that is true of the current single-provider implementation. Tracked in detail in Home-Compass-AI-PRD.docx.</w:t>
      </w:r>
    </w:p>
    <w:p>
      <w:pPr>
        <w:pStyle w:val="Heading1"/>
      </w:pPr>
      <w:r>
        <w:rPr>
          <w:b w:val="0"/>
          <w:i w:val="0"/>
        </w:rPr>
        <w:t>6. Two-Lane Data Boundary</w:t>
      </w:r>
    </w:p>
    <w:p>
      <w:r>
        <w:rPr>
          <w:b w:val="0"/>
          <w:i w:val="0"/>
        </w:rPr>
        <w:t>This is the product's core architectural constraint, enforced by convention across flow-state.tsx and the Advisor's route, not yet by an automated guard:</w:t>
      </w:r>
    </w:p>
    <w:p>
      <w:pPr>
        <w:pStyle w:val="ListBullet"/>
        <w:ind w:left="283"/>
      </w:pPr>
      <w:r>
        <w:t>Curated/ingested data (TPS crime rates, CKAN/CMHC rent data, everything under src/data/generated/*) is never fed into the Advisor's prompt, and never will be without a deliberate product decision — it stays sourced-and-labelled in the static lane only.</w:t>
      </w:r>
    </w:p>
    <w:p>
      <w:pPr>
        <w:pStyle w:val="ListBullet"/>
        <w:ind w:left="283"/>
      </w:pPr>
      <w:r>
        <w:t>No AI output is ever written back into the static lane's data or state.</w:t>
      </w:r>
    </w:p>
    <w:p>
      <w:pPr>
        <w:pStyle w:val="ListBullet"/>
        <w:ind w:left="283"/>
      </w:pPr>
      <w:r>
        <w:t>The Advisor's own empty-state offers quick-jump buttons back into the static lane's sections — the only cross-lane UI link, and it runs AI-to-static only.</w:t>
      </w:r>
    </w:p>
    <w:p>
      <w:pPr>
        <w:pStyle w:val="ListBullet"/>
        <w:ind w:left="283"/>
      </w:pPr>
      <w:r>
        <w:t>The one narrow exception: the user's own in-app activity — which Evaluate Housing items they've reviewed and which housing type they selected — is summarized into the Advisor's context string. This is the user's own activity, not curated data, so it does not cross the boundary above.</w:t>
      </w:r>
    </w:p>
    <w:p>
      <w:pPr>
        <w:pStyle w:val="Heading1"/>
      </w:pPr>
      <w:r>
        <w:rPr>
          <w:b w:val="0"/>
          <w:i w:val="0"/>
        </w:rPr>
        <w:t>7. Data Architecture</w:t>
      </w:r>
    </w:p>
    <w:p>
      <w:r>
        <w:rPr>
          <w:b w:val="0"/>
          <w:i w:val="0"/>
        </w:rPr>
        <w:t>Hand-authored static content lives in src/data/*.ts (journey stages, Find/Evaluate Housing content, the citation registry, sample Advisor conversations). Ingested reference data lives in src/data/generated/*.json and is produced by scripts under scripts/ingest/, not hand-written:</w:t>
      </w:r>
    </w:p>
    <w:tbl>
      <w:tblPr>
        <w:tblStyle w:val="LightGrid-Accent1"/>
        <w:tblW w:type="auto" w:w="0"/>
        <w:jc w:val="left"/>
        <w:tblLook w:firstColumn="1" w:firstRow="1" w:lastColumn="0" w:lastRow="0" w:noHBand="0" w:noVBand="1" w:val="04A0"/>
      </w:tblPr>
      <w:tblGrid>
        <w:gridCol w:w="2880"/>
        <w:gridCol w:w="2880"/>
        <w:gridCol w:w="2880"/>
      </w:tblGrid>
      <w:tr>
        <w:tc>
          <w:tcPr>
            <w:tcW w:type="dxa" w:w="2835"/>
            <w:shd w:val="clear" w:color="auto" w:fill="1F3A5F"/>
          </w:tcPr>
          <w:p>
            <w:r/>
            <w:r>
              <w:rPr>
                <w:b/>
                <w:color w:val="FFFFFF"/>
                <w:sz w:val="21"/>
              </w:rPr>
              <w:t>Source</w:t>
            </w:r>
          </w:p>
        </w:tc>
        <w:tc>
          <w:tcPr>
            <w:tcW w:type="dxa" w:w="4252"/>
            <w:shd w:val="clear" w:color="auto" w:fill="1F3A5F"/>
          </w:tcPr>
          <w:p>
            <w:r/>
            <w:r>
              <w:rPr>
                <w:b/>
                <w:color w:val="FFFFFF"/>
                <w:sz w:val="21"/>
              </w:rPr>
              <w:t>What it provides</w:t>
            </w:r>
          </w:p>
        </w:tc>
        <w:tc>
          <w:tcPr>
            <w:tcW w:type="dxa" w:w="3402"/>
            <w:shd w:val="clear" w:color="auto" w:fill="1F3A5F"/>
          </w:tcPr>
          <w:p>
            <w:r/>
            <w:r>
              <w:rPr>
                <w:b/>
                <w:color w:val="FFFFFF"/>
                <w:sz w:val="21"/>
              </w:rPr>
              <w:t>Status</w:t>
            </w:r>
          </w:p>
        </w:tc>
      </w:tr>
      <w:tr>
        <w:tc>
          <w:tcPr>
            <w:tcW w:type="dxa" w:w="2835"/>
          </w:tcPr>
          <w:p>
            <w:r/>
            <w:r>
              <w:rPr>
                <w:sz w:val="20"/>
              </w:rPr>
              <w:t>Toronto Police Service (ArcGIS)</w:t>
            </w:r>
          </w:p>
        </w:tc>
        <w:tc>
          <w:tcPr>
            <w:tcW w:type="dxa" w:w="4252"/>
          </w:tcPr>
          <w:p>
            <w:r/>
            <w:r>
              <w:rPr>
                <w:sz w:val="20"/>
              </w:rPr>
              <w:t>Neighbourhood-level crime counts and rates, 158 neighbourhoods</w:t>
            </w:r>
          </w:p>
        </w:tc>
        <w:tc>
          <w:tcPr>
            <w:tcW w:type="dxa" w:w="3402"/>
          </w:tcPr>
          <w:p>
            <w:r/>
            <w:r>
              <w:rPr>
                <w:sz w:val="20"/>
              </w:rPr>
              <w:t>Live — powers Check the Place</w:t>
            </w:r>
          </w:p>
        </w:tc>
      </w:tr>
      <w:tr>
        <w:tc>
          <w:tcPr>
            <w:tcW w:type="dxa" w:w="2835"/>
          </w:tcPr>
          <w:p>
            <w:r/>
            <w:r>
              <w:rPr>
                <w:sz w:val="20"/>
              </w:rPr>
              <w:t>City of Toronto Open Data (CKAN), 2021 Census profiles</w:t>
            </w:r>
          </w:p>
        </w:tc>
        <w:tc>
          <w:tcPr>
            <w:tcW w:type="dxa" w:w="4252"/>
          </w:tcPr>
          <w:p>
            <w:r/>
            <w:r>
              <w:rPr>
                <w:sz w:val="20"/>
              </w:rPr>
              <w:t>Median shelter cost per neighbourhood — the closest available rent proxy</w:t>
            </w:r>
          </w:p>
        </w:tc>
        <w:tc>
          <w:tcPr>
            <w:tcW w:type="dxa" w:w="3402"/>
          </w:tcPr>
          <w:p>
            <w:r/>
            <w:r>
              <w:rPr>
                <w:sz w:val="20"/>
              </w:rPr>
              <w:t>Ingested; not currently shown in the UI</w:t>
            </w:r>
          </w:p>
        </w:tc>
      </w:tr>
      <w:tr>
        <w:tc>
          <w:tcPr>
            <w:tcW w:type="dxa" w:w="2835"/>
          </w:tcPr>
          <w:p>
            <w:r/>
            <w:r>
              <w:rPr>
                <w:sz w:val="20"/>
              </w:rPr>
              <w:t>CMHC Rental Market Survey (HMIP portal)</w:t>
            </w:r>
          </w:p>
        </w:tc>
        <w:tc>
          <w:tcPr>
            <w:tcW w:type="dxa" w:w="4252"/>
          </w:tcPr>
          <w:p>
            <w:r/>
            <w:r>
              <w:rPr>
                <w:sz w:val="20"/>
              </w:rPr>
              <w:t>City-wide rent baseline by unit size, vacancy rate</w:t>
            </w:r>
          </w:p>
        </w:tc>
        <w:tc>
          <w:tcPr>
            <w:tcW w:type="dxa" w:w="3402"/>
          </w:tcPr>
          <w:p>
            <w:r/>
            <w:r>
              <w:rPr>
                <w:sz w:val="20"/>
              </w:rPr>
              <w:t>Not populated — no stable public export URL; requires a manual CMHC_XLSX_URL capture</w:t>
            </w:r>
          </w:p>
        </w:tc>
      </w:tr>
    </w:tbl>
    <w:p>
      <w:pPr>
        <w:spacing w:after="80"/>
      </w:pPr>
    </w:p>
    <w:p>
      <w:r>
        <w:rPr>
          <w:b w:val="0"/>
          <w:i w:val="0"/>
        </w:rPr>
        <w:t>The two neighbourhood-level files join on hood_id, never on area_name — TPS and CKAN publish slightly different punctuation for 7 of the 158 neighbourhood names. Workbook parsing uses exceljs (the xlsx npm package is avoided as a known-vulnerable dependency).</w:t>
      </w:r>
    </w:p>
    <w:p>
      <w:r>
        <w:rPr>
          <w:b w:val="0"/>
          <w:i w:val="0"/>
        </w:rPr>
        <w:t>Nothing about a user is persisted server-side: there is no account system, no database writes, and no chat-transcript storage. The only client-side persistence is browser local storage, for two specific, low-stakes items: Evaluate Housing "reviewed" marks and Check the Place's saved-places list. Everything else — chat messages, persona, stage, selected housing type — resets on refresh.</w:t>
      </w:r>
    </w:p>
    <w:p>
      <w:pPr>
        <w:pStyle w:val="Heading1"/>
      </w:pPr>
      <w:r>
        <w:rPr>
          <w:b w:val="0"/>
          <w:i w:val="0"/>
        </w:rPr>
        <w:t>8. Non-Functional Requirements</w:t>
      </w:r>
    </w:p>
    <w:p>
      <w:pPr>
        <w:pStyle w:val="ListBullet"/>
        <w:ind w:left="283"/>
      </w:pPr>
      <w:r>
        <w:t>Privacy: no account, no email, no address, no server-side persistence of anything the user types. A refresh loses the conversation.</w:t>
      </w:r>
    </w:p>
    <w:p>
      <w:pPr>
        <w:pStyle w:val="ListBullet"/>
        <w:ind w:left="283"/>
      </w:pPr>
      <w:r>
        <w:t>Resilience: the AI Advisor is additive. If it is removed or fails outright, Find Housing, Evaluate Housing, the Journey checklist, and Check the Place all continue to work — they are deterministic and pre-built.</w:t>
      </w:r>
    </w:p>
    <w:p>
      <w:pPr>
        <w:pStyle w:val="ListBullet"/>
        <w:ind w:left="283"/>
      </w:pPr>
      <w:r>
        <w:t>Cost control: the Advisor enforces session, message-length, history-length, and per-IP rate limits server-side, since client-side limits alone can be bypassed.</w:t>
      </w:r>
    </w:p>
    <w:p>
      <w:pPr>
        <w:pStyle w:val="ListBullet"/>
        <w:ind w:left="283"/>
      </w:pPr>
      <w:r>
        <w:t>Graceful degradation: ingestion failures preserve the last-known-good data file rather than corrupting it; a missing CMHC file is treated as an empty-object case, not a broken import.</w:t>
      </w:r>
    </w:p>
    <w:p>
      <w:pPr>
        <w:pStyle w:val="ListBullet"/>
        <w:ind w:left="283"/>
      </w:pPr>
      <w:r>
        <w:t>Accessibility: interactive cards and toggles carry aria-pressed/aria-label attributes; disclosure patterns keep primary content scannable with detail one tap away.</w:t>
      </w:r>
    </w:p>
    <w:p>
      <w:pPr>
        <w:pStyle w:val="Heading1"/>
      </w:pPr>
      <w:r>
        <w:rPr>
          <w:b w:val="0"/>
          <w:i w:val="0"/>
        </w:rPr>
        <w:t>9. Explicitly Out of Scope</w:t>
      </w:r>
    </w:p>
    <w:p>
      <w:pPr>
        <w:pStyle w:val="ListBullet"/>
        <w:ind w:left="283"/>
      </w:pPr>
      <w:r>
        <w:t>Real listings or live prices anywhere in the app.</w:t>
      </w:r>
    </w:p>
    <w:p>
      <w:pPr>
        <w:pStyle w:val="ListBullet"/>
        <w:ind w:left="283"/>
      </w:pPr>
      <w:r>
        <w:t>Geocoding — Check the Place matches by neighbourhood-name substring, not coordinates, by design.</w:t>
      </w:r>
    </w:p>
    <w:p>
      <w:pPr>
        <w:pStyle w:val="ListBullet"/>
        <w:ind w:left="283"/>
      </w:pPr>
      <w:r>
        <w:t>User accounts or personalization — Supabase auth scaffolding exists in the codebase but is wired into no product route or component.</w:t>
      </w:r>
    </w:p>
    <w:p>
      <w:pPr>
        <w:pStyle w:val="ListBullet"/>
        <w:ind w:left="283"/>
      </w:pPr>
      <w:r>
        <w:t>Agentic actions of any kind — the Advisor is read-only/conversational; it cannot execute actions or write into the static data lane.</w:t>
      </w:r>
    </w:p>
    <w:p>
      <w:pPr>
        <w:pStyle w:val="ListBullet"/>
        <w:ind w:left="283"/>
      </w:pPr>
      <w:r>
        <w:t>Any city outside the Toronto data the ingestion pipeline currently covers.</w:t>
      </w:r>
    </w:p>
    <w:p>
      <w:pPr>
        <w:pStyle w:val="Heading1"/>
      </w:pPr>
      <w:r>
        <w:rPr>
          <w:b w:val="0"/>
          <w:i w:val="0"/>
        </w:rPr>
        <w:t>10. Tech Stack</w:t>
      </w:r>
    </w:p>
    <w:tbl>
      <w:tblPr>
        <w:tblStyle w:val="LightGrid-Accent1"/>
        <w:tblW w:type="auto" w:w="0"/>
        <w:jc w:val="left"/>
        <w:tblLook w:firstColumn="1" w:firstRow="1" w:lastColumn="0" w:lastRow="0" w:noHBand="0" w:noVBand="1" w:val="04A0"/>
      </w:tblPr>
      <w:tblGrid>
        <w:gridCol w:w="4320"/>
        <w:gridCol w:w="4320"/>
      </w:tblGrid>
      <w:tr>
        <w:tc>
          <w:tcPr>
            <w:tcW w:type="dxa" w:w="2835"/>
            <w:shd w:val="clear" w:color="auto" w:fill="1F3A5F"/>
          </w:tcPr>
          <w:p>
            <w:r/>
            <w:r>
              <w:rPr>
                <w:b/>
                <w:color w:val="FFFFFF"/>
                <w:sz w:val="21"/>
              </w:rPr>
              <w:t>Layer</w:t>
            </w:r>
          </w:p>
        </w:tc>
        <w:tc>
          <w:tcPr>
            <w:tcW w:type="dxa" w:w="7654"/>
            <w:shd w:val="clear" w:color="auto" w:fill="1F3A5F"/>
          </w:tcPr>
          <w:p>
            <w:r/>
            <w:r>
              <w:rPr>
                <w:b/>
                <w:color w:val="FFFFFF"/>
                <w:sz w:val="21"/>
              </w:rPr>
              <w:t>Choice</w:t>
            </w:r>
          </w:p>
        </w:tc>
      </w:tr>
      <w:tr>
        <w:tc>
          <w:tcPr>
            <w:tcW w:type="dxa" w:w="2835"/>
          </w:tcPr>
          <w:p>
            <w:r/>
            <w:r>
              <w:rPr>
                <w:sz w:val="20"/>
              </w:rPr>
              <w:t>Framework</w:t>
            </w:r>
          </w:p>
        </w:tc>
        <w:tc>
          <w:tcPr>
            <w:tcW w:type="dxa" w:w="7654"/>
          </w:tcPr>
          <w:p>
            <w:r/>
            <w:r>
              <w:rPr>
                <w:sz w:val="20"/>
              </w:rPr>
              <w:t>TanStack Start v1 (React 19, SSR, file-based routing)</w:t>
            </w:r>
          </w:p>
        </w:tc>
      </w:tr>
      <w:tr>
        <w:tc>
          <w:tcPr>
            <w:tcW w:type="dxa" w:w="2835"/>
          </w:tcPr>
          <w:p>
            <w:r/>
            <w:r>
              <w:rPr>
                <w:sz w:val="20"/>
              </w:rPr>
              <w:t>Build tool</w:t>
            </w:r>
          </w:p>
        </w:tc>
        <w:tc>
          <w:tcPr>
            <w:tcW w:type="dxa" w:w="7654"/>
          </w:tcPr>
          <w:p>
            <w:r/>
            <w:r>
              <w:rPr>
                <w:sz w:val="20"/>
              </w:rPr>
              <w:t>Vite 8, via @lovable.dev/vite-tanstack-config (Nitro, Cloudflare target by default)</w:t>
            </w:r>
          </w:p>
        </w:tc>
      </w:tr>
      <w:tr>
        <w:tc>
          <w:tcPr>
            <w:tcW w:type="dxa" w:w="2835"/>
          </w:tcPr>
          <w:p>
            <w:r/>
            <w:r>
              <w:rPr>
                <w:sz w:val="20"/>
              </w:rPr>
              <w:t>Package manager</w:t>
            </w:r>
          </w:p>
        </w:tc>
        <w:tc>
          <w:tcPr>
            <w:tcW w:type="dxa" w:w="7654"/>
          </w:tcPr>
          <w:p>
            <w:r/>
            <w:r>
              <w:rPr>
                <w:sz w:val="20"/>
              </w:rPr>
              <w:t>Bun</w:t>
            </w:r>
          </w:p>
        </w:tc>
      </w:tr>
      <w:tr>
        <w:tc>
          <w:tcPr>
            <w:tcW w:type="dxa" w:w="2835"/>
          </w:tcPr>
          <w:p>
            <w:r/>
            <w:r>
              <w:rPr>
                <w:sz w:val="20"/>
              </w:rPr>
              <w:t>Styling</w:t>
            </w:r>
          </w:p>
        </w:tc>
        <w:tc>
          <w:tcPr>
            <w:tcW w:type="dxa" w:w="7654"/>
          </w:tcPr>
          <w:p>
            <w:r/>
            <w:r>
              <w:rPr>
                <w:sz w:val="20"/>
              </w:rPr>
              <w:t>Tailwind CSS v4 + shadcn/ui</w:t>
            </w:r>
          </w:p>
        </w:tc>
      </w:tr>
      <w:tr>
        <w:tc>
          <w:tcPr>
            <w:tcW w:type="dxa" w:w="2835"/>
          </w:tcPr>
          <w:p>
            <w:r/>
            <w:r>
              <w:rPr>
                <w:sz w:val="20"/>
              </w:rPr>
              <w:t>AI</w:t>
            </w:r>
          </w:p>
        </w:tc>
        <w:tc>
          <w:tcPr>
            <w:tcW w:type="dxa" w:w="7654"/>
          </w:tcPr>
          <w:p>
            <w:r/>
            <w:r>
              <w:rPr>
                <w:sz w:val="20"/>
              </w:rPr>
              <w:t>Lovable AI Gateway (Gemini 2.5 Flash), direct Gemini API fallback</w:t>
            </w:r>
          </w:p>
        </w:tc>
      </w:tr>
      <w:tr>
        <w:tc>
          <w:tcPr>
            <w:tcW w:type="dxa" w:w="2835"/>
          </w:tcPr>
          <w:p>
            <w:r/>
            <w:r>
              <w:rPr>
                <w:sz w:val="20"/>
              </w:rPr>
              <w:t>Auth / database</w:t>
            </w:r>
          </w:p>
        </w:tc>
        <w:tc>
          <w:tcPr>
            <w:tcW w:type="dxa" w:w="7654"/>
          </w:tcPr>
          <w:p>
            <w:r/>
            <w:r>
              <w:rPr>
                <w:sz w:val="20"/>
              </w:rPr>
              <w:t>Supabase client scaffolded; not used by the housing feature</w:t>
            </w:r>
          </w:p>
        </w:tc>
      </w:tr>
      <w:tr>
        <w:tc>
          <w:tcPr>
            <w:tcW w:type="dxa" w:w="2835"/>
          </w:tcPr>
          <w:p>
            <w:r/>
            <w:r>
              <w:rPr>
                <w:sz w:val="20"/>
              </w:rPr>
              <w:t>Workbook parsing</w:t>
            </w:r>
          </w:p>
        </w:tc>
        <w:tc>
          <w:tcPr>
            <w:tcW w:type="dxa" w:w="7654"/>
          </w:tcPr>
          <w:p>
            <w:r/>
            <w:r>
              <w:rPr>
                <w:sz w:val="20"/>
              </w:rPr>
              <w:t>exceljs (not xlsx, which has a known vulnerability)</w:t>
            </w:r>
          </w:p>
        </w:tc>
      </w:tr>
    </w:tbl>
    <w:p>
      <w:pPr>
        <w:spacing w:after="80"/>
      </w:pPr>
    </w:p>
    <w:p>
      <w:pPr>
        <w:pStyle w:val="Heading1"/>
      </w:pPr>
      <w:r>
        <w:rPr>
          <w:b w:val="0"/>
          <w:i w:val="0"/>
        </w:rPr>
        <w:t>11. Known Gaps and Risks</w:t>
      </w:r>
    </w:p>
    <w:p>
      <w:r>
        <w:rPr>
          <w:b w:val="0"/>
          <w:i w:val="0"/>
        </w:rPr>
        <w:t>A summary; see Home-Compass-AI-PRD.docx for the full AI-specific eval framework, guardrails table, and claim-vs-reality audit.</w:t>
      </w:r>
    </w:p>
    <w:p>
      <w:pPr>
        <w:pStyle w:val="ListBullet"/>
        <w:ind w:left="283"/>
      </w:pPr>
      <w:r>
        <w:t>Advisor header overclaims a multi-model, URL-verified, citation-enforced pipeline that does not exist in code today — a trust-safety issue for an audience navigating scam risk, not just a copy nit.</w:t>
      </w:r>
    </w:p>
    <w:p>
      <w:pPr>
        <w:pStyle w:val="ListBullet"/>
        <w:ind w:left="283"/>
      </w:pPr>
      <w:r>
        <w:t>No output validation beyond the system prompt's own instructions — no automated check that the Advisor never fabricates a listing.</w:t>
      </w:r>
    </w:p>
    <w:p>
      <w:pPr>
        <w:pStyle w:val="ListBullet"/>
        <w:ind w:left="283"/>
      </w:pPr>
      <w:r>
        <w:t>No analytics or monitoring of any kind — every metric in §3 is currently unmeasured.</w:t>
      </w:r>
    </w:p>
    <w:p>
      <w:pPr>
        <w:pStyle w:val="ListBullet"/>
        <w:ind w:left="283"/>
      </w:pPr>
      <w:r>
        <w:t>CMHC rent baseline has no stable public export URL and is not populated; the UI block that referenced it was removed rather than left broken.</w:t>
      </w:r>
    </w:p>
    <w:p>
      <w:pPr>
        <w:pStyle w:val="ListBullet"/>
        <w:ind w:left="283"/>
      </w:pPr>
      <w:r>
        <w:t>No stop/cancel or retry control on an in-flight Advisor response.</w:t>
      </w:r>
    </w:p>
    <w:p>
      <w:pPr>
        <w:pStyle w:val="ListBullet"/>
        <w:ind w:left="283"/>
      </w:pPr>
      <w:r>
        <w:t>Supabase auth scaffolding implies account features that don't exist yet — should be built on or removed to avoid implying a capability that isn't there.</w:t>
      </w:r>
    </w:p>
    <w:p>
      <w:pPr>
        <w:pStyle w:val="Heading1"/>
      </w:pPr>
      <w:r>
        <w:rPr>
          <w:b w:val="0"/>
          <w:i w:val="0"/>
        </w:rPr>
        <w:t>12. Related Documents</w:t>
      </w:r>
    </w:p>
    <w:p>
      <w:pPr>
        <w:pStyle w:val="ListBullet"/>
        <w:ind w:left="283"/>
      </w:pPr>
      <w:r>
        <w:t>Home-Compass-AI-PRD.docx — Innovation Mode AI PRD: eval framework, guardrails, model strategy, and a claim-vs-reality audit specific to the AI Advisor.</w:t>
      </w:r>
    </w:p>
    <w:p>
      <w:pPr>
        <w:pStyle w:val="ListBullet"/>
        <w:ind w:left="283"/>
      </w:pPr>
      <w:r>
        <w:t>README.md — setup, local development, and contribution guide.</w:t>
      </w:r>
    </w:p>
    <w:p>
      <w:pPr>
        <w:pStyle w:val="ListBullet"/>
        <w:ind w:left="283"/>
      </w:pPr>
      <w:r>
        <w:t>docs/user-and-data-flow.md — step-by-step user flow and data flow, including failure modes and the kill-switch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024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F3A5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val="0"/>
      <w:iCs/>
      <w:color w:val="5B6068"/>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