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Home Compass — AI Product Requirements Document</w:t>
      </w:r>
    </w:p>
    <w:p>
      <w:pPr>
        <w:jc w:val="center"/>
      </w:pPr>
      <w:r>
        <w:rPr>
          <w:i/>
          <w:sz w:val="26"/>
        </w:rPr>
        <w:t>The Housing Assistant for newcomers to Ontario</w:t>
      </w:r>
    </w:p>
    <w:p>
      <w:pPr>
        <w:jc w:val="center"/>
      </w:pPr>
      <w:r>
        <w:rPr>
          <w:color w:val="606060"/>
          <w:sz w:val="19"/>
        </w:rPr>
        <w:t>Compiled 2026-08-21 by direct source-code audit (routes, components, ingestion pipeline, AI system prompt) rather than README.md / docs/user-and-data-flow.md, both confirmed stale.</w:t>
        <w:br/>
        <w:t>Framework: Innovation Mode AI PRD (deterministic vs. probabilistic).</w:t>
      </w:r>
    </w:p>
    <w:p/>
    <w:p>
      <w:pPr>
        <w:ind w:left="432" w:right="432"/>
      </w:pPr>
      <w:r>
        <w:rPr>
          <w:sz w:val="20"/>
        </w:rPr>
        <w:t>Classification: Level 2 (AI-Assisted) at the product level, with the AI Advisor sub-feature operating as a Level 3 (AI-Native) conversational experience.</w:t>
        <w:br/>
        <w:br/>
        <w:t>Litmus test: if the AI Advisor were removed, Find Housing, the settlement Journey checklist, and the Check the Place address report would all still work — they are deterministic, sourced, and pre-built. Only the third column (a chat experience where the model's judgment IS the output) disappears. That sub-feature therefore gets the full Tier 2/3 AI treatment below; the deterministic "static reference lane" gets the lighter Level 1 treatment appropriate to it.</w:t>
      </w:r>
    </w:p>
    <w:p>
      <w:r>
        <w:br w:type="page"/>
      </w:r>
    </w:p>
    <w:p>
      <w:pPr>
        <w:pStyle w:val="Heading1"/>
      </w:pPr>
      <w:r>
        <w:t>AI Hypothesis</w:t>
      </w:r>
    </w:p>
    <w:p>
      <w:r>
        <w:rPr>
          <w:b w:val="0"/>
          <w:i/>
        </w:rPr>
        <w:t>We believe a general-purpose LLM (Gemini 2.5/2.0 Flash, called through the Lovable AI Gateway with a direct-Gemini fallback) can hold an open-ended conversation about Ontario-specific newcomer housing questions — leases, tenant rights, scam red flags, neighbourhood tradeoffs — at a quality bar of "never fabricates a specific address, landlord, listing, or price, and clearly labels any number as general guidance rather than a verified figure," for the narrow use case of a non-transactional advisory chat sitting beside (not replacing) sourced reference data, because the current system prompt already encodes these constraints in instruction form and informal use has not surfaced fabricated listings.</w:t>
      </w:r>
    </w:p>
    <w:p>
      <w:r>
        <w:rPr>
          <w:b/>
        </w:rPr>
        <w:t xml:space="preserve">Status: unvalidated. </w:t>
      </w:r>
      <w:r>
        <w:t>There is no golden Q&amp;A set, no AI-as-judge harness, and no human-review log today — the hypothesis rests on the system prompt's wording and anecdotal testing, not measurement. Building the eval framework in Tier 2 below is what would actually test it.</w:t>
      </w:r>
    </w:p>
    <w:p>
      <w:pPr>
        <w:pStyle w:val="Heading1"/>
      </w:pPr>
      <w:r>
        <w:t>Tier 1 — Strategic Foundation</w:t>
      </w:r>
    </w:p>
    <w:p>
      <w:r>
        <w:rPr>
          <w:b w:val="0"/>
          <w:i/>
        </w:rPr>
        <w:t>Reviewed quarterly. This is the stable layer describing the whole product, not just its AI component.</w:t>
      </w:r>
    </w:p>
    <w:p>
      <w:pPr>
        <w:pStyle w:val="Heading2"/>
      </w:pPr>
      <w:r>
        <w:t>Executive Summary</w:t>
      </w:r>
    </w:p>
    <w:p>
      <w:r>
        <w:rPr>
          <w:b w:val="0"/>
          <w:i w:val="0"/>
        </w:rPr>
        <w:t>Home Compass is a single-page web app (TanStack Start + React 19, deployed as one route) that helps newcomers to Ontario — international students, principal applicants with a job offer, and other immigration streams — plan and verify their housing. It runs a strict three-column, two-lane layout: a static "reference lane" of pre-built, sourced content (Find Housing guidance, a settlement Journey checklist, and a "Check the Place" address report built on ingested City of Toronto Police and Census/CMHC data), and a conversational "AI Advisor" lane for open-ended questions. The two lanes are deliberately never mixed: no ingested data is fed into the Advisor's prompt, and no AI output is ever written into the sourced columns, so the UI can honestly label one column "Reference" and the other "AI response."</w:t>
      </w:r>
    </w:p>
    <w:p>
      <w:pPr>
        <w:pStyle w:val="Heading2"/>
      </w:pPr>
      <w:r>
        <w:t>Problem Statement</w:t>
      </w:r>
    </w:p>
    <w:p>
      <w:pPr>
        <w:pStyle w:val="ListBullet"/>
      </w:pPr>
      <w:r>
        <w:t>Newcomers must make high-stakes housing decisions (where to live, what rent is fair, whether a listing is a scam) with fragmented, hard-to-verify information and no local track record to lean on.</w:t>
      </w:r>
    </w:p>
    <w:p>
      <w:pPr>
        <w:pStyle w:val="ListBullet"/>
      </w:pPr>
      <w:r>
        <w:t>Government safety and rent data exists but is scattered across formats (ArcGIS feeds, Census XLSX workbooks, CMHC portal exports) that no ordinary user will go find and cross-reference themselves.</w:t>
      </w:r>
    </w:p>
    <w:p>
      <w:pPr>
        <w:pStyle w:val="ListBullet"/>
      </w:pPr>
      <w:r>
        <w:t>Generic chatbots can answer housing questions but have no access to real local safety/rent figures and no way to signal which parts of an answer are sourced fact versus generated guidance.</w:t>
      </w:r>
    </w:p>
    <w:p>
      <w:pPr>
        <w:pStyle w:val="Heading2"/>
      </w:pPr>
      <w:r>
        <w:t>Target Users / Personas</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shd w:fill="1F3A5F"/>
          </w:tcPr>
          <w:p>
            <w:r>
              <w:rPr>
                <w:b/>
                <w:color w:val="FFFFFF"/>
                <w:sz w:val="19"/>
              </w:rPr>
              <w:t>Persona</w:t>
            </w:r>
          </w:p>
        </w:tc>
        <w:tc>
          <w:tcPr>
            <w:tcW w:type="dxa" w:w="1872"/>
            <w:shd w:fill="1F3A5F"/>
          </w:tcPr>
          <w:p>
            <w:r>
              <w:rPr>
                <w:b/>
                <w:color w:val="FFFFFF"/>
                <w:sz w:val="19"/>
              </w:rPr>
              <w:t>Journey stage</w:t>
            </w:r>
          </w:p>
        </w:tc>
        <w:tc>
          <w:tcPr>
            <w:tcW w:type="dxa" w:w="4752"/>
            <w:shd w:fill="1F3A5F"/>
          </w:tcPr>
          <w:p>
            <w:r>
              <w:rPr>
                <w:b/>
                <w:color w:val="FFFFFF"/>
                <w:sz w:val="19"/>
              </w:rPr>
              <w:t>Primary need</w:t>
            </w:r>
          </w:p>
        </w:tc>
      </w:tr>
      <w:tr>
        <w:tc>
          <w:tcPr>
            <w:tcW w:type="dxa" w:w="2736"/>
          </w:tcPr>
          <w:p>
            <w:pPr>
              <w:spacing w:after="40"/>
            </w:pPr>
            <w:r>
              <w:rPr>
                <w:sz w:val="19"/>
              </w:rPr>
              <w:t>International student</w:t>
            </w:r>
          </w:p>
        </w:tc>
        <w:tc>
          <w:tcPr>
            <w:tcW w:type="dxa" w:w="1872"/>
          </w:tcPr>
          <w:p>
            <w:pPr>
              <w:spacing w:after="40"/>
            </w:pPr>
            <w:r>
              <w:rPr>
                <w:sz w:val="19"/>
              </w:rPr>
              <w:t>Pre-landing</w:t>
            </w:r>
          </w:p>
        </w:tc>
        <w:tc>
          <w:tcPr>
            <w:tcW w:type="dxa" w:w="4752"/>
          </w:tcPr>
          <w:p>
            <w:pPr>
              <w:spacing w:after="40"/>
            </w:pPr>
            <w:r>
              <w:rPr>
                <w:sz w:val="19"/>
              </w:rPr>
              <w:t>Understand housing types/duration options before arrival; budget against a student income.</w:t>
            </w:r>
          </w:p>
        </w:tc>
      </w:tr>
      <w:tr>
        <w:tc>
          <w:tcPr>
            <w:tcW w:type="dxa" w:w="2736"/>
          </w:tcPr>
          <w:p>
            <w:pPr>
              <w:spacing w:after="40"/>
            </w:pPr>
            <w:r>
              <w:rPr>
                <w:sz w:val="19"/>
              </w:rPr>
              <w:t>Principal applicant, job offer in hand</w:t>
            </w:r>
          </w:p>
        </w:tc>
        <w:tc>
          <w:tcPr>
            <w:tcW w:type="dxa" w:w="1872"/>
          </w:tcPr>
          <w:p>
            <w:pPr>
              <w:spacing w:after="40"/>
            </w:pPr>
            <w:r>
              <w:rPr>
                <w:sz w:val="19"/>
              </w:rPr>
              <w:t>Just-landed</w:t>
            </w:r>
          </w:p>
        </w:tc>
        <w:tc>
          <w:tcPr>
            <w:tcW w:type="dxa" w:w="4752"/>
          </w:tcPr>
          <w:p>
            <w:pPr>
              <w:spacing w:after="40"/>
            </w:pPr>
            <w:r>
              <w:rPr>
                <w:sz w:val="19"/>
              </w:rPr>
              <w:t>Move fast on a lease near the job; verify a specific address/listing isn't a scam.</w:t>
            </w:r>
          </w:p>
        </w:tc>
      </w:tr>
      <w:tr>
        <w:tc>
          <w:tcPr>
            <w:tcW w:type="dxa" w:w="2736"/>
          </w:tcPr>
          <w:p>
            <w:pPr>
              <w:spacing w:after="40"/>
            </w:pPr>
            <w:r>
              <w:rPr>
                <w:sz w:val="19"/>
              </w:rPr>
              <w:t>Other immigration stream (family, refugee, etc.)</w:t>
            </w:r>
          </w:p>
        </w:tc>
        <w:tc>
          <w:tcPr>
            <w:tcW w:type="dxa" w:w="1872"/>
          </w:tcPr>
          <w:p>
            <w:pPr>
              <w:spacing w:after="40"/>
            </w:pPr>
            <w:r>
              <w:rPr>
                <w:sz w:val="19"/>
              </w:rPr>
              <w:t>Settling</w:t>
            </w:r>
          </w:p>
        </w:tc>
        <w:tc>
          <w:tcPr>
            <w:tcW w:type="dxa" w:w="4752"/>
          </w:tcPr>
          <w:p>
            <w:pPr>
              <w:spacing w:after="40"/>
            </w:pPr>
            <w:r>
              <w:rPr>
                <w:sz w:val="19"/>
              </w:rPr>
              <w:t>Longer-horizon neighbourhood fit — safety, affordability, community — plus a settlement checklist.</w:t>
            </w:r>
          </w:p>
        </w:tc>
      </w:tr>
    </w:tbl>
    <w:p/>
    <w:p>
      <w:r>
        <w:rPr>
          <w:b w:val="0"/>
          <w:i w:val="0"/>
        </w:rPr>
        <w:t>These map directly to the app's own state: flow-state.tsx's Filters.status ("student" | "job-offer" | "other") and journey.ts's three stages (pre-landing / just-landed / settling).</w:t>
      </w:r>
    </w:p>
    <w:p>
      <w:pPr>
        <w:pStyle w:val="Heading2"/>
      </w:pPr>
      <w:r>
        <w:t>Product Concept</w:t>
      </w:r>
    </w:p>
    <w:p>
      <w:r>
        <w:rPr>
          <w:b w:val="0"/>
          <w:i w:val="0"/>
        </w:rPr>
        <w:t>A fixed three-column shell (app-shell.tsx, CSS grid 210px / flexible / 380px):</w:t>
      </w:r>
    </w:p>
    <w:p>
      <w:pPr>
        <w:pStyle w:val="ListBullet"/>
      </w:pPr>
      <w:r>
        <w:rPr>
          <w:b/>
        </w:rPr>
        <w:t xml:space="preserve">Column 1 — Navigation: </w:t>
      </w:r>
      <w:r>
        <w:t>persona (student/job-offer/other) and journey-stage picker; drives what the other two columns show.</w:t>
      </w:r>
    </w:p>
    <w:p>
      <w:pPr>
        <w:pStyle w:val="ListBullet"/>
      </w:pPr>
      <w:r>
        <w:rPr>
          <w:b/>
        </w:rPr>
        <w:t xml:space="preserve">Column 2 — Static reference lane: </w:t>
      </w:r>
      <w:r>
        <w:t>three locked sections (Find Housing, Compare, Verify the Place — housing-sections.ts explicitly caps scope here, "no risk ratings or timelines," "no listings/prices"). Find Housing shows duration and housing-type card groups; Verify the Place is the "Check the Place" address report.</w:t>
      </w:r>
    </w:p>
    <w:p>
      <w:pPr>
        <w:pStyle w:val="ListBullet"/>
      </w:pPr>
      <w:r>
        <w:rPr>
          <w:b/>
        </w:rPr>
        <w:t xml:space="preserve">Column 3 — AI Advisor: </w:t>
      </w:r>
      <w:r>
        <w:t>a docked, persistent chat panel (never a bubble or fullscreen — an intentional layout constraint) for open-ended questions, with a one-way prompt handoff from Column 2 ("Ask the AI Advisor about this").</w:t>
      </w:r>
    </w:p>
    <w:p>
      <w:pPr>
        <w:pStyle w:val="Heading2"/>
      </w:pPr>
      <w:r>
        <w:t>Goals and Success Metrics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1F3A5F"/>
          </w:tcPr>
          <w:p>
            <w:r>
              <w:rPr>
                <w:b/>
                <w:color w:val="FFFFFF"/>
                <w:sz w:val="19"/>
              </w:rPr>
              <w:t>Metric type</w:t>
            </w:r>
          </w:p>
        </w:tc>
        <w:tc>
          <w:tcPr>
            <w:tcW w:type="dxa" w:w="5040"/>
            <w:shd w:fill="1F3A5F"/>
          </w:tcPr>
          <w:p>
            <w:r>
              <w:rPr>
                <w:b/>
                <w:color w:val="FFFFFF"/>
                <w:sz w:val="19"/>
              </w:rPr>
              <w:t>Metric</w:t>
            </w:r>
          </w:p>
        </w:tc>
        <w:tc>
          <w:tcPr>
            <w:tcW w:type="dxa" w:w="3168"/>
            <w:shd w:fill="1F3A5F"/>
          </w:tcPr>
          <w:p>
            <w:r>
              <w:rPr>
                <w:b/>
                <w:color w:val="FFFFFF"/>
                <w:sz w:val="19"/>
              </w:rPr>
              <w:t>Current instrumentation</w:t>
            </w:r>
          </w:p>
        </w:tc>
      </w:tr>
      <w:tr>
        <w:tc>
          <w:tcPr>
            <w:tcW w:type="dxa" w:w="1728"/>
          </w:tcPr>
          <w:p>
            <w:pPr>
              <w:spacing w:after="40"/>
            </w:pPr>
            <w:r>
              <w:rPr>
                <w:sz w:val="19"/>
              </w:rPr>
              <w:t>Product</w:t>
            </w:r>
          </w:p>
        </w:tc>
        <w:tc>
          <w:tcPr>
            <w:tcW w:type="dxa" w:w="5040"/>
          </w:tcPr>
          <w:p>
            <w:pPr>
              <w:spacing w:after="40"/>
            </w:pPr>
            <w:r>
              <w:rPr>
                <w:sz w:val="19"/>
              </w:rPr>
              <w:t>% of sessions that complete a Check the Place lookup</w:t>
            </w:r>
          </w:p>
        </w:tc>
        <w:tc>
          <w:tcPr>
            <w:tcW w:type="dxa" w:w="3168"/>
          </w:tcPr>
          <w:p>
            <w:pPr>
              <w:spacing w:after="40"/>
            </w:pPr>
            <w:r>
              <w:rPr>
                <w:sz w:val="19"/>
              </w:rPr>
              <w:t>None — no analytics found in the codebase</w:t>
            </w:r>
          </w:p>
        </w:tc>
      </w:tr>
      <w:tr>
        <w:tc>
          <w:tcPr>
            <w:tcW w:type="dxa" w:w="1728"/>
          </w:tcPr>
          <w:p>
            <w:pPr>
              <w:spacing w:after="40"/>
            </w:pPr>
            <w:r>
              <w:rPr>
                <w:sz w:val="19"/>
              </w:rPr>
              <w:t>Product</w:t>
            </w:r>
          </w:p>
        </w:tc>
        <w:tc>
          <w:tcPr>
            <w:tcW w:type="dxa" w:w="5040"/>
          </w:tcPr>
          <w:p>
            <w:pPr>
              <w:spacing w:after="40"/>
            </w:pPr>
            <w:r>
              <w:rPr>
                <w:sz w:val="19"/>
              </w:rPr>
              <w:t>Advisor engagement rate (messages per session)</w:t>
            </w:r>
          </w:p>
        </w:tc>
        <w:tc>
          <w:tcPr>
            <w:tcW w:type="dxa" w:w="3168"/>
          </w:tcPr>
          <w:p>
            <w:pPr>
              <w:spacing w:after="40"/>
            </w:pPr>
            <w:r>
              <w:rPr>
                <w:sz w:val="19"/>
              </w:rPr>
              <w:t>None</w:t>
            </w:r>
          </w:p>
        </w:tc>
      </w:tr>
      <w:tr>
        <w:tc>
          <w:tcPr>
            <w:tcW w:type="dxa" w:w="1728"/>
          </w:tcPr>
          <w:p>
            <w:pPr>
              <w:spacing w:after="40"/>
            </w:pPr>
            <w:r>
              <w:rPr>
                <w:sz w:val="19"/>
              </w:rPr>
              <w:t>AI-specific</w:t>
            </w:r>
          </w:p>
        </w:tc>
        <w:tc>
          <w:tcPr>
            <w:tcW w:type="dxa" w:w="5040"/>
          </w:tcPr>
          <w:p>
            <w:pPr>
              <w:spacing w:after="40"/>
            </w:pPr>
            <w:r>
              <w:rPr>
                <w:sz w:val="19"/>
              </w:rPr>
              <w:t>No-fabrication rate (addresses/landlords/listings/prices)</w:t>
            </w:r>
          </w:p>
        </w:tc>
        <w:tc>
          <w:tcPr>
            <w:tcW w:type="dxa" w:w="3168"/>
          </w:tcPr>
          <w:p>
            <w:pPr>
              <w:spacing w:after="40"/>
            </w:pPr>
            <w:r>
              <w:rPr>
                <w:sz w:val="19"/>
              </w:rPr>
              <w:t>None — no eval harness exists</w:t>
            </w:r>
          </w:p>
        </w:tc>
      </w:tr>
      <w:tr>
        <w:tc>
          <w:tcPr>
            <w:tcW w:type="dxa" w:w="1728"/>
          </w:tcPr>
          <w:p>
            <w:pPr>
              <w:spacing w:after="40"/>
            </w:pPr>
            <w:r>
              <w:rPr>
                <w:sz w:val="19"/>
              </w:rPr>
              <w:t>AI-specific</w:t>
            </w:r>
          </w:p>
        </w:tc>
        <w:tc>
          <w:tcPr>
            <w:tcW w:type="dxa" w:w="5040"/>
          </w:tcPr>
          <w:p>
            <w:pPr>
              <w:spacing w:after="40"/>
            </w:pPr>
            <w:r>
              <w:rPr>
                <w:sz w:val="19"/>
              </w:rPr>
              <w:t>Guardrail-copy parity (UI claims match backend behavior)</w:t>
            </w:r>
          </w:p>
        </w:tc>
        <w:tc>
          <w:tcPr>
            <w:tcW w:type="dxa" w:w="3168"/>
          </w:tcPr>
          <w:p>
            <w:pPr>
              <w:spacing w:after="40"/>
            </w:pPr>
            <w:r>
              <w:rPr>
                <w:sz w:val="19"/>
              </w:rPr>
              <w:t>None — currently failing, see Appendix</w:t>
            </w:r>
          </w:p>
        </w:tc>
      </w:tr>
    </w:tbl>
    <w:p/>
    <w:p>
      <w:r>
        <w:rPr>
          <w:b w:val="0"/>
          <w:i w:val="0"/>
        </w:rPr>
        <w:t>Flag: none of these are measured today. Instrumentation is a prerequisite for treating any AI quality claim as verified rather than asserted.</w:t>
      </w:r>
    </w:p>
    <w:p>
      <w:pPr>
        <w:pStyle w:val="Heading2"/>
      </w:pPr>
      <w:r>
        <w:t>Scope and Key Features</w:t>
      </w:r>
    </w:p>
    <w:p>
      <w:r>
        <w:rPr>
          <w:b/>
        </w:rPr>
        <w:t xml:space="preserve">In scope today: </w:t>
      </w:r>
      <w:r>
        <w:t>Find Housing (duration + housing-type cards), settlement Journey checklist, Check the Place (address → neighbourhood safety/rent comparison), AI Advisor chat.</w:t>
      </w:r>
    </w:p>
    <w:p>
      <w:r>
        <w:rPr>
          <w:b/>
        </w:rPr>
        <w:t xml:space="preserve">Explicitly out of scope: </w:t>
      </w:r>
      <w:r>
        <w:t>real listings or live prices anywhere in the app, geocoding (Check the Place matches by neighbourhood-name substring, not coordinates, by design), user accounts/personalization (Supabase auth is present but wired into nothing product-facing), agentic actions of any kind, and any city outside the Toronto data the ingestion pipeline currently covers.</w:t>
      </w:r>
    </w:p>
    <w:p>
      <w:pPr>
        <w:pStyle w:val="Heading2"/>
      </w:pPr>
      <w:r>
        <w:t>Competitive Context</w:t>
      </w:r>
    </w:p>
    <w:p>
      <w:r>
        <w:rPr>
          <w:b w:val="0"/>
          <w:i w:val="0"/>
        </w:rPr>
        <w:t>A generic LLM chatbot (ChatGPT, etc.) can answer similar housing questions, but has no access to real Toronto safety/rent figures and no structural way to tell a user which part of its answer is sourced versus generated. Home Compass's defensible edge is not "we use a good model" — it's the ingestion pipeline (TPS safety data, CKAN Census rent proxy, hood_id-joined) feeding an honestly-labeled reference lane that sits beside, but never inside, the AI lane. That separation is the product's actual moat; it is undermined every place the UI implies the AI is more verified than it is (see Appendix).</w:t>
      </w:r>
    </w:p>
    <w:p>
      <w:r>
        <w:br w:type="page"/>
      </w:r>
    </w:p>
    <w:p>
      <w:pPr>
        <w:pStyle w:val="Heading1"/>
      </w:pPr>
      <w:r>
        <w:t>Tier 2 — AI-Specific Requirements (AI Advisor)</w:t>
      </w:r>
    </w:p>
    <w:p>
      <w:r>
        <w:rPr>
          <w:b w:val="0"/>
          <w:i/>
        </w:rPr>
        <w:t>Reviewed monthly. Applies to the AI Advisor sub-feature (src/routes/api/advisor.ts, src/components/housing/advisor-chat.tsx) — the one part of the product where a model's judgment drives the output.</w:t>
      </w:r>
    </w:p>
    <w:p>
      <w:pPr>
        <w:pStyle w:val="Heading2"/>
      </w:pPr>
      <w:r>
        <w:t>Eval Framework</w:t>
      </w:r>
    </w:p>
    <w:p>
      <w:r>
        <w:rPr>
          <w:b w:val="0"/>
          <w:i w:val="0"/>
        </w:rPr>
        <w:t>Replaces traditional acceptance criteria. None of the rows below are currently measured — this is the framework to build, not a report of results.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shd w:fill="1F3A5F"/>
          </w:tcPr>
          <w:p>
            <w:r>
              <w:rPr>
                <w:b/>
                <w:color w:val="FFFFFF"/>
                <w:sz w:val="19"/>
              </w:rPr>
              <w:t>Quality dimension</w:t>
            </w:r>
          </w:p>
        </w:tc>
        <w:tc>
          <w:tcPr>
            <w:tcW w:type="dxa" w:w="2880"/>
            <w:shd w:fill="1F3A5F"/>
          </w:tcPr>
          <w:p>
            <w:r>
              <w:rPr>
                <w:b/>
                <w:color w:val="FFFFFF"/>
                <w:sz w:val="19"/>
              </w:rPr>
              <w:t>Threshold</w:t>
            </w:r>
          </w:p>
        </w:tc>
        <w:tc>
          <w:tcPr>
            <w:tcW w:type="dxa" w:w="3312"/>
            <w:shd w:fill="1F3A5F"/>
          </w:tcPr>
          <w:p>
            <w:r>
              <w:rPr>
                <w:b/>
                <w:color w:val="FFFFFF"/>
                <w:sz w:val="19"/>
              </w:rPr>
              <w:t>Measurement method</w:t>
            </w:r>
          </w:p>
        </w:tc>
        <w:tc>
          <w:tcPr>
            <w:tcW w:type="dxa" w:w="1296"/>
            <w:shd w:fill="1F3A5F"/>
          </w:tcPr>
          <w:p>
            <w:r>
              <w:rPr>
                <w:b/>
                <w:color w:val="FFFFFF"/>
                <w:sz w:val="19"/>
              </w:rPr>
              <w:t>Hard / soft</w:t>
            </w:r>
          </w:p>
        </w:tc>
      </w:tr>
      <w:tr>
        <w:tc>
          <w:tcPr>
            <w:tcW w:type="dxa" w:w="2448"/>
          </w:tcPr>
          <w:p>
            <w:pPr>
              <w:spacing w:after="40"/>
            </w:pPr>
            <w:r>
              <w:rPr>
                <w:sz w:val="19"/>
              </w:rPr>
              <w:t>No fabrication (addresses, landlords, listings, prices)</w:t>
            </w:r>
          </w:p>
        </w:tc>
        <w:tc>
          <w:tcPr>
            <w:tcW w:type="dxa" w:w="2880"/>
          </w:tcPr>
          <w:p>
            <w:pPr>
              <w:spacing w:after="40"/>
            </w:pPr>
            <w:r>
              <w:rPr>
                <w:sz w:val="19"/>
              </w:rPr>
              <w:t>0 fabricated entities per 100 sampled responses</w:t>
            </w:r>
          </w:p>
        </w:tc>
        <w:tc>
          <w:tcPr>
            <w:tcW w:type="dxa" w:w="3312"/>
          </w:tcPr>
          <w:p>
            <w:pPr>
              <w:spacing w:after="40"/>
            </w:pPr>
            <w:r>
              <w:rPr>
                <w:sz w:val="19"/>
              </w:rPr>
              <w:t>AI-as-judge scan for named specific entities not in a whitelist, plus periodic human spot-check</w:t>
            </w:r>
          </w:p>
        </w:tc>
        <w:tc>
          <w:tcPr>
            <w:tcW w:type="dxa" w:w="1296"/>
          </w:tcPr>
          <w:p>
            <w:pPr>
              <w:spacing w:after="40"/>
            </w:pPr>
            <w:r>
              <w:rPr>
                <w:sz w:val="19"/>
              </w:rPr>
              <w:t>Hard</w:t>
            </w:r>
          </w:p>
        </w:tc>
      </w:tr>
      <w:tr>
        <w:tc>
          <w:tcPr>
            <w:tcW w:type="dxa" w:w="2448"/>
          </w:tcPr>
          <w:p>
            <w:pPr>
              <w:spacing w:after="40"/>
            </w:pPr>
            <w:r>
              <w:rPr>
                <w:sz w:val="19"/>
              </w:rPr>
              <w:t>Numeric-claim labeling</w:t>
            </w:r>
          </w:p>
        </w:tc>
        <w:tc>
          <w:tcPr>
            <w:tcW w:type="dxa" w:w="2880"/>
          </w:tcPr>
          <w:p>
            <w:pPr>
              <w:spacing w:after="40"/>
            </w:pPr>
            <w:r>
              <w:rPr>
                <w:sz w:val="19"/>
              </w:rPr>
              <w:t>100% of cited figures carry a "general guidance, not verified" qualifier</w:t>
            </w:r>
          </w:p>
        </w:tc>
        <w:tc>
          <w:tcPr>
            <w:tcW w:type="dxa" w:w="3312"/>
          </w:tcPr>
          <w:p>
            <w:pPr>
              <w:spacing w:after="40"/>
            </w:pPr>
            <w:r>
              <w:rPr>
                <w:sz w:val="19"/>
              </w:rPr>
              <w:t>Automated pattern check + AI-as-judge</w:t>
            </w:r>
          </w:p>
        </w:tc>
        <w:tc>
          <w:tcPr>
            <w:tcW w:type="dxa" w:w="1296"/>
          </w:tcPr>
          <w:p>
            <w:pPr>
              <w:spacing w:after="40"/>
            </w:pPr>
            <w:r>
              <w:rPr>
                <w:sz w:val="19"/>
              </w:rPr>
              <w:t>Hard</w:t>
            </w:r>
          </w:p>
        </w:tc>
      </w:tr>
      <w:tr>
        <w:tc>
          <w:tcPr>
            <w:tcW w:type="dxa" w:w="2448"/>
          </w:tcPr>
          <w:p>
            <w:pPr>
              <w:spacing w:after="40"/>
            </w:pPr>
            <w:r>
              <w:rPr>
                <w:sz w:val="19"/>
              </w:rPr>
              <w:t>Clarifying-question protocol</w:t>
            </w:r>
          </w:p>
        </w:tc>
        <w:tc>
          <w:tcPr>
            <w:tcW w:type="dxa" w:w="2880"/>
          </w:tcPr>
          <w:p>
            <w:pPr>
              <w:spacing w:after="40"/>
            </w:pPr>
            <w:r>
              <w:rPr>
                <w:sz w:val="19"/>
              </w:rPr>
              <w:t>≤3 questions in the first reply, one at a time after, never re-asking a known filter</w:t>
            </w:r>
          </w:p>
        </w:tc>
        <w:tc>
          <w:tcPr>
            <w:tcW w:type="dxa" w:w="3312"/>
          </w:tcPr>
          <w:p>
            <w:pPr>
              <w:spacing w:after="40"/>
            </w:pPr>
            <w:r>
              <w:rPr>
                <w:sz w:val="19"/>
              </w:rPr>
              <w:t>AI-as-judge against the transcript rule</w:t>
            </w:r>
          </w:p>
        </w:tc>
        <w:tc>
          <w:tcPr>
            <w:tcW w:type="dxa" w:w="1296"/>
          </w:tcPr>
          <w:p>
            <w:pPr>
              <w:spacing w:after="40"/>
            </w:pPr>
            <w:r>
              <w:rPr>
                <w:sz w:val="19"/>
              </w:rPr>
              <w:t>Soft</w:t>
            </w:r>
          </w:p>
        </w:tc>
      </w:tr>
      <w:tr>
        <w:tc>
          <w:tcPr>
            <w:tcW w:type="dxa" w:w="2448"/>
          </w:tcPr>
          <w:p>
            <w:pPr>
              <w:spacing w:after="40"/>
            </w:pPr>
            <w:r>
              <w:rPr>
                <w:sz w:val="19"/>
              </w:rPr>
              <w:t>Answer usefulness</w:t>
            </w:r>
          </w:p>
        </w:tc>
        <w:tc>
          <w:tcPr>
            <w:tcW w:type="dxa" w:w="2880"/>
          </w:tcPr>
          <w:p>
            <w:pPr>
              <w:spacing w:after="40"/>
            </w:pPr>
            <w:r>
              <w:rPr>
                <w:sz w:val="19"/>
              </w:rPr>
              <w:t>≥90% "helpful" on a 50-question golden newcomer-housing set</w:t>
            </w:r>
          </w:p>
        </w:tc>
        <w:tc>
          <w:tcPr>
            <w:tcW w:type="dxa" w:w="3312"/>
          </w:tcPr>
          <w:p>
            <w:pPr>
              <w:spacing w:after="40"/>
            </w:pPr>
            <w:r>
              <w:rPr>
                <w:sz w:val="19"/>
              </w:rPr>
              <w:t>AI-as-judge + periodic human review; below 80% triggers investigation</w:t>
            </w:r>
          </w:p>
        </w:tc>
        <w:tc>
          <w:tcPr>
            <w:tcW w:type="dxa" w:w="1296"/>
          </w:tcPr>
          <w:p>
            <w:pPr>
              <w:spacing w:after="40"/>
            </w:pPr>
            <w:r>
              <w:rPr>
                <w:sz w:val="19"/>
              </w:rPr>
              <w:t>Soft</w:t>
            </w:r>
          </w:p>
        </w:tc>
      </w:tr>
      <w:tr>
        <w:tc>
          <w:tcPr>
            <w:tcW w:type="dxa" w:w="2448"/>
          </w:tcPr>
          <w:p>
            <w:pPr>
              <w:spacing w:after="40"/>
            </w:pPr>
            <w:r>
              <w:rPr>
                <w:sz w:val="19"/>
              </w:rPr>
              <w:t>Generator/validator agreement (post-MVP)</w:t>
            </w:r>
          </w:p>
        </w:tc>
        <w:tc>
          <w:tcPr>
            <w:tcW w:type="dxa" w:w="2880"/>
          </w:tcPr>
          <w:p>
            <w:pPr>
              <w:spacing w:after="40"/>
            </w:pPr>
            <w:r>
              <w:rPr>
                <w:sz w:val="19"/>
              </w:rPr>
              <w:t>Validator approves ≥95% of generator answers unmodified</w:t>
            </w:r>
          </w:p>
        </w:tc>
        <w:tc>
          <w:tcPr>
            <w:tcW w:type="dxa" w:w="3312"/>
          </w:tcPr>
          <w:p>
            <w:pPr>
              <w:spacing w:after="40"/>
            </w:pPr>
            <w:r>
              <w:rPr>
                <w:sz w:val="19"/>
              </w:rPr>
              <w:t>Second, distinct-model judging pass before send</w:t>
            </w:r>
          </w:p>
        </w:tc>
        <w:tc>
          <w:tcPr>
            <w:tcW w:type="dxa" w:w="1296"/>
          </w:tcPr>
          <w:p>
            <w:pPr>
              <w:spacing w:after="40"/>
            </w:pPr>
            <w:r>
              <w:rPr>
                <w:sz w:val="19"/>
              </w:rPr>
              <w:t>Hard — blocks send on failure</w:t>
            </w:r>
          </w:p>
        </w:tc>
      </w:tr>
      <w:tr>
        <w:tc>
          <w:tcPr>
            <w:tcW w:type="dxa" w:w="2448"/>
          </w:tcPr>
          <w:p>
            <w:pPr>
              <w:spacing w:after="40"/>
            </w:pPr>
            <w:r>
              <w:rPr>
                <w:sz w:val="19"/>
              </w:rPr>
              <w:t>UI/backend claim parity</w:t>
            </w:r>
          </w:p>
        </w:tc>
        <w:tc>
          <w:tcPr>
            <w:tcW w:type="dxa" w:w="2880"/>
          </w:tcPr>
          <w:p>
            <w:pPr>
              <w:spacing w:after="40"/>
            </w:pPr>
            <w:r>
              <w:rPr>
                <w:sz w:val="19"/>
              </w:rPr>
              <w:t>"Multi-model engine / URL-verified / Citation enforced" copy matches shipped behavior 1:1</w:t>
            </w:r>
          </w:p>
        </w:tc>
        <w:tc>
          <w:tcPr>
            <w:tcW w:type="dxa" w:w="3312"/>
          </w:tcPr>
          <w:p>
            <w:pPr>
              <w:spacing w:after="40"/>
            </w:pPr>
            <w:r>
              <w:rPr>
                <w:sz w:val="19"/>
              </w:rPr>
              <w:t>Manual copy audit each release</w:t>
            </w:r>
          </w:p>
        </w:tc>
        <w:tc>
          <w:tcPr>
            <w:tcW w:type="dxa" w:w="1296"/>
          </w:tcPr>
          <w:p>
            <w:pPr>
              <w:spacing w:after="40"/>
            </w:pPr>
            <w:r>
              <w:rPr>
                <w:sz w:val="19"/>
              </w:rPr>
              <w:t>Hard</w:t>
            </w:r>
          </w:p>
        </w:tc>
      </w:tr>
    </w:tbl>
    <w:p/>
    <w:p>
      <w:pPr>
        <w:pStyle w:val="Heading2"/>
      </w:pPr>
      <w:r>
        <w:t>Guardrails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shd w:fill="1F3A5F"/>
          </w:tcPr>
          <w:p>
            <w:r>
              <w:rPr>
                <w:b/>
                <w:color w:val="FFFFFF"/>
                <w:sz w:val="19"/>
              </w:rPr>
              <w:t>Layer</w:t>
            </w:r>
          </w:p>
        </w:tc>
        <w:tc>
          <w:tcPr>
            <w:tcW w:type="dxa" w:w="4608"/>
            <w:shd w:fill="1F3A5F"/>
          </w:tcPr>
          <w:p>
            <w:r>
              <w:rPr>
                <w:b/>
                <w:color w:val="FFFFFF"/>
                <w:sz w:val="19"/>
              </w:rPr>
              <w:t>Today</w:t>
            </w:r>
          </w:p>
        </w:tc>
        <w:tc>
          <w:tcPr>
            <w:tcW w:type="dxa" w:w="3456"/>
            <w:shd w:fill="1F3A5F"/>
          </w:tcPr>
          <w:p>
            <w:r>
              <w:rPr>
                <w:b/>
                <w:color w:val="FFFFFF"/>
                <w:sz w:val="19"/>
              </w:rPr>
              <w:t>Gap / requirement</w:t>
            </w:r>
          </w:p>
        </w:tc>
      </w:tr>
      <w:tr>
        <w:tc>
          <w:tcPr>
            <w:tcW w:type="dxa" w:w="2016"/>
          </w:tcPr>
          <w:p>
            <w:pPr>
              <w:spacing w:after="40"/>
            </w:pPr>
            <w:r>
              <w:rPr>
                <w:sz w:val="19"/>
              </w:rPr>
              <w:t>Input filtering</w:t>
            </w:r>
          </w:p>
        </w:tc>
        <w:tc>
          <w:tcPr>
            <w:tcW w:type="dxa" w:w="4608"/>
          </w:tcPr>
          <w:p>
            <w:pPr>
              <w:spacing w:after="40"/>
            </w:pPr>
            <w:r>
              <w:rPr>
                <w:sz w:val="19"/>
              </w:rPr>
              <w:t>None found — no PII scrub, no prompt-injection screen, no rate limiting beyond the 12-message history cap</w:t>
            </w:r>
          </w:p>
        </w:tc>
        <w:tc>
          <w:tcPr>
            <w:tcW w:type="dxa" w:w="3456"/>
          </w:tcPr>
          <w:p>
            <w:pPr>
              <w:spacing w:after="40"/>
            </w:pPr>
            <w:r>
              <w:rPr>
                <w:sz w:val="19"/>
              </w:rPr>
              <w:t>Add basic abuse/injection screening before MVP; document what gets rejected</w:t>
            </w:r>
          </w:p>
        </w:tc>
      </w:tr>
      <w:tr>
        <w:tc>
          <w:tcPr>
            <w:tcW w:type="dxa" w:w="2016"/>
          </w:tcPr>
          <w:p>
            <w:pPr>
              <w:spacing w:after="40"/>
            </w:pPr>
            <w:r>
              <w:rPr>
                <w:sz w:val="19"/>
              </w:rPr>
              <w:t>Output validation</w:t>
            </w:r>
          </w:p>
        </w:tc>
        <w:tc>
          <w:tcPr>
            <w:tcW w:type="dxa" w:w="4608"/>
          </w:tcPr>
          <w:p>
            <w:pPr>
              <w:spacing w:after="40"/>
            </w:pPr>
            <w:r>
              <w:rPr>
                <w:sz w:val="19"/>
              </w:rPr>
              <w:t>System-prompt instruction only: "Never invent specific addresses, landlords, listings, availability or prices... any number you cite is general guidance, not a verified figure." No automated post-hoc check.</w:t>
            </w:r>
          </w:p>
        </w:tc>
        <w:tc>
          <w:tcPr>
            <w:tcW w:type="dxa" w:w="3456"/>
          </w:tcPr>
          <w:p>
            <w:pPr>
              <w:spacing w:after="40"/>
            </w:pPr>
            <w:r>
              <w:rPr>
                <w:sz w:val="19"/>
              </w:rPr>
              <w:t>MVP requirement (user-confirmed 2026-08-16): a second, distinct model validates the primary answer before it streams to the user — see the Model Strategy section</w:t>
            </w:r>
          </w:p>
        </w:tc>
      </w:tr>
      <w:tr>
        <w:tc>
          <w:tcPr>
            <w:tcW w:type="dxa" w:w="2016"/>
          </w:tcPr>
          <w:p>
            <w:pPr>
              <w:spacing w:after="40"/>
            </w:pPr>
            <w:r>
              <w:rPr>
                <w:sz w:val="19"/>
              </w:rPr>
              <w:t>Action boundaries</w:t>
            </w:r>
          </w:p>
        </w:tc>
        <w:tc>
          <w:tcPr>
            <w:tcW w:type="dxa" w:w="4608"/>
          </w:tcPr>
          <w:p>
            <w:pPr>
              <w:spacing w:after="40"/>
            </w:pPr>
            <w:r>
              <w:rPr>
                <w:sz w:val="19"/>
              </w:rPr>
              <w:t>Advisor is read-only/conversational; cannot execute actions or write into the static data lane. Enforced by omission (no code path exists), not by an explicit guard.</w:t>
            </w:r>
          </w:p>
        </w:tc>
        <w:tc>
          <w:tcPr>
            <w:tcW w:type="dxa" w:w="3456"/>
          </w:tcPr>
          <w:p>
            <w:pPr>
              <w:spacing w:after="40"/>
            </w:pPr>
            <w:r>
              <w:rPr>
                <w:sz w:val="19"/>
              </w:rPr>
              <w:t>Add an explicit assertion/lint rule that advisor.ts never imports from src/data/generated — makes the two-lane boundary a build-time guarantee, not a convention</w:t>
            </w:r>
          </w:p>
        </w:tc>
      </w:tr>
      <w:tr>
        <w:tc>
          <w:tcPr>
            <w:tcW w:type="dxa" w:w="2016"/>
          </w:tcPr>
          <w:p>
            <w:pPr>
              <w:spacing w:after="40"/>
            </w:pPr>
            <w:r>
              <w:rPr>
                <w:sz w:val="19"/>
              </w:rPr>
              <w:t>Escalation triggers</w:t>
            </w:r>
          </w:p>
        </w:tc>
        <w:tc>
          <w:tcPr>
            <w:tcW w:type="dxa" w:w="4608"/>
          </w:tcPr>
          <w:p>
            <w:pPr>
              <w:spacing w:after="40"/>
            </w:pPr>
            <w:r>
              <w:rPr>
                <w:sz w:val="19"/>
              </w:rPr>
              <w:t>None defined — no scam-pattern detection, no handoff to a human or settlement agency for high-risk topics</w:t>
            </w:r>
          </w:p>
        </w:tc>
        <w:tc>
          <w:tcPr>
            <w:tcW w:type="dxa" w:w="3456"/>
          </w:tcPr>
          <w:p>
            <w:pPr>
              <w:spacing w:after="40"/>
            </w:pPr>
            <w:r>
              <w:rPr>
                <w:sz w:val="19"/>
              </w:rPr>
              <w:t>Add an explicit "this may describe a rental scam — here's how to verify" pattern plus a link to a real settlement-agency resource</w:t>
            </w:r>
          </w:p>
        </w:tc>
      </w:tr>
    </w:tbl>
    <w:p/>
    <w:p>
      <w:pPr>
        <w:pStyle w:val="Heading2"/>
      </w:pPr>
      <w:r>
        <w:t>Model Strategy</w:t>
      </w:r>
    </w:p>
    <w:p>
      <w:pPr>
        <w:pStyle w:val="ListBullet"/>
      </w:pPr>
      <w:r>
        <w:rPr>
          <w:b/>
        </w:rPr>
        <w:t xml:space="preserve">Current: </w:t>
      </w:r>
      <w:r>
        <w:t>Primary path is the Lovable AI Gateway calling google/gemini-2.5-flash over an OpenAI-compatible SSE endpoint; fallback is a direct Gemini API call (gemini-2.0-flash by default, overridable via GEMINI_MODEL) using native Gemini SSE. Both paths are the same underlying model family — there is no second provider today.</w:t>
      </w:r>
    </w:p>
    <w:p>
      <w:pPr>
        <w:pStyle w:val="ListBullet"/>
      </w:pPr>
      <w:r>
        <w:rPr>
          <w:b/>
        </w:rPr>
        <w:t xml:space="preserve">Gap vs. requirement: </w:t>
      </w:r>
      <w:r>
        <w:t>The Advisor header claims "Multi-model engine (Claude + ChatGPT + Gemini)"; the MVP requirement (confirmed by the user) is a genuine multi-model pipeline — one model generates, a second, distinct model validates for accuracy, fabrication, and guardrail adherence before the answer reaches the user. Neither the multi-provider claim nor the validator exists in code.</w:t>
      </w:r>
    </w:p>
    <w:p>
      <w:pPr>
        <w:pStyle w:val="ListBullet"/>
      </w:pPr>
      <w:r>
        <w:rPr>
          <w:b/>
        </w:rPr>
        <w:t xml:space="preserve">Open questions to resolve before implementing the validator: </w:t>
      </w:r>
      <w:r>
        <w:t>which model/provider pairs as generator vs. validator; whether validation blocks streaming entirely (adds latency, prevents a bad answer ever reaching the user) or checks a buffered response after the fact; how a failed validation should surface in the chat UI.</w:t>
      </w:r>
    </w:p>
    <w:p>
      <w:pPr>
        <w:pStyle w:val="ListBullet"/>
      </w:pPr>
      <w:r>
        <w:rPr>
          <w:b/>
        </w:rPr>
        <w:t xml:space="preserve">Cost model: </w:t>
      </w:r>
      <w:r>
        <w:t>Not defined anywhere in the repo — no price-per-query or volume projection exists. Needed before committing to a two-call (generator + validator) architecture, which roughly doubles per-message cost.</w:t>
      </w:r>
    </w:p>
    <w:p>
      <w:pPr>
        <w:pStyle w:val="ListBullet"/>
      </w:pPr>
      <w:r>
        <w:rPr>
          <w:b/>
        </w:rPr>
        <w:t xml:space="preserve">Fallback plan: </w:t>
      </w:r>
      <w:r>
        <w:t>Gateway → direct-Gemini fallback exists and is a reasonable degraded-mode pattern; there is no fallback if Gemini itself is unavailable, since both paths depend on the same model family.</w:t>
      </w:r>
    </w:p>
    <w:p>
      <w:pPr>
        <w:pStyle w:val="Heading2"/>
      </w:pPr>
      <w:r>
        <w:t>Data Requirements</w:t>
      </w:r>
    </w:p>
    <w:tbl>
      <w:tblPr>
        <w:tblStyle w:val="LightGrid-Accent1"/>
        <w:tblW w:type="auto" w:w="0"/>
        <w:jc w:val="center"/>
        <w:tblLook w:firstColumn="1" w:firstRow="1" w:lastColumn="0" w:lastRow="0" w:noHBand="0" w:noVBand="1" w:val="04A0"/>
      </w:tblPr>
      <w:tblGrid>
        <w:gridCol w:w="4320"/>
        <w:gridCol w:w="4320"/>
      </w:tblGrid>
      <w:tr>
        <w:tc>
          <w:tcPr>
            <w:tcW w:type="dxa" w:w="2016"/>
            <w:shd w:fill="1F3A5F"/>
          </w:tcPr>
          <w:p>
            <w:r>
              <w:rPr>
                <w:b/>
                <w:color w:val="FFFFFF"/>
                <w:sz w:val="19"/>
              </w:rPr>
              <w:t>Data type</w:t>
            </w:r>
          </w:p>
        </w:tc>
        <w:tc>
          <w:tcPr>
            <w:tcW w:type="dxa" w:w="8064"/>
            <w:shd w:fill="1F3A5F"/>
          </w:tcPr>
          <w:p>
            <w:r>
              <w:rPr>
                <w:b/>
                <w:color w:val="FFFFFF"/>
                <w:sz w:val="19"/>
              </w:rPr>
              <w:t>Status</w:t>
            </w:r>
          </w:p>
        </w:tc>
      </w:tr>
      <w:tr>
        <w:tc>
          <w:tcPr>
            <w:tcW w:type="dxa" w:w="2016"/>
          </w:tcPr>
          <w:p>
            <w:pPr>
              <w:spacing w:after="40"/>
            </w:pPr>
            <w:r>
              <w:rPr>
                <w:sz w:val="19"/>
              </w:rPr>
              <w:t>Data to build it</w:t>
            </w:r>
          </w:p>
        </w:tc>
        <w:tc>
          <w:tcPr>
            <w:tcW w:type="dxa" w:w="8064"/>
          </w:tcPr>
          <w:p>
            <w:pPr>
              <w:spacing w:after="40"/>
            </w:pPr>
            <w:r>
              <w:rPr>
                <w:sz w:val="19"/>
              </w:rPr>
              <w:t>System-prompt instructions only — no RAG, no retrieval. The two-lane boundary explicitly forbids feeding the ingestion pipeline's safety/rent/CMHC data into the Advisor's context, even though it would improve grounding — this is an intentional, user-confirmed trade for the "Reference vs. AI response" trust distinction.</w:t>
            </w:r>
          </w:p>
        </w:tc>
      </w:tr>
      <w:tr>
        <w:tc>
          <w:tcPr>
            <w:tcW w:type="dxa" w:w="2016"/>
          </w:tcPr>
          <w:p>
            <w:pPr>
              <w:spacing w:after="40"/>
            </w:pPr>
            <w:r>
              <w:rPr>
                <w:sz w:val="19"/>
              </w:rPr>
              <w:t>Data generated by it</w:t>
            </w:r>
          </w:p>
        </w:tc>
        <w:tc>
          <w:tcPr>
            <w:tcW w:type="dxa" w:w="8064"/>
          </w:tcPr>
          <w:p>
            <w:pPr>
              <w:spacing w:after="40"/>
            </w:pPr>
            <w:r>
              <w:rPr>
                <w:sz w:val="19"/>
              </w:rPr>
              <w:t>Chat transcripts are not persisted anywhere — Supabase is present in the codebase but wired into nothing product-facing (no auth screens, no session UI, no writes from the Advisor route). No feedback capture (thumbs up/down, flags) exists.</w:t>
            </w:r>
          </w:p>
        </w:tc>
      </w:tr>
      <w:tr>
        <w:tc>
          <w:tcPr>
            <w:tcW w:type="dxa" w:w="2016"/>
          </w:tcPr>
          <w:p>
            <w:pPr>
              <w:spacing w:after="40"/>
            </w:pPr>
            <w:r>
              <w:rPr>
                <w:sz w:val="19"/>
              </w:rPr>
              <w:t>Improvement loop</w:t>
            </w:r>
          </w:p>
        </w:tc>
        <w:tc>
          <w:tcPr>
            <w:tcW w:type="dxa" w:w="8064"/>
          </w:tcPr>
          <w:p>
            <w:pPr>
              <w:spacing w:after="40"/>
            </w:pPr>
            <w:r>
              <w:rPr>
                <w:sz w:val="19"/>
              </w:rPr>
              <w:t>None. Without persisted transcripts or a feedback signal, there is currently no path from real conversations back into the eval set above.</w:t>
            </w:r>
          </w:p>
        </w:tc>
      </w:tr>
    </w:tbl>
    <w:p/>
    <w:p>
      <w:pPr>
        <w:pStyle w:val="Heading2"/>
      </w:pPr>
      <w:r>
        <w:t>Responsible AI</w:t>
      </w:r>
    </w:p>
    <w:p>
      <w:pPr>
        <w:pStyle w:val="ListBullet"/>
      </w:pPr>
      <w:r>
        <w:rPr>
          <w:b/>
        </w:rPr>
        <w:t xml:space="preserve">Transparency: </w:t>
      </w:r>
      <w:r>
        <w:t>Good baseline — the Advisor panel is explicitly headed "AI-Generated Guidance," so users know they're talking to a model, not a person or a database of real listings.</w:t>
      </w:r>
    </w:p>
    <w:p>
      <w:pPr>
        <w:pStyle w:val="ListBullet"/>
      </w:pPr>
      <w:r>
        <w:rPr>
          <w:b/>
        </w:rPr>
        <w:t xml:space="preserve">Overclaiming risk: </w:t>
      </w:r>
      <w:r>
        <w:t>The same header's "Multi-model engine · URL-verified · Citation enforced" subtext is not true of the current implementation. For a product aimed at newcomers navigating scam risk, overstating verification is a trust-safety issue, not just a copy nit — it should be corrected before this is treated as production-ready, independent of when the validator ships.</w:t>
      </w:r>
    </w:p>
    <w:p>
      <w:pPr>
        <w:pStyle w:val="ListBullet"/>
      </w:pPr>
      <w:r>
        <w:rPr>
          <w:b/>
        </w:rPr>
        <w:t xml:space="preserve">Privacy: </w:t>
      </w:r>
      <w:r>
        <w:t>No transcript persistence today is privacy-safe by default, but is also undocumented — there's no explicit statement of retention policy for if/when persistence is added.</w:t>
      </w:r>
    </w:p>
    <w:p>
      <w:pPr>
        <w:pStyle w:val="ListBullet"/>
      </w:pPr>
      <w:r>
        <w:rPr>
          <w:b/>
        </w:rPr>
        <w:t xml:space="preserve">Bias/fairness: </w:t>
      </w:r>
      <w:r>
        <w:t>Not defined — no fairness thresholds across personas or immigration streams exist or are measured.</w:t>
      </w:r>
    </w:p>
    <w:p>
      <w:pPr>
        <w:pStyle w:val="ListBullet"/>
      </w:pPr>
      <w:r>
        <w:rPr>
          <w:b/>
        </w:rPr>
        <w:t xml:space="preserve">Risk tier: </w:t>
      </w:r>
      <w:r>
        <w:t>Informational chatbot, not a decisioning system — it doesn't approve/deny anything. Given the audience (newcomers, some in precarious housing situations, explicit scam exposure) it warrants "limited risk" treatment: proportionate guardrails and honest labeling, not high-risk-tier controls, but more care than a generic FAQ bot.</w:t>
      </w:r>
    </w:p>
    <w:p>
      <w:r>
        <w:br w:type="page"/>
      </w:r>
    </w:p>
    <w:p>
      <w:pPr>
        <w:pStyle w:val="Heading1"/>
      </w:pPr>
      <w:r>
        <w:t>Tier 3 — Operational Excellence</w:t>
      </w:r>
    </w:p>
    <w:p>
      <w:r>
        <w:rPr>
          <w:b w:val="0"/>
          <w:i/>
        </w:rPr>
        <w:t>Reviewed with each significant change. The most volatile layer, and today the thinnest — most rows below are gaps, not existing controls.</w:t>
      </w:r>
    </w:p>
    <w:p>
      <w:pPr>
        <w:pStyle w:val="Heading2"/>
      </w:pPr>
      <w:r>
        <w:t>Failure Modes and Fallback Behavior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shd w:fill="1F3A5F"/>
          </w:tcPr>
          <w:p>
            <w:r>
              <w:rPr>
                <w:b/>
                <w:color w:val="FFFFFF"/>
                <w:sz w:val="19"/>
              </w:rPr>
              <w:t>Failure mode</w:t>
            </w:r>
          </w:p>
        </w:tc>
        <w:tc>
          <w:tcPr>
            <w:tcW w:type="dxa" w:w="2592"/>
            <w:shd w:fill="1F3A5F"/>
          </w:tcPr>
          <w:p>
            <w:r>
              <w:rPr>
                <w:b/>
                <w:color w:val="FFFFFF"/>
                <w:sz w:val="19"/>
              </w:rPr>
              <w:t>Detection today</w:t>
            </w:r>
          </w:p>
        </w:tc>
        <w:tc>
          <w:tcPr>
            <w:tcW w:type="dxa" w:w="2448"/>
            <w:shd w:fill="1F3A5F"/>
          </w:tcPr>
          <w:p>
            <w:r>
              <w:rPr>
                <w:b/>
                <w:color w:val="FFFFFF"/>
                <w:sz w:val="19"/>
              </w:rPr>
              <w:t>User-facing response</w:t>
            </w:r>
          </w:p>
        </w:tc>
        <w:tc>
          <w:tcPr>
            <w:tcW w:type="dxa" w:w="3600"/>
            <w:shd w:fill="1F3A5F"/>
          </w:tcPr>
          <w:p>
            <w:r>
              <w:rPr>
                <w:b/>
                <w:color w:val="FFFFFF"/>
                <w:sz w:val="19"/>
              </w:rPr>
              <w:t>Recommendation</w:t>
            </w:r>
          </w:p>
        </w:tc>
      </w:tr>
      <w:tr>
        <w:tc>
          <w:tcPr>
            <w:tcW w:type="dxa" w:w="2304"/>
          </w:tcPr>
          <w:p>
            <w:pPr>
              <w:spacing w:after="40"/>
            </w:pPr>
            <w:r>
              <w:rPr>
                <w:sz w:val="19"/>
              </w:rPr>
              <w:t>Hallucination / fabricated listing</w:t>
            </w:r>
          </w:p>
        </w:tc>
        <w:tc>
          <w:tcPr>
            <w:tcW w:type="dxa" w:w="2592"/>
          </w:tcPr>
          <w:p>
            <w:pPr>
              <w:spacing w:after="40"/>
            </w:pPr>
            <w:r>
              <w:rPr>
                <w:sz w:val="19"/>
              </w:rPr>
              <w:t>None automated — relies entirely on the system prompt's instruction</w:t>
            </w:r>
          </w:p>
        </w:tc>
        <w:tc>
          <w:tcPr>
            <w:tcW w:type="dxa" w:w="2448"/>
          </w:tcPr>
          <w:p>
            <w:pPr>
              <w:spacing w:after="40"/>
            </w:pPr>
            <w:r>
              <w:rPr>
                <w:sz w:val="19"/>
              </w:rPr>
              <w:t>None special — looks like any other reply</w:t>
            </w:r>
          </w:p>
        </w:tc>
        <w:tc>
          <w:tcPr>
            <w:tcW w:type="dxa" w:w="3600"/>
          </w:tcPr>
          <w:p>
            <w:pPr>
              <w:spacing w:after="40"/>
            </w:pPr>
            <w:r>
              <w:rPr>
                <w:sz w:val="19"/>
              </w:rPr>
              <w:t>Validator pass (Tier 2) + eval sampling</w:t>
            </w:r>
          </w:p>
        </w:tc>
      </w:tr>
      <w:tr>
        <w:tc>
          <w:tcPr>
            <w:tcW w:type="dxa" w:w="2304"/>
          </w:tcPr>
          <w:p>
            <w:pPr>
              <w:spacing w:after="40"/>
            </w:pPr>
            <w:r>
              <w:rPr>
                <w:sz w:val="19"/>
              </w:rPr>
              <w:t>Low-confidence / no good answer</w:t>
            </w:r>
          </w:p>
        </w:tc>
        <w:tc>
          <w:tcPr>
            <w:tcW w:type="dxa" w:w="2592"/>
          </w:tcPr>
          <w:p>
            <w:pPr>
              <w:spacing w:after="40"/>
            </w:pPr>
            <w:r>
              <w:rPr>
                <w:sz w:val="19"/>
              </w:rPr>
              <w:t>Model isn't asked to signal confidence</w:t>
            </w:r>
          </w:p>
        </w:tc>
        <w:tc>
          <w:tcPr>
            <w:tcW w:type="dxa" w:w="2448"/>
          </w:tcPr>
          <w:p>
            <w:pPr>
              <w:spacing w:after="40"/>
            </w:pPr>
            <w:r>
              <w:rPr>
                <w:sz w:val="19"/>
              </w:rPr>
              <w:t>Model free to answer anyway</w:t>
            </w:r>
          </w:p>
        </w:tc>
        <w:tc>
          <w:tcPr>
            <w:tcW w:type="dxa" w:w="3600"/>
          </w:tcPr>
          <w:p>
            <w:pPr>
              <w:spacing w:after="40"/>
            </w:pPr>
            <w:r>
              <w:rPr>
                <w:sz w:val="19"/>
              </w:rPr>
              <w:t>Add an explicit "I'm not certain, here's what I'd check" pattern to the prompt</w:t>
            </w:r>
          </w:p>
        </w:tc>
      </w:tr>
      <w:tr>
        <w:tc>
          <w:tcPr>
            <w:tcW w:type="dxa" w:w="2304"/>
          </w:tcPr>
          <w:p>
            <w:pPr>
              <w:spacing w:after="40"/>
            </w:pPr>
            <w:r>
              <w:rPr>
                <w:sz w:val="19"/>
              </w:rPr>
              <w:t>Adversarial / off-topic input</w:t>
            </w:r>
          </w:p>
        </w:tc>
        <w:tc>
          <w:tcPr>
            <w:tcW w:type="dxa" w:w="2592"/>
          </w:tcPr>
          <w:p>
            <w:pPr>
              <w:spacing w:after="40"/>
            </w:pPr>
            <w:r>
              <w:rPr>
                <w:sz w:val="19"/>
              </w:rPr>
              <w:t>None found</w:t>
            </w:r>
          </w:p>
        </w:tc>
        <w:tc>
          <w:tcPr>
            <w:tcW w:type="dxa" w:w="2448"/>
          </w:tcPr>
          <w:p>
            <w:pPr>
              <w:spacing w:after="40"/>
            </w:pPr>
            <w:r>
              <w:rPr>
                <w:sz w:val="19"/>
              </w:rPr>
              <w:t>Passed through to the model as-is</w:t>
            </w:r>
          </w:p>
        </w:tc>
        <w:tc>
          <w:tcPr>
            <w:tcW w:type="dxa" w:w="3600"/>
          </w:tcPr>
          <w:p>
            <w:pPr>
              <w:spacing w:after="40"/>
            </w:pPr>
            <w:r>
              <w:rPr>
                <w:sz w:val="19"/>
              </w:rPr>
              <w:t>Add input screening (Guardrails, Tier 2)</w:t>
            </w:r>
          </w:p>
        </w:tc>
      </w:tr>
      <w:tr>
        <w:tc>
          <w:tcPr>
            <w:tcW w:type="dxa" w:w="2304"/>
          </w:tcPr>
          <w:p>
            <w:pPr>
              <w:spacing w:after="40"/>
            </w:pPr>
            <w:r>
              <w:rPr>
                <w:sz w:val="19"/>
              </w:rPr>
              <w:t>Context overflow</w:t>
            </w:r>
          </w:p>
        </w:tc>
        <w:tc>
          <w:tcPr>
            <w:tcW w:type="dxa" w:w="2592"/>
          </w:tcPr>
          <w:p>
            <w:pPr>
              <w:spacing w:after="40"/>
            </w:pPr>
            <w:r>
              <w:rPr>
                <w:sz w:val="19"/>
              </w:rPr>
              <w:t>History hard-capped at last 12 messages</w:t>
            </w:r>
          </w:p>
        </w:tc>
        <w:tc>
          <w:tcPr>
            <w:tcW w:type="dxa" w:w="2448"/>
          </w:tcPr>
          <w:p>
            <w:pPr>
              <w:spacing w:after="40"/>
            </w:pPr>
            <w:r>
              <w:rPr>
                <w:sz w:val="19"/>
              </w:rPr>
              <w:t>Oldest context silently dropped</w:t>
            </w:r>
          </w:p>
        </w:tc>
        <w:tc>
          <w:tcPr>
            <w:tcW w:type="dxa" w:w="3600"/>
          </w:tcPr>
          <w:p>
            <w:pPr>
              <w:spacing w:after="40"/>
            </w:pPr>
            <w:r>
              <w:rPr>
                <w:sz w:val="19"/>
              </w:rPr>
              <w:t>Acceptable for MVP; revisit if conversations regularly exceed 12 turns</w:t>
            </w:r>
          </w:p>
        </w:tc>
      </w:tr>
      <w:tr>
        <w:tc>
          <w:tcPr>
            <w:tcW w:type="dxa" w:w="2304"/>
          </w:tcPr>
          <w:p>
            <w:pPr>
              <w:spacing w:after="40"/>
            </w:pPr>
            <w:r>
              <w:rPr>
                <w:sz w:val="19"/>
              </w:rPr>
              <w:t>Gateway/model outage</w:t>
            </w:r>
          </w:p>
        </w:tc>
        <w:tc>
          <w:tcPr>
            <w:tcW w:type="dxa" w:w="2592"/>
          </w:tcPr>
          <w:p>
            <w:pPr>
              <w:spacing w:after="40"/>
            </w:pPr>
            <w:r>
              <w:rPr>
                <w:sz w:val="19"/>
              </w:rPr>
              <w:t>HTTP status mapped (429/402/404/400/403) to user-facing strings; Lovable Gateway failure falls back to direct Gemini</w:t>
            </w:r>
          </w:p>
        </w:tc>
        <w:tc>
          <w:tcPr>
            <w:tcW w:type="dxa" w:w="2448"/>
          </w:tcPr>
          <w:p>
            <w:pPr>
              <w:spacing w:after="40"/>
            </w:pPr>
            <w:r>
              <w:rPr>
                <w:sz w:val="19"/>
              </w:rPr>
              <w:t>Readable error text in-chat</w:t>
            </w:r>
          </w:p>
        </w:tc>
        <w:tc>
          <w:tcPr>
            <w:tcW w:type="dxa" w:w="3600"/>
          </w:tcPr>
          <w:p>
            <w:pPr>
              <w:spacing w:after="40"/>
            </w:pPr>
            <w:r>
              <w:rPr>
                <w:sz w:val="19"/>
              </w:rPr>
              <w:t>Reasonable today; no stop/retry button exists client-side — add one</w:t>
            </w:r>
          </w:p>
        </w:tc>
      </w:tr>
    </w:tbl>
    <w:p/>
    <w:p>
      <w:pPr>
        <w:pStyle w:val="Heading2"/>
      </w:pPr>
      <w:r>
        <w:t>Monitoring Plan</w:t>
      </w:r>
    </w:p>
    <w:p>
      <w:r>
        <w:rPr>
          <w:b w:val="0"/>
          <w:i w:val="0"/>
        </w:rPr>
        <w:t>None exists today: no production eval sampling, no drift detection, no alerting on guardrail violations, no tracking of Lovable Gateway vs. direct-Gemini fallback rate. Before claiming MVP-ready, stand up at minimum: a sampled percentage of real conversations run through the eval framework above, and an alert when the fallback path triggers more than a defined threshold (signals gateway instability).</w:t>
      </w:r>
    </w:p>
    <w:p>
      <w:pPr>
        <w:pStyle w:val="Heading2"/>
      </w:pPr>
      <w:r>
        <w:t>Infrastructure and Cost Envelope</w:t>
      </w:r>
    </w:p>
    <w:p>
      <w:r>
        <w:rPr>
          <w:b w:val="0"/>
          <w:i w:val="0"/>
        </w:rPr>
        <w:t>Not defined. No target cost per query, no volume projection, no latency budget. This becomes load-bearing the moment a validator call is added, since it roughly doubles per-message model spend — should be sized before committing to that architecture.</w:t>
      </w:r>
    </w:p>
    <w:p>
      <w:pPr>
        <w:pStyle w:val="Heading2"/>
      </w:pPr>
      <w:r>
        <w:t>Adaptation Strategy</w:t>
      </w:r>
    </w:p>
    <w:p>
      <w:pPr>
        <w:pStyle w:val="ListBullet"/>
      </w:pPr>
      <w:r>
        <w:t>GEMINI_MODEL env var already gives a lever to swap the fallback model without a code change — the Gateway-side model (google/gemini-2.5-flash) is presently hardcoded.</w:t>
      </w:r>
    </w:p>
    <w:p>
      <w:pPr>
        <w:pStyle w:val="ListBullet"/>
      </w:pPr>
      <w:r>
        <w:t>No shadow-deployment, gradual-rollout, or rollback protocol exists for a model swap.</w:t>
      </w:r>
    </w:p>
    <w:p>
      <w:pPr>
        <w:pStyle w:val="ListBullet"/>
      </w:pPr>
      <w:r>
        <w:t>This document should be revised whenever the validator ships, whenever the Advisor header copy changes, or whenever CMHC data becomes available (a static-lane change, but one that changes what "grounding data exists but is withheld from the Advisor" means in practice).</w:t>
      </w:r>
    </w:p>
    <w:p>
      <w:r>
        <w:br w:type="page"/>
      </w:r>
    </w:p>
    <w:p>
      <w:pPr>
        <w:pStyle w:val="Heading1"/>
      </w:pPr>
      <w:r>
        <w:t>AI-Flavored User Stories</w:t>
      </w:r>
    </w:p>
    <w:p>
      <w:pPr>
        <w:pStyle w:val="ListBullet"/>
      </w:pPr>
      <w:r>
        <w:t>As a newcomer with a job offer, I want to ask the Advisor whether a specific rent price sounds reasonable for a neighbourhood, so that I can sanity-check a listing before signing — where the answer is clearly labeled general guidance rather than a verified figure, and a suspiciously low price triggers a scam-awareness note rather than a confident "that's a great deal."</w:t>
      </w:r>
    </w:p>
    <w:p>
      <w:pPr>
        <w:pStyle w:val="ListBullet"/>
      </w:pPr>
      <w:r>
        <w:t>As a newcomer, the AI Advisor never invents a specific address, landlord name, or listing, even if I describe one and ask it to "confirm" details — it says plainly that it has no listing database.</w:t>
      </w:r>
    </w:p>
    <w:p>
      <w:pPr>
        <w:pStyle w:val="ListBullet"/>
      </w:pPr>
      <w:r>
        <w:t>As an international student pre-landing, I want to ask about temporary housing options in conversational terms, so that I get guidance tailored to my situation, where the response's suggestions are checked against the same duration/housing-type taxonomy Column 2 already uses, rather than inventing categories that don't exist elsewhere in the product.</w:t>
      </w:r>
    </w:p>
    <w:p>
      <w:pPr>
        <w:pStyle w:val="ListBullet"/>
      </w:pPr>
      <w:r>
        <w:t>As a user, when the Advisor's answer has been through the (not-yet-built) validator and the validator disagrees with the generator, I want to see a clearly different state (e.g. "still checking this" or a caveated answer) rather than either an unvalidated answer or a silent failure.</w:t>
      </w:r>
    </w:p>
    <w:p>
      <w:pPr>
        <w:pStyle w:val="Heading2"/>
      </w:pPr>
      <w:r>
        <w:t>Standard User Story (deterministic feature, for contrast)</w:t>
      </w:r>
    </w:p>
    <w:p>
      <w:r>
        <w:rPr>
          <w:b w:val="0"/>
          <w:i w:val="0"/>
        </w:rPr>
        <w:t>As a newcomer, I want to enter an address and see it matched to a real Toronto neighbourhood with actual police-reported crime stats and Census-derived shelter-cost data, so that I can judge an area on sourced numbers — with an honest empty state ("not enough data for this area") when the substring match against the 158 known neighbourhood names fails, rather than a guess.</w:t>
      </w:r>
    </w:p>
    <w:p>
      <w:r>
        <w:br w:type="page"/>
      </w:r>
    </w:p>
    <w:p>
      <w:pPr>
        <w:pStyle w:val="Heading1"/>
      </w:pPr>
      <w:r>
        <w:t>Appendix — Claim vs. Reality Audit</w:t>
      </w:r>
    </w:p>
    <w:p>
      <w:r>
        <w:rPr>
          <w:b w:val="0"/>
          <w:i/>
        </w:rPr>
        <w:t>Compiled directly from source on 2026-08-21. The most actionable output of this PRD: everywhere the shipped product currently says something about itself that the code doesn't back up.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shd w:fill="1F3A5F"/>
          </w:tcPr>
          <w:p>
            <w:r>
              <w:rPr>
                <w:b/>
                <w:color w:val="FFFFFF"/>
                <w:sz w:val="19"/>
              </w:rPr>
              <w:t>Claim (shown to users)</w:t>
            </w:r>
          </w:p>
        </w:tc>
        <w:tc>
          <w:tcPr>
            <w:tcW w:type="dxa" w:w="2016"/>
            <w:shd w:fill="1F3A5F"/>
          </w:tcPr>
          <w:p>
            <w:r>
              <w:rPr>
                <w:b/>
                <w:color w:val="FFFFFF"/>
                <w:sz w:val="19"/>
              </w:rPr>
              <w:t>Where</w:t>
            </w:r>
          </w:p>
        </w:tc>
        <w:tc>
          <w:tcPr>
            <w:tcW w:type="dxa" w:w="4176"/>
            <w:shd w:fill="1F3A5F"/>
          </w:tcPr>
          <w:p>
            <w:r>
              <w:rPr>
                <w:b/>
                <w:color w:val="FFFFFF"/>
                <w:sz w:val="19"/>
              </w:rPr>
              <w:t>Reality in code</w:t>
            </w:r>
          </w:p>
        </w:tc>
        <w:tc>
          <w:tcPr>
            <w:tcW w:type="dxa" w:w="2160"/>
            <w:shd w:fill="1F3A5F"/>
          </w:tcPr>
          <w:p>
            <w:r>
              <w:rPr>
                <w:b/>
                <w:color w:val="FFFFFF"/>
                <w:sz w:val="19"/>
              </w:rPr>
              <w:t>Fix</w:t>
            </w:r>
          </w:p>
        </w:tc>
      </w:tr>
      <w:tr>
        <w:tc>
          <w:tcPr>
            <w:tcW w:type="dxa" w:w="2592"/>
          </w:tcPr>
          <w:p>
            <w:pPr>
              <w:spacing w:after="40"/>
            </w:pPr>
            <w:r>
              <w:rPr>
                <w:sz w:val="19"/>
              </w:rPr>
              <w:t>"Multi-model engine (Claude + ChatGPT + Gemini)"</w:t>
            </w:r>
          </w:p>
        </w:tc>
        <w:tc>
          <w:tcPr>
            <w:tcW w:type="dxa" w:w="2016"/>
          </w:tcPr>
          <w:p>
            <w:pPr>
              <w:spacing w:after="40"/>
            </w:pPr>
            <w:r>
              <w:rPr>
                <w:sz w:val="19"/>
              </w:rPr>
              <w:t>advisor-chat.tsx header</w:t>
            </w:r>
          </w:p>
        </w:tc>
        <w:tc>
          <w:tcPr>
            <w:tcW w:type="dxa" w:w="4176"/>
          </w:tcPr>
          <w:p>
            <w:pPr>
              <w:spacing w:after="40"/>
            </w:pPr>
            <w:r>
              <w:rPr>
                <w:sz w:val="19"/>
              </w:rPr>
              <w:t>Single provider (Google Gemini) via Lovable Gateway with a direct-Gemini fallback — same model family both paths</w:t>
            </w:r>
          </w:p>
        </w:tc>
        <w:tc>
          <w:tcPr>
            <w:tcW w:type="dxa" w:w="2160"/>
          </w:tcPr>
          <w:p>
            <w:pPr>
              <w:spacing w:after="40"/>
            </w:pPr>
            <w:r>
              <w:rPr>
                <w:sz w:val="19"/>
              </w:rPr>
              <w:t>Either build the real multi-model validator (Tier 2) or correct the copy</w:t>
            </w:r>
          </w:p>
        </w:tc>
      </w:tr>
      <w:tr>
        <w:tc>
          <w:tcPr>
            <w:tcW w:type="dxa" w:w="2592"/>
          </w:tcPr>
          <w:p>
            <w:pPr>
              <w:spacing w:after="40"/>
            </w:pPr>
            <w:r>
              <w:rPr>
                <w:sz w:val="19"/>
              </w:rPr>
              <w:t>"URL-verified"</w:t>
            </w:r>
          </w:p>
        </w:tc>
        <w:tc>
          <w:tcPr>
            <w:tcW w:type="dxa" w:w="2016"/>
          </w:tcPr>
          <w:p>
            <w:pPr>
              <w:spacing w:after="40"/>
            </w:pPr>
            <w:r>
              <w:rPr>
                <w:sz w:val="19"/>
              </w:rPr>
              <w:t>advisor-chat.tsx header</w:t>
            </w:r>
          </w:p>
        </w:tc>
        <w:tc>
          <w:tcPr>
            <w:tcW w:type="dxa" w:w="4176"/>
          </w:tcPr>
          <w:p>
            <w:pPr>
              <w:spacing w:after="40"/>
            </w:pPr>
            <w:r>
              <w:rPr>
                <w:sz w:val="19"/>
              </w:rPr>
              <w:t>No URL verification logic anywhere in advisor.ts or advisor-chat.tsx</w:t>
            </w:r>
          </w:p>
        </w:tc>
        <w:tc>
          <w:tcPr>
            <w:tcW w:type="dxa" w:w="2160"/>
          </w:tcPr>
          <w:p>
            <w:pPr>
              <w:spacing w:after="40"/>
            </w:pPr>
            <w:r>
              <w:rPr>
                <w:sz w:val="19"/>
              </w:rPr>
              <w:t>Remove the claim or implement it</w:t>
            </w:r>
          </w:p>
        </w:tc>
      </w:tr>
      <w:tr>
        <w:tc>
          <w:tcPr>
            <w:tcW w:type="dxa" w:w="2592"/>
          </w:tcPr>
          <w:p>
            <w:pPr>
              <w:spacing w:after="40"/>
            </w:pPr>
            <w:r>
              <w:rPr>
                <w:sz w:val="19"/>
              </w:rPr>
              <w:t>"Citation enforced"</w:t>
            </w:r>
          </w:p>
        </w:tc>
        <w:tc>
          <w:tcPr>
            <w:tcW w:type="dxa" w:w="2016"/>
          </w:tcPr>
          <w:p>
            <w:pPr>
              <w:spacing w:after="40"/>
            </w:pPr>
            <w:r>
              <w:rPr>
                <w:sz w:val="19"/>
              </w:rPr>
              <w:t>advisor-chat.tsx header</w:t>
            </w:r>
          </w:p>
        </w:tc>
        <w:tc>
          <w:tcPr>
            <w:tcW w:type="dxa" w:w="4176"/>
          </w:tcPr>
          <w:p>
            <w:pPr>
              <w:spacing w:after="40"/>
            </w:pPr>
            <w:r>
              <w:rPr>
                <w:sz w:val="19"/>
              </w:rPr>
              <w:t>No citation logic in the Advisor path (citation/source machinery exists only in the static lane's journey.ts / sources.ts, which the Advisor never touches)</w:t>
            </w:r>
          </w:p>
        </w:tc>
        <w:tc>
          <w:tcPr>
            <w:tcW w:type="dxa" w:w="2160"/>
          </w:tcPr>
          <w:p>
            <w:pPr>
              <w:spacing w:after="40"/>
            </w:pPr>
            <w:r>
              <w:rPr>
                <w:sz w:val="19"/>
              </w:rPr>
              <w:t>Remove the claim or implement it</w:t>
            </w:r>
          </w:p>
        </w:tc>
      </w:tr>
      <w:tr>
        <w:tc>
          <w:tcPr>
            <w:tcW w:type="dxa" w:w="2592"/>
          </w:tcPr>
          <w:p>
            <w:pPr>
              <w:spacing w:after="40"/>
            </w:pPr>
            <w:r>
              <w:rPr>
                <w:sz w:val="19"/>
              </w:rPr>
              <w:t>Housing-type "Learn more"</w:t>
            </w:r>
          </w:p>
        </w:tc>
        <w:tc>
          <w:tcPr>
            <w:tcW w:type="dxa" w:w="2016"/>
          </w:tcPr>
          <w:p>
            <w:pPr>
              <w:spacing w:after="40"/>
            </w:pPr>
            <w:r>
              <w:rPr>
                <w:sz w:val="19"/>
              </w:rPr>
              <w:t>choose-housing.tsx</w:t>
            </w:r>
          </w:p>
        </w:tc>
        <w:tc>
          <w:tcPr>
            <w:tcW w:type="dxa" w:w="4176"/>
          </w:tcPr>
          <w:p>
            <w:pPr>
              <w:spacing w:after="40"/>
            </w:pPr>
            <w:r>
              <w:rPr>
                <w:sz w:val="19"/>
              </w:rPr>
              <w:t>onLearnMore intentionally omitted for housing-type cards — label renders but goes nowhere, per an explicit code comment that this must not gain new behavior without revisiting scope</w:t>
            </w:r>
          </w:p>
        </w:tc>
        <w:tc>
          <w:tcPr>
            <w:tcW w:type="dxa" w:w="2160"/>
          </w:tcPr>
          <w:p>
            <w:pPr>
              <w:spacing w:after="40"/>
            </w:pPr>
            <w:r>
              <w:rPr>
                <w:sz w:val="19"/>
              </w:rPr>
              <w:t>Either wire a destination or remove the affordance</w:t>
            </w:r>
          </w:p>
        </w:tc>
      </w:tr>
      <w:tr>
        <w:tc>
          <w:tcPr>
            <w:tcW w:type="dxa" w:w="2592"/>
          </w:tcPr>
          <w:p>
            <w:pPr>
              <w:spacing w:after="40"/>
            </w:pPr>
            <w:r>
              <w:rPr>
                <w:sz w:val="19"/>
              </w:rPr>
              <w:t>CMHC city-wide rent baseline</w:t>
            </w:r>
          </w:p>
        </w:tc>
        <w:tc>
          <w:tcPr>
            <w:tcW w:type="dxa" w:w="2016"/>
          </w:tcPr>
          <w:p>
            <w:pPr>
              <w:spacing w:after="40"/>
            </w:pPr>
            <w:r>
              <w:rPr>
                <w:sz w:val="19"/>
              </w:rPr>
              <w:t>check-the-place-report.tsx / cmhc_baseline.json</w:t>
            </w:r>
          </w:p>
        </w:tc>
        <w:tc>
          <w:tcPr>
            <w:tcW w:type="dxa" w:w="4176"/>
          </w:tcPr>
          <w:p>
            <w:pPr>
              <w:spacing w:after="40"/>
            </w:pPr>
            <w:r>
              <w:rPr>
                <w:sz w:val="19"/>
              </w:rPr>
              <w:t>File not present; CMHC_XLSX_URL requires a manual capture from CMHC's HMIP portal (no stable public URL exists) — component degrades cleanly to a null-gated block, not an error</w:t>
            </w:r>
          </w:p>
        </w:tc>
        <w:tc>
          <w:tcPr>
            <w:tcW w:type="dxa" w:w="2160"/>
          </w:tcPr>
          <w:p>
            <w:pPr>
              <w:spacing w:after="40"/>
            </w:pPr>
            <w:r>
              <w:rPr>
                <w:sz w:val="19"/>
              </w:rPr>
              <w:t>Either source and ingest CMHC data or drop the UI block referencing it</w:t>
            </w:r>
          </w:p>
        </w:tc>
      </w:tr>
      <w:tr>
        <w:tc>
          <w:tcPr>
            <w:tcW w:type="dxa" w:w="2592"/>
          </w:tcPr>
          <w:p>
            <w:pPr>
              <w:spacing w:after="40"/>
            </w:pPr>
            <w:r>
              <w:rPr>
                <w:sz w:val="19"/>
              </w:rPr>
              <w:t>Supabase-backed accounts (implied by boilerplate)</w:t>
            </w:r>
          </w:p>
        </w:tc>
        <w:tc>
          <w:tcPr>
            <w:tcW w:type="dxa" w:w="2016"/>
          </w:tcPr>
          <w:p>
            <w:pPr>
              <w:spacing w:after="40"/>
            </w:pPr>
            <w:r>
              <w:rPr>
                <w:sz w:val="19"/>
              </w:rPr>
              <w:t>src/integrations/supabase/*</w:t>
            </w:r>
          </w:p>
        </w:tc>
        <w:tc>
          <w:tcPr>
            <w:tcW w:type="dxa" w:w="4176"/>
          </w:tcPr>
          <w:p>
            <w:pPr>
              <w:spacing w:after="40"/>
            </w:pPr>
            <w:r>
              <w:rPr>
                <w:sz w:val="19"/>
              </w:rPr>
              <w:t>Client and auth middleware exist but are referenced only by each other and start.ts — zero use in any product route or component; no login/session UI exists</w:t>
            </w:r>
          </w:p>
        </w:tc>
        <w:tc>
          <w:tcPr>
            <w:tcW w:type="dxa" w:w="2160"/>
          </w:tcPr>
          <w:p>
            <w:pPr>
              <w:spacing w:after="40"/>
            </w:pPr>
            <w:r>
              <w:rPr>
                <w:sz w:val="19"/>
              </w:rPr>
              <w:t>Either build accounts on top of this scaffolding or remove it to avoid implying a feature that isn't there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