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9BD5"/>
          <w:sz w:val="24"/>
        </w:rPr>
        <w:t>PROJET NLP 2 — J2</w:t>
      </w:r>
    </w:p>
    <w:p>
      <w:pPr>
        <w:pStyle w:val="Title"/>
        <w:jc w:val="center"/>
      </w:pPr>
      <w:r>
        <w:t>Détection et analyse d’incidents</w:t>
        <w:br/>
        <w:t>à partir de fichiers de logs</w:t>
      </w:r>
    </w:p>
    <w:p>
      <w:pPr>
        <w:jc w:val="center"/>
      </w:pPr>
      <w:r>
        <w:rPr>
          <w:i/>
          <w:sz w:val="24"/>
        </w:rPr>
        <w:t>Rendu de cadrage — 21 septembre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912"/>
      </w:tblGrid>
      <w:tr>
        <w:tc>
          <w:tcPr>
            <w:tcW w:type="dxa" w:w="5040"/>
            <w:vAlign w:val="center"/>
            <w:shd w:fill="2F5597"/>
          </w:tcPr>
          <w:p>
            <w:r/>
            <w:r>
              <w:rPr>
                <w:b/>
                <w:color w:val="FFFFFF"/>
                <w:sz w:val="19"/>
              </w:rPr>
              <w:t>Volet A</w:t>
            </w:r>
          </w:p>
        </w:tc>
        <w:tc>
          <w:tcPr>
            <w:tcW w:type="dxa" w:w="5040"/>
            <w:vAlign w:val="center"/>
            <w:shd w:fill="EAF2F8"/>
          </w:tcPr>
          <w:p>
            <w:r/>
            <w:r>
              <w:rPr>
                <w:b w:val="0"/>
                <w:sz w:val="19"/>
              </w:rPr>
              <w:t>Application web de détection / classification d’anomalies dans les logs avec BiLSTM, export ONNX et inférence navigateur.</w:t>
            </w:r>
          </w:p>
        </w:tc>
      </w:tr>
      <w:tr>
        <w:tc>
          <w:tcPr>
            <w:tcW w:type="dxa" w:w="2880"/>
            <w:vAlign w:val="center"/>
            <w:shd w:fill="2F5597"/>
          </w:tcPr>
          <w:p>
            <w:r/>
            <w:r>
              <w:rPr>
                <w:b/>
                <w:color w:val="FFFFFF"/>
                <w:sz w:val="19"/>
              </w:rPr>
              <w:t>Volet B</w:t>
            </w:r>
          </w:p>
        </w:tc>
        <w:tc>
          <w:tcPr>
            <w:tcW w:type="dxa" w:w="6912"/>
            <w:vAlign w:val="center"/>
            <w:shd w:fill="EAF2F8"/>
          </w:tcPr>
          <w:p>
            <w:r/>
            <w:r>
              <w:rPr>
                <w:b w:val="0"/>
                <w:sz w:val="19"/>
              </w:rPr>
              <w:t>Application locale d’analyse d’incidents avec un SLM open-weights adapté et une architecture RAG sur documentation technique.</w:t>
            </w:r>
          </w:p>
        </w:tc>
      </w:tr>
      <w:tr>
        <w:tc>
          <w:tcPr>
            <w:tcW w:type="dxa" w:w="2880"/>
            <w:vAlign w:val="center"/>
            <w:shd w:fill="2F5597"/>
          </w:tcPr>
          <w:p>
            <w:r/>
            <w:r>
              <w:rPr>
                <w:b/>
                <w:color w:val="FFFFFF"/>
                <w:sz w:val="19"/>
              </w:rPr>
              <w:t>Données candidates</w:t>
            </w:r>
          </w:p>
        </w:tc>
        <w:tc>
          <w:tcPr>
            <w:tcW w:type="dxa" w:w="6912"/>
            <w:vAlign w:val="center"/>
            <w:shd w:fill="EAF2F8"/>
          </w:tcPr>
          <w:p>
            <w:r/>
            <w:r>
              <w:rPr>
                <w:b w:val="0"/>
                <w:sz w:val="19"/>
              </w:rPr>
              <w:t>LogHub / HDFS pour les logs ; corpus documentaire technique contrôlé pour le RAG.</w:t>
            </w:r>
          </w:p>
        </w:tc>
      </w:tr>
      <w:tr>
        <w:tc>
          <w:tcPr>
            <w:tcW w:type="dxa" w:w="2880"/>
            <w:vAlign w:val="center"/>
            <w:shd w:fill="2F5597"/>
          </w:tcPr>
          <w:p>
            <w:r/>
            <w:r>
              <w:rPr>
                <w:b/>
                <w:color w:val="FFFFFF"/>
                <w:sz w:val="19"/>
              </w:rPr>
              <w:t>Objectif J2</w:t>
            </w:r>
          </w:p>
        </w:tc>
        <w:tc>
          <w:tcPr>
            <w:tcW w:type="dxa" w:w="6912"/>
            <w:vAlign w:val="center"/>
            <w:shd w:fill="EAF2F8"/>
          </w:tcPr>
          <w:p>
            <w:r/>
            <w:r>
              <w:rPr>
                <w:b w:val="0"/>
                <w:sz w:val="19"/>
              </w:rPr>
              <w:t>Valider le cas d’usage, les choix techniques, la faisabilité, les risques et l’organisation initiale.</w:t>
            </w:r>
          </w:p>
        </w:tc>
      </w:tr>
    </w:tbl>
    <w:p/>
    <w:p>
      <w:pPr>
        <w:pStyle w:val="Heading1"/>
      </w:pPr>
      <w:r>
        <w:t>1. Problématique et valeur du sujet</w:t>
      </w:r>
    </w:p>
    <w:p>
      <w:r>
        <w:t>Comment exploiter des techniques de traitement automatique du langage pour détecter des anomalies dans des fichiers de logs et fournir une analyse explicable des incidents détectés ?</w:t>
      </w:r>
    </w:p>
    <w:p>
      <w:r>
        <w:t>Le projet vise à transformer des séquences de logs techniques en informations plus facilement exploitables. Le volet A étudie la capacité d’un modèle léger, entraîné spécifiquement sur le corpus, à reconnaître une anomalie ou une catégorie d’incident. Le volet B étudie l’apport d’un petit modèle de langage open-weights, adapté localement et enrichi par RAG, pour produire une analyse fondée sur une documentation technique de référence.</w:t>
      </w:r>
    </w:p>
    <w:p>
      <w:pPr>
        <w:pStyle w:val="Heading1"/>
      </w:pPr>
      <w:r>
        <w:t>2. Environnement de développement déclaré</w:t>
      </w:r>
    </w:p>
    <w:p>
      <w:pPr/>
      <w:r>
        <w:t>• Python pour la préparation des données, l’entraînement et l’évaluation des modèles.</w:t>
      </w:r>
    </w:p>
    <w:p>
      <w:pPr/>
      <w:r>
        <w:t>• VS Code et/ou Jupyter Notebook pour le développement et les expérimentations.</w:t>
      </w:r>
    </w:p>
    <w:p>
      <w:pPr/>
      <w:r>
        <w:t>• Git / GitHub pour le versionnement et le travail collaboratif.</w:t>
      </w:r>
    </w:p>
    <w:p>
      <w:pPr/>
      <w:r>
        <w:t>• HTML, CSS et JavaScript pour l’application web du volet A.</w:t>
      </w:r>
    </w:p>
    <w:p>
      <w:pPr/>
      <w:r>
        <w:t>• ONNX Runtime Web pour exécuter le modèle du volet A directement dans le navigateur.</w:t>
      </w:r>
    </w:p>
    <w:p>
      <w:pPr/>
      <w:r>
        <w:t>• Bibliothèques Python de NLP / deep learning à confirmer après les premiers essais.</w:t>
      </w:r>
    </w:p>
    <w:p>
      <w:pPr>
        <w:pStyle w:val="Heading1"/>
      </w:pPr>
      <w:r>
        <w:t>3. Board de tickets</w:t>
      </w:r>
    </w:p>
    <w:p>
      <w:r>
        <w:t>Le board de suivi sera associé au dépôt GitHub du groupe. Les colonnes proposées sont : Backlog → To Do → In Progress → Review → Done. Les quatre membres seront ajoutés au board. Chaque ticket devra avoir un responsable principal et, lorsque pertinent, un binôme de relecture.</w:t>
      </w:r>
    </w:p>
    <w:p>
      <w:pPr>
        <w:pStyle w:val="Heading1"/>
      </w:pPr>
      <w:r>
        <w:t>4. Étude du volet A — Application web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2F5597"/>
          </w:tcPr>
          <w:p>
            <w:r/>
            <w:r>
              <w:rPr>
                <w:b/>
                <w:color w:val="FFFFFF"/>
                <w:sz w:val="19"/>
              </w:rPr>
              <w:t>Élément</w:t>
            </w:r>
          </w:p>
        </w:tc>
        <w:tc>
          <w:tcPr>
            <w:tcW w:type="dxa" w:w="5040"/>
            <w:vAlign w:val="center"/>
            <w:shd w:fill="2F5597"/>
          </w:tcPr>
          <w:p>
            <w:r/>
            <w:r>
              <w:rPr>
                <w:b/>
                <w:color w:val="FFFFFF"/>
                <w:sz w:val="19"/>
              </w:rPr>
              <w:t>Choix envisagé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Cas d’usage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Détection / classification d’anomalies à partir de séquences de logs.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Entrée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Texte de logs saisi/collé ou fichier contenant plusieurs séquences.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Modèle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BiLSTM entraîné par le groupe ; baseline plus simple à définir pour comparaison.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Données candidates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LogHub / HDFS, après audit des annotations et de la volumétrie exploitable.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Sortie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Classe prédite, score de confiance et principales classes candidates ; export possible en mode lot.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Déploiement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Export ONNX puis inférence côté client avec ONNX Runtime Web.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Faisabilité navigateur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Compatible avec la contrainte de modèle léger et d’inférence sans serveur.</w:t>
            </w:r>
          </w:p>
        </w:tc>
      </w:tr>
    </w:tbl>
    <w:p>
      <w:r>
        <w:t>Point à valider rapidement : les labels réellement disponibles dans le corpus. Si le corpus ne fournit qu’un label normal/anormal, le volet A sera cadré comme une détection binaire ; une classification multi-classe ne sera retenue que si les annotations la permettent.</w:t>
      </w:r>
    </w:p>
    <w:p>
      <w:pPr>
        <w:pStyle w:val="Heading1"/>
      </w:pPr>
      <w:r>
        <w:t>5. Étude du volet B — Application locale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2F5597"/>
          </w:tcPr>
          <w:p>
            <w:r/>
            <w:r>
              <w:rPr>
                <w:b/>
                <w:color w:val="FFFFFF"/>
                <w:sz w:val="19"/>
              </w:rPr>
              <w:t>Élément</w:t>
            </w:r>
          </w:p>
        </w:tc>
        <w:tc>
          <w:tcPr>
            <w:tcW w:type="dxa" w:w="5040"/>
            <w:vAlign w:val="center"/>
            <w:shd w:fill="2F5597"/>
          </w:tcPr>
          <w:p>
            <w:r/>
            <w:r>
              <w:rPr>
                <w:b/>
                <w:color w:val="FFFFFF"/>
                <w:sz w:val="19"/>
              </w:rPr>
              <w:t>Choix envisagé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Cas d’usage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Analyse explicative d’un incident observé dans un fichier de logs.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Modèle candidat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SmolLM2-1.7B-Instruct, sous réserve de validation matérielle.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Architecture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SLM local + RAG sur un corpus documentaire technique contrôlé.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Adaptation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Adaptation supervisée légère, LoRA envisagé si la machine cible le permet.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Entrées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Logs ou extraits pertinents + consigne d’analyse.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Sortie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Analyse de l’incident accompagnée des passages documentaires utilisés ; abstention si information insuffisante.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Évaluation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Comparaison avant/après adaptation, qualité de l’analyse, appui sur les sources, abstention, latence et mémoire.</w:t>
            </w:r>
          </w:p>
        </w:tc>
      </w:tr>
    </w:tbl>
    <w:p>
      <w:r>
        <w:rPr>
          <w:b/>
        </w:rPr>
        <w:t xml:space="preserve">Machine cible — à compléter aujourd’hui : </w:t>
      </w:r>
      <w:r>
        <w:t>CPU : __________   RAM : __________   GPU : __________   VRAM : __________</w:t>
      </w:r>
    </w:p>
    <w:p>
      <w:r>
        <w:t>La configuration matérielle doit être relevée avant de confirmer définitivement le modèle, sa quantification et la méthode d’adaptation.</w:t>
      </w:r>
    </w:p>
    <w:p>
      <w:pPr>
        <w:pStyle w:val="Heading1"/>
      </w:pPr>
      <w:r>
        <w:t>6. Données et corpus</w:t>
      </w:r>
    </w:p>
    <w:p>
      <w:r>
        <w:t>Volet A — corpus candidat : LogHub / HDFS. Le corpus sera audité avant validation afin de vérifier les labels, les doublons, le déséquilibre des classes et la volumétrie réellement exploitable. Un sous-ensemble contrôlé sera retenu pour l’entraînement, la validation et le test.</w:t>
      </w:r>
    </w:p>
    <w:p>
      <w:r>
        <w:t>Volet B — corpus RAG : documentation technique correspondant aux systèmes présents dans les logs. Le corpus sera fermé et maîtrisé afin de pouvoir vérifier si les analyses produites sont effectivement appuyées par les documents récupérés.</w:t>
      </w:r>
    </w:p>
    <w:p>
      <w:pPr>
        <w:pStyle w:val="Heading1"/>
      </w:pPr>
      <w:r>
        <w:t>7. Périmètre, risques et critères de réussite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2F5597"/>
          </w:tcPr>
          <w:p>
            <w:r/>
            <w:r>
              <w:rPr>
                <w:b/>
                <w:color w:val="FFFFFF"/>
                <w:sz w:val="19"/>
              </w:rPr>
              <w:t>Périmètre</w:t>
            </w:r>
          </w:p>
        </w:tc>
        <w:tc>
          <w:tcPr>
            <w:tcW w:type="dxa" w:w="3360"/>
            <w:vAlign w:val="center"/>
            <w:shd w:fill="2F5597"/>
          </w:tcPr>
          <w:p>
            <w:r/>
            <w:r>
              <w:rPr>
                <w:b/>
                <w:color w:val="FFFFFF"/>
                <w:sz w:val="19"/>
              </w:rPr>
              <w:t>Risques principaux</w:t>
            </w:r>
          </w:p>
        </w:tc>
        <w:tc>
          <w:tcPr>
            <w:tcW w:type="dxa" w:w="3360"/>
            <w:vAlign w:val="center"/>
            <w:shd w:fill="2F5597"/>
          </w:tcPr>
          <w:p>
            <w:r/>
            <w:r>
              <w:rPr>
                <w:b/>
                <w:color w:val="FFFFFF"/>
                <w:sz w:val="19"/>
              </w:rPr>
              <w:t>Critères de réussite</w:t>
            </w:r>
          </w:p>
        </w:tc>
      </w:tr>
      <w:tr>
        <w:tc>
          <w:tcPr>
            <w:tcW w:type="dxa" w:w="3360"/>
            <w:vAlign w:val="center"/>
            <w:shd w:fill="F5F7FA"/>
          </w:tcPr>
          <w:p>
            <w:r/>
            <w:r>
              <w:rPr>
                <w:b w:val="0"/>
                <w:sz w:val="19"/>
              </w:rPr>
              <w:t>Corpus de logs limité et contrôlé.</w:t>
              <w:br/>
              <w:t>Application A web.</w:t>
              <w:br/>
              <w:t>Application B locale.</w:t>
              <w:br/>
              <w:t>Pas de monitoring temps réel ni d’action automatique sur un système.</w:t>
            </w:r>
          </w:p>
        </w:tc>
        <w:tc>
          <w:tcPr>
            <w:tcW w:type="dxa" w:w="3360"/>
            <w:vAlign w:val="center"/>
            <w:shd w:fill="F5F7FA"/>
          </w:tcPr>
          <w:p>
            <w:r/>
            <w:r>
              <w:rPr>
                <w:b w:val="0"/>
                <w:sz w:val="19"/>
              </w:rPr>
              <w:t>Labels insuffisants ou déséquilibrés.</w:t>
              <w:br/>
              <w:t>Export ONNX difficile.</w:t>
              <w:br/>
              <w:t>Corpus RAG insuffisant.</w:t>
              <w:br/>
              <w:t>SLM trop lourd pour la machine.</w:t>
              <w:br/>
              <w:t>Réponses non fondées sur les sources.</w:t>
            </w:r>
          </w:p>
        </w:tc>
        <w:tc>
          <w:tcPr>
            <w:tcW w:type="dxa" w:w="3360"/>
            <w:vAlign w:val="center"/>
            <w:shd w:fill="F5F7FA"/>
          </w:tcPr>
          <w:p>
            <w:r/>
            <w:r>
              <w:rPr>
                <w:b w:val="0"/>
                <w:sz w:val="19"/>
              </w:rPr>
              <w:t>Volet A exécutable dans le navigateur.</w:t>
              <w:br/>
              <w:t>Performance mesurable sur jeu de test.</w:t>
              <w:br/>
              <w:t>Première inférence locale réussie.</w:t>
              <w:br/>
              <w:t>RAG fonctionnel.</w:t>
              <w:br/>
              <w:t>Comparaison avant/après adaptation documentée.</w:t>
            </w:r>
          </w:p>
        </w:tc>
      </w:tr>
    </w:tbl>
    <w:p>
      <w:pPr>
        <w:pStyle w:val="Heading1"/>
      </w:pPr>
      <w:r>
        <w:t>8. Répartition initiale des tâches — groupe de 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2F5597"/>
          </w:tcPr>
          <w:p>
            <w:r/>
            <w:r>
              <w:rPr>
                <w:b/>
                <w:color w:val="FFFFFF"/>
                <w:sz w:val="19"/>
              </w:rPr>
              <w:t>Responsabilité</w:t>
            </w:r>
          </w:p>
        </w:tc>
        <w:tc>
          <w:tcPr>
            <w:tcW w:type="dxa" w:w="3360"/>
            <w:vAlign w:val="center"/>
            <w:shd w:fill="2F5597"/>
          </w:tcPr>
          <w:p>
            <w:r/>
            <w:r>
              <w:rPr>
                <w:b/>
                <w:color w:val="FFFFFF"/>
                <w:sz w:val="19"/>
              </w:rPr>
              <w:t>Domaine principal</w:t>
            </w:r>
          </w:p>
        </w:tc>
        <w:tc>
          <w:tcPr>
            <w:tcW w:type="dxa" w:w="3360"/>
            <w:vAlign w:val="center"/>
            <w:shd w:fill="2F5597"/>
          </w:tcPr>
          <w:p>
            <w:r/>
            <w:r>
              <w:rPr>
                <w:b/>
                <w:color w:val="FFFFFF"/>
                <w:sz w:val="19"/>
              </w:rPr>
              <w:t>Domaine secondaire / relecture</w:t>
            </w:r>
          </w:p>
        </w:tc>
      </w:tr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 w:val="0"/>
                <w:sz w:val="19"/>
              </w:rPr>
              <w:t>Membre 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Données : audit LogHub/HDFS, nettoyage, labels, splits train/validation/test.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Relecture évaluation du volet A.</w:t>
            </w:r>
          </w:p>
        </w:tc>
      </w:tr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 w:val="0"/>
                <w:sz w:val="19"/>
              </w:rPr>
              <w:t>Membre 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Volet A : baseline, BiLSTM, export ONNX, application web.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Appui préparation des données.</w:t>
            </w:r>
          </w:p>
        </w:tc>
      </w:tr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 w:val="0"/>
                <w:sz w:val="19"/>
              </w:rPr>
              <w:t>Membre 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Volet B : SLM, quantification et adaptation.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Relecture du pipeline RAG.</w:t>
            </w:r>
          </w:p>
        </w:tc>
      </w:tr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 w:val="0"/>
                <w:sz w:val="19"/>
              </w:rPr>
              <w:t>Membre 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RAG et évaluation : corpus documentaire, retrieval, métriques.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Appui interface / tests du volet B.</w:t>
            </w:r>
          </w:p>
        </w:tc>
      </w:tr>
    </w:tbl>
    <w:p>
      <w:pPr>
        <w:pStyle w:val="Heading1"/>
      </w:pPr>
      <w:r>
        <w:t>9. Plan immédiat après J2</w:t>
      </w:r>
    </w:p>
    <w:p>
      <w:r>
        <w:rPr>
          <w:b/>
        </w:rPr>
        <w:t xml:space="preserve">☐ </w:t>
      </w:r>
      <w:r>
        <w:t>Auditer LogHub/HDFS et figer la tâche exacte du volet A selon les labels réellement disponibles.</w:t>
      </w:r>
    </w:p>
    <w:p>
      <w:r>
        <w:rPr>
          <w:b/>
        </w:rPr>
        <w:t xml:space="preserve">☐ </w:t>
      </w:r>
      <w:r>
        <w:t>Relever la configuration matérielle de la machine cible et confirmer le SLM.</w:t>
      </w:r>
    </w:p>
    <w:p>
      <w:r>
        <w:rPr>
          <w:b/>
        </w:rPr>
        <w:t xml:space="preserve">☐ </w:t>
      </w:r>
      <w:r>
        <w:t>Créer et commencer à alimenter le board de tickets.</w:t>
      </w:r>
    </w:p>
    <w:p>
      <w:r>
        <w:rPr>
          <w:b/>
        </w:rPr>
        <w:t xml:space="preserve">☐ </w:t>
      </w:r>
      <w:r>
        <w:t>Construire une première chaîne de préparation des logs et une baseline.</w:t>
      </w:r>
    </w:p>
    <w:p>
      <w:r>
        <w:rPr>
          <w:b/>
        </w:rPr>
        <w:t xml:space="preserve">☐ </w:t>
      </w:r>
      <w:r>
        <w:t>Tester un premier export ONNX / inférence navigateur.</w:t>
      </w:r>
    </w:p>
    <w:p>
      <w:r>
        <w:rPr>
          <w:b/>
        </w:rPr>
        <w:t xml:space="preserve">☐ </w:t>
      </w:r>
      <w:r>
        <w:t>Obtenir une première inférence locale du SLM avant le 01/10.</w:t>
      </w:r>
    </w:p>
    <w:p>
      <w:r>
        <w:rPr>
          <w:b/>
        </w:rPr>
        <w:t xml:space="preserve">☐ </w:t>
      </w:r>
      <w:r>
        <w:t>Commencer la sélection et le découpage du corpus documentaire pour le RAG.</w:t>
      </w:r>
    </w:p>
    <w:p>
      <w:pPr>
        <w:pStyle w:val="Heading1"/>
      </w:pPr>
      <w:r>
        <w:t>10. Jalons de référence</w:t>
      </w:r>
    </w:p>
    <w:p>
      <w:r>
        <w:t>J2 — 21/09/2026 : environnement déclaré, board créé, étude des deux volets, machine cible et cadrage initial.</w:t>
      </w:r>
    </w:p>
    <w:p>
      <w:r>
        <w:t>01/10/2026 : volet A déployé, même minimalement ; première inférence locale aboutie pour le volet B ; tag Git et capture du board.</w:t>
      </w:r>
    </w:p>
    <w:p>
      <w:r>
        <w:t>16/10/2026 : volet A fonctionnel ; adaptation du modèle du volet B engagée ; supports de présentation préparés.</w:t>
      </w:r>
    </w:p>
    <w:p>
      <w:r>
        <w:t>07/12/2026 : soutenance et livraison finale.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Projet NLP 2 — Rendu J2 — Analyse de fichiers de logs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