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C45" w:rsidRPr="002A5C45" w:rsidRDefault="002A5C45" w:rsidP="002A5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r w:rsidRPr="002A5C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Нежелательные явления </w:t>
      </w:r>
      <w:proofErr w:type="spellStart"/>
      <w:r w:rsidRPr="002A5C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сапроптерина</w:t>
      </w:r>
      <w:proofErr w:type="spellEnd"/>
      <w:r w:rsidRPr="002A5C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 детей</w:t>
      </w:r>
      <w:bookmarkEnd w:id="0"/>
      <w:r w:rsidRPr="002A5C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: частота в пересчёте на </w:t>
      </w:r>
      <w:proofErr w:type="spellStart"/>
      <w:r w:rsidRPr="002A5C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пациенто</w:t>
      </w:r>
      <w:proofErr w:type="spellEnd"/>
      <w:r w:rsidRPr="002A5C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-годы</w:t>
      </w:r>
    </w:p>
    <w:p w:rsidR="002A5C45" w:rsidRPr="002A5C45" w:rsidRDefault="002A5C45" w:rsidP="002A5C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5C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Таблица A. Педиатрические популяции (&lt;10 лет)</w:t>
      </w:r>
    </w:p>
    <w:p w:rsidR="002A5C45" w:rsidRPr="002A5C45" w:rsidRDefault="002A5C45" w:rsidP="002A5C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C4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расчёты выполнены автором настоящего документа и отмечены [</w:t>
      </w:r>
      <w:proofErr w:type="spellStart"/>
      <w:r w:rsidRPr="002A5C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</w:t>
      </w:r>
      <w:proofErr w:type="spellEnd"/>
      <w:r w:rsidRPr="002A5C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.]; исходные значения и арифметика приведены в методологических примечаниях. Диапазоны отражают границы неопределённости по </w:t>
      </w:r>
      <w:proofErr w:type="spellStart"/>
      <w:r w:rsidRPr="002A5C4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пациенто</w:t>
      </w:r>
      <w:proofErr w:type="spellEnd"/>
      <w:r w:rsidRPr="002A5C45">
        <w:rPr>
          <w:rFonts w:ascii="Times New Roman" w:eastAsia="Times New Roman" w:hAnsi="Times New Roman" w:cs="Times New Roman"/>
          <w:sz w:val="24"/>
          <w:szCs w:val="24"/>
          <w:lang w:eastAsia="ru-RU"/>
        </w:rPr>
        <w:t>-времени, а не доверительные интервалы.</w:t>
      </w:r>
    </w:p>
    <w:p w:rsidR="002A5C45" w:rsidRDefault="002A5C45"/>
    <w:tbl>
      <w:tblPr>
        <w:tblW w:w="14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2309"/>
        <w:gridCol w:w="1903"/>
        <w:gridCol w:w="1411"/>
        <w:gridCol w:w="1348"/>
        <w:gridCol w:w="1571"/>
        <w:gridCol w:w="5592"/>
      </w:tblGrid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Нежелательное явление</w:t>
            </w:r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Частота (событий /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-год)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Числитель (из источника)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Знаменатель (рассчитан)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Популяция и длительность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Источник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Гипофенилаланинемия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(снижение концентрации аминокислот), связанная с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сапроптерином</w:t>
            </w:r>
            <w:proofErr w:type="spellEnd"/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**1,48 – 1,60** 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.]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 событий у 6 пациентов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12,5 – 13,5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SPARK, основной период; возраст &lt;4 лет на момент рандомизации; 26 недель; n = 27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Muntau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et al., 2017,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Orphanet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J Rare Dis 12:47, DOI 10.1186/s13023-017-0600-x, </w:t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таблица</w:t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5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Желудочно-кишечные нарушения, связанные с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сапроптерином</w:t>
            </w:r>
            <w:proofErr w:type="spellEnd"/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**0,59 – 0,64** 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.]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 событий у 3 пациентов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12,5 – 13,5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Инфекции и инвазии, связанные с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сапроптерином</w:t>
            </w:r>
            <w:proofErr w:type="spellEnd"/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**0,22 – 0,24** 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.]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 события у 3 пациентов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12,5 – 13,5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Гипофенилаланинемия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все возникшие на фоне лечения случаи (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Phe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&lt;120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мкмоль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/л)</w:t>
            </w:r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**0,33 – 0,52** 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.]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51 событие у 14 пациентов (45/11 в группе непрерывной терапии + 6/3 в группе продлённой терапии)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99 – 153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SPARK, продлённый период; возраст &lt;4 лет на момент рандомизации; 36 месяцев; n = 51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Muntau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et al., 2021,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Orphanet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J Rare Dis 16:341, DOI 10.1186/s13023-021-01968-1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Гипофенилаланинемия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связанная с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сапроптерином</w:t>
            </w:r>
            <w:proofErr w:type="spellEnd"/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**0,16 – 0,24** 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.]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24 события у 9 пациентов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99 – 153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Повышение уровня аминокислот, связанное с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сапроптерином</w:t>
            </w:r>
            <w:proofErr w:type="spellEnd"/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**0,026 – 0,040** 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.]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 события у 2 пациентов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99 – 153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Рвота, связанная с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сапроптерином</w:t>
            </w:r>
            <w:proofErr w:type="spellEnd"/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**0,026 – 0,040** 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.]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 события у 3 пациентов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99 – 153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Ринит, связанный с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сапроптерином</w:t>
            </w:r>
            <w:proofErr w:type="spellEnd"/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**0,020 – 0,030** 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.]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 события у 3 пациентов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99 – 153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Уровень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Phe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в крови ниже возрастной нормы</w:t>
            </w:r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**≥ 0,49 пациентов с событием /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-год** </w:t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., нижняя граница]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16 из 65 пациентов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≤ 32,5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Исследование 5 (FDA); возраст от 1 месяца до 6 </w:t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лет; 20 мг/кг/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сут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; 6 месяцев</w:t>
            </w:r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 xml:space="preserve">Инструкция по применению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Kuvan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(</w:t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США</w:t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),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ред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. 08/2024, </w:t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раздел</w:t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6.1 (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DailyMed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setid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af38711e-8873-4790-a92d-4d583e23fb89)</w:t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br/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br/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URL :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br/>
            </w: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br/>
            </w:r>
            <w:r w:rsidRPr="002A5C45">
              <w:rPr>
                <w:lang w:val="en-US"/>
              </w:rPr>
              <w:t>https://</w:t>
            </w:r>
            <w:r w:rsidRPr="002A5C45">
              <w:rPr>
                <w:rStyle w:val="a3"/>
                <w:lang w:val="en-US"/>
              </w:rPr>
              <w:t>dailymed</w:t>
            </w:r>
            <w:r w:rsidRPr="002A5C45">
              <w:rPr>
                <w:lang w:val="en-US"/>
              </w:rPr>
              <w:t>.nlm.nih.gov/</w:t>
            </w:r>
            <w:r w:rsidRPr="002A5C45">
              <w:rPr>
                <w:rStyle w:val="a3"/>
                <w:lang w:val="en-US"/>
              </w:rPr>
              <w:t>dailymed</w:t>
            </w:r>
            <w:r w:rsidRPr="002A5C45">
              <w:rPr>
                <w:lang w:val="en-US"/>
              </w:rPr>
              <w:t>/drugInfo.cfm?</w:t>
            </w:r>
            <w:r w:rsidRPr="002A5C45">
              <w:rPr>
                <w:rStyle w:val="a3"/>
                <w:lang w:val="en-US"/>
              </w:rPr>
              <w:t>setid</w:t>
            </w:r>
            <w:r w:rsidRPr="002A5C45">
              <w:rPr>
                <w:lang w:val="en-US"/>
              </w:rPr>
              <w:t>=</w:t>
            </w:r>
            <w:r w:rsidRPr="002A5C45">
              <w:rPr>
                <w:rStyle w:val="a3"/>
                <w:lang w:val="en-US"/>
              </w:rPr>
              <w:t>af38711e</w:t>
            </w:r>
            <w:r w:rsidRPr="002A5C45">
              <w:rPr>
                <w:lang w:val="en-US"/>
              </w:rPr>
              <w:t>-</w:t>
            </w:r>
            <w:r w:rsidRPr="002A5C45">
              <w:rPr>
                <w:rStyle w:val="a3"/>
                <w:lang w:val="en-US"/>
              </w:rPr>
              <w:t>8873</w:t>
            </w:r>
            <w:r w:rsidRPr="002A5C45">
              <w:rPr>
                <w:lang w:val="en-US"/>
              </w:rPr>
              <w:t>-</w:t>
            </w:r>
            <w:r w:rsidRPr="002A5C45">
              <w:rPr>
                <w:rStyle w:val="a3"/>
                <w:lang w:val="en-US"/>
              </w:rPr>
              <w:t>4790</w:t>
            </w:r>
            <w:r w:rsidRPr="002A5C45">
              <w:rPr>
                <w:lang w:val="en-US"/>
              </w:rPr>
              <w:t>-</w:t>
            </w:r>
            <w:r w:rsidRPr="002A5C45">
              <w:rPr>
                <w:rStyle w:val="a3"/>
                <w:lang w:val="en-US"/>
              </w:rPr>
              <w:t>a92d</w:t>
            </w:r>
            <w:r w:rsidRPr="002A5C45">
              <w:rPr>
                <w:lang w:val="en-US"/>
              </w:rPr>
              <w:t>-</w:t>
            </w:r>
            <w:r w:rsidRPr="002A5C45">
              <w:rPr>
                <w:rStyle w:val="a3"/>
                <w:lang w:val="en-US"/>
              </w:rPr>
              <w:t>4d583e23fb89</w:t>
            </w:r>
          </w:p>
        </w:tc>
      </w:tr>
      <w:tr w:rsidR="002A5C45" w:rsidRPr="002A5C45" w:rsidTr="002A5C45">
        <w:trPr>
          <w:trHeight w:val="310"/>
        </w:trPr>
        <w:tc>
          <w:tcPr>
            <w:tcW w:w="424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10</w:t>
            </w:r>
          </w:p>
        </w:tc>
        <w:tc>
          <w:tcPr>
            <w:tcW w:w="2291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Ринит</w:t>
            </w:r>
          </w:p>
        </w:tc>
        <w:tc>
          <w:tcPr>
            <w:tcW w:w="188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2/27 пациентов (7,4 %); частота на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-год [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некорректируемо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] — длительность исследования в инструкции не указана</w:t>
            </w:r>
          </w:p>
        </w:tc>
        <w:tc>
          <w:tcPr>
            <w:tcW w:w="150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 пациента</w:t>
            </w:r>
          </w:p>
        </w:tc>
        <w:tc>
          <w:tcPr>
            <w:tcW w:w="1339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 выводится</w:t>
            </w:r>
          </w:p>
        </w:tc>
        <w:tc>
          <w:tcPr>
            <w:tcW w:w="1560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Исследование 7 (FDA); возраст 0 – 4 года; 10 или 20 мг/кг/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сут</w:t>
            </w:r>
            <w:proofErr w:type="spellEnd"/>
          </w:p>
        </w:tc>
        <w:tc>
          <w:tcPr>
            <w:tcW w:w="5548" w:type="dxa"/>
            <w:shd w:val="clear" w:color="auto" w:fill="auto"/>
            <w:noWrap/>
            <w:vAlign w:val="bottom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то же</w:t>
            </w:r>
          </w:p>
        </w:tc>
      </w:tr>
    </w:tbl>
    <w:p w:rsidR="002A5C45" w:rsidRDefault="002A5C45" w:rsidP="002A5C45">
      <w:pPr>
        <w:pStyle w:val="2"/>
      </w:pPr>
      <w:r>
        <w:br/>
      </w:r>
      <w:r>
        <w:br/>
      </w:r>
      <w:r>
        <w:t>Дополнительные суммарные показатели (для контекста)</w:t>
      </w:r>
    </w:p>
    <w:p w:rsidR="002A5C45" w:rsidRDefault="002A5C45" w:rsidP="002A5C45">
      <w:pPr>
        <w:pStyle w:val="2"/>
      </w:pPr>
    </w:p>
    <w:tbl>
      <w:tblPr>
        <w:tblW w:w="14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2970"/>
        <w:gridCol w:w="3690"/>
        <w:gridCol w:w="4500"/>
      </w:tblGrid>
      <w:tr w:rsidR="002A5C45" w:rsidRPr="002A5C45" w:rsidTr="002A5C45">
        <w:trPr>
          <w:trHeight w:val="1860"/>
        </w:trPr>
        <w:tc>
          <w:tcPr>
            <w:tcW w:w="3415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297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 xml:space="preserve">Частота (событий / </w:t>
            </w:r>
            <w:proofErr w:type="spellStart"/>
            <w:r w:rsidRPr="002A5C4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-год) [</w:t>
            </w:r>
            <w:proofErr w:type="spellStart"/>
            <w:r w:rsidRPr="002A5C4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2A5C4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.]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Исходные данные</w:t>
            </w:r>
          </w:p>
        </w:tc>
        <w:tc>
          <w:tcPr>
            <w:tcW w:w="450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Источник</w:t>
            </w:r>
          </w:p>
        </w:tc>
      </w:tr>
      <w:tr w:rsidR="002A5C45" w:rsidRPr="002A5C45" w:rsidTr="002A5C45">
        <w:trPr>
          <w:trHeight w:val="3720"/>
        </w:trPr>
        <w:tc>
          <w:tcPr>
            <w:tcW w:w="3415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 xml:space="preserve">Все НЯ, возникшие на фоне лечения, SPARK основной период, группа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сапроптерина</w:t>
            </w:r>
            <w:proofErr w:type="spellEnd"/>
          </w:p>
        </w:tc>
        <w:tc>
          <w:tcPr>
            <w:tcW w:w="297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20,9 – 22,6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282 события / 12,5 – 13,5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450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Muntau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2017, таблица 5</w:t>
            </w:r>
          </w:p>
        </w:tc>
      </w:tr>
      <w:tr w:rsidR="002A5C45" w:rsidRPr="002A5C45" w:rsidTr="002A5C45">
        <w:trPr>
          <w:trHeight w:val="3720"/>
        </w:trPr>
        <w:tc>
          <w:tcPr>
            <w:tcW w:w="3415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Все НЯ, возникшие на фоне лечения, SPARK основной период, группа только диеты</w:t>
            </w:r>
          </w:p>
        </w:tc>
        <w:tc>
          <w:tcPr>
            <w:tcW w:w="297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20,6 – 21,4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278 событий / 13,0 – 13,5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450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Muntau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2017, таблица 5</w:t>
            </w:r>
          </w:p>
        </w:tc>
      </w:tr>
      <w:tr w:rsidR="002A5C45" w:rsidRPr="002A5C45" w:rsidTr="002A5C45">
        <w:trPr>
          <w:trHeight w:val="2480"/>
        </w:trPr>
        <w:tc>
          <w:tcPr>
            <w:tcW w:w="3415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 xml:space="preserve">Все НЯ, связанные с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сапроптерином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SPARK основной период</w:t>
            </w:r>
          </w:p>
        </w:tc>
        <w:tc>
          <w:tcPr>
            <w:tcW w:w="297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2,30 – 2,48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31 событие / 12,5 – 13,5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450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Muntau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2017, таблица 5</w:t>
            </w:r>
          </w:p>
        </w:tc>
      </w:tr>
      <w:tr w:rsidR="002A5C45" w:rsidRPr="002A5C45" w:rsidTr="002A5C45">
        <w:trPr>
          <w:trHeight w:val="3410"/>
        </w:trPr>
        <w:tc>
          <w:tcPr>
            <w:tcW w:w="3415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Серьёзные НЯ, SPARK основной период (ни одно не связано с препаратом)</w:t>
            </w:r>
          </w:p>
        </w:tc>
        <w:tc>
          <w:tcPr>
            <w:tcW w:w="297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0,37 – 0,40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5 событий / 12,5 – 13,5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450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Muntau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2017, таблица 5</w:t>
            </w:r>
          </w:p>
        </w:tc>
      </w:tr>
      <w:tr w:rsidR="002A5C45" w:rsidRPr="002A5C45" w:rsidTr="002A5C45">
        <w:trPr>
          <w:trHeight w:val="2790"/>
        </w:trPr>
        <w:tc>
          <w:tcPr>
            <w:tcW w:w="3415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Все НЯ, возникшие на фоне лечения, SPARK продлённый период</w:t>
            </w:r>
          </w:p>
        </w:tc>
        <w:tc>
          <w:tcPr>
            <w:tcW w:w="297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9,2 – 14,2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1401 событие / 99 – 153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450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Muntau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2021</w:t>
            </w:r>
          </w:p>
        </w:tc>
      </w:tr>
      <w:tr w:rsidR="002A5C45" w:rsidRPr="002A5C45" w:rsidTr="002A5C45">
        <w:trPr>
          <w:trHeight w:val="2790"/>
        </w:trPr>
        <w:tc>
          <w:tcPr>
            <w:tcW w:w="3415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 xml:space="preserve">Все НЯ, связанные с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сапроптерином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SPARK продлённый период</w:t>
            </w:r>
          </w:p>
        </w:tc>
        <w:tc>
          <w:tcPr>
            <w:tcW w:w="297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0,31 – 0,47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47 событий / 99 – 153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450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Muntau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2021</w:t>
            </w:r>
          </w:p>
        </w:tc>
      </w:tr>
      <w:tr w:rsidR="002A5C45" w:rsidRPr="002A5C45" w:rsidTr="002A5C45">
        <w:trPr>
          <w:trHeight w:val="3720"/>
        </w:trPr>
        <w:tc>
          <w:tcPr>
            <w:tcW w:w="3415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Серьёзные НЯ, SPARK продлённый период (ни одно не связано с препаратом)</w:t>
            </w:r>
          </w:p>
        </w:tc>
        <w:tc>
          <w:tcPr>
            <w:tcW w:w="297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0,12 – 0,19</w:t>
            </w:r>
          </w:p>
        </w:tc>
        <w:tc>
          <w:tcPr>
            <w:tcW w:w="369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19 событий (12 + 7) / 99 – 153 </w:t>
            </w: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пациенто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-лет</w:t>
            </w:r>
          </w:p>
        </w:tc>
        <w:tc>
          <w:tcPr>
            <w:tcW w:w="4500" w:type="dxa"/>
            <w:shd w:val="clear" w:color="auto" w:fill="auto"/>
            <w:vAlign w:val="center"/>
            <w:hideMark/>
          </w:tcPr>
          <w:p w:rsidR="002A5C45" w:rsidRPr="002A5C45" w:rsidRDefault="002A5C45" w:rsidP="002A5C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Muntau</w:t>
            </w:r>
            <w:proofErr w:type="spellEnd"/>
            <w:r w:rsidRPr="002A5C4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2021</w:t>
            </w:r>
          </w:p>
        </w:tc>
      </w:tr>
    </w:tbl>
    <w:p w:rsidR="002A5C45" w:rsidRDefault="002A5C45" w:rsidP="002A5C45">
      <w:pPr>
        <w:pStyle w:val="2"/>
      </w:pPr>
    </w:p>
    <w:p w:rsidR="002A5C45" w:rsidRDefault="002A5C45" w:rsidP="002A5C45">
      <w:pPr>
        <w:pStyle w:val="2"/>
      </w:pPr>
      <w:r>
        <w:t>Методологические примечания</w:t>
      </w:r>
    </w:p>
    <w:p w:rsidR="002A5C45" w:rsidRDefault="002A5C45" w:rsidP="002A5C45">
      <w:pPr>
        <w:pStyle w:val="3"/>
      </w:pPr>
      <w:r>
        <w:lastRenderedPageBreak/>
        <w:t>1. Знаменатели (</w:t>
      </w:r>
      <w:proofErr w:type="spellStart"/>
      <w:r>
        <w:t>пациенто</w:t>
      </w:r>
      <w:proofErr w:type="spellEnd"/>
      <w:r>
        <w:t>-время)</w:t>
      </w:r>
    </w:p>
    <w:p w:rsidR="002A5C45" w:rsidRDefault="002A5C45" w:rsidP="002A5C45">
      <w:pPr>
        <w:pStyle w:val="a4"/>
      </w:pPr>
      <w:r>
        <w:rPr>
          <w:rStyle w:val="a5"/>
          <w:rFonts w:eastAsiaTheme="majorEastAsia"/>
        </w:rPr>
        <w:t>SPARK, основной период (</w:t>
      </w:r>
      <w:proofErr w:type="spellStart"/>
      <w:r>
        <w:rPr>
          <w:rStyle w:val="a5"/>
          <w:rFonts w:eastAsiaTheme="majorEastAsia"/>
        </w:rPr>
        <w:t>Muntau</w:t>
      </w:r>
      <w:proofErr w:type="spellEnd"/>
      <w:r>
        <w:rPr>
          <w:rStyle w:val="a5"/>
          <w:rFonts w:eastAsiaTheme="majorEastAsia"/>
        </w:rPr>
        <w:t xml:space="preserve"> 2017).</w:t>
      </w:r>
      <w:r>
        <w:t xml:space="preserve"> Популяция безопасности в группе </w:t>
      </w:r>
      <w:proofErr w:type="spellStart"/>
      <w:r>
        <w:t>сапроптерина</w:t>
      </w:r>
      <w:proofErr w:type="spellEnd"/>
      <w:r>
        <w:t xml:space="preserve"> — 27 пациентов; согласно рис. 1, 25 завершили 26-недельный период, 2 выбыли досрочно (время выбывания не указано). Верхняя граница: 27 × 26/52 = 13,5 </w:t>
      </w:r>
      <w:proofErr w:type="spellStart"/>
      <w:r>
        <w:t>пациенто</w:t>
      </w:r>
      <w:proofErr w:type="spellEnd"/>
      <w:r>
        <w:t xml:space="preserve">-лет. Нижняя граница (вклад выбывших принят равным нулю): 25 × 26/52 = 12,5 </w:t>
      </w:r>
      <w:proofErr w:type="spellStart"/>
      <w:r>
        <w:t>пациенто</w:t>
      </w:r>
      <w:proofErr w:type="spellEnd"/>
      <w:r>
        <w:t xml:space="preserve">-лет. Группа только диеты: популяция безопасности 27, завершили 26 → 13,0 – 13,5 </w:t>
      </w:r>
      <w:proofErr w:type="spellStart"/>
      <w:r>
        <w:t>пациенто</w:t>
      </w:r>
      <w:proofErr w:type="spellEnd"/>
      <w:r>
        <w:t>-лет.</w:t>
      </w:r>
    </w:p>
    <w:p w:rsidR="002A5C45" w:rsidRDefault="002A5C45" w:rsidP="002A5C45">
      <w:pPr>
        <w:pStyle w:val="a4"/>
      </w:pPr>
      <w:r>
        <w:rPr>
          <w:rStyle w:val="a5"/>
          <w:rFonts w:eastAsiaTheme="majorEastAsia"/>
        </w:rPr>
        <w:t>SPARK, продлённый период (</w:t>
      </w:r>
      <w:proofErr w:type="spellStart"/>
      <w:r>
        <w:rPr>
          <w:rStyle w:val="a5"/>
          <w:rFonts w:eastAsiaTheme="majorEastAsia"/>
        </w:rPr>
        <w:t>Muntau</w:t>
      </w:r>
      <w:proofErr w:type="spellEnd"/>
      <w:r>
        <w:rPr>
          <w:rStyle w:val="a5"/>
          <w:rFonts w:eastAsiaTheme="majorEastAsia"/>
        </w:rPr>
        <w:t xml:space="preserve"> 2021).</w:t>
      </w:r>
      <w:r>
        <w:t xml:space="preserve"> В продлённый период вошли 51 пациент; 33 завершили 36 месяцев; 18 выбыли досрочно, время выбывания не указано. Верхняя граница: 51 × 3 = 153 </w:t>
      </w:r>
      <w:proofErr w:type="spellStart"/>
      <w:r>
        <w:t>пациенто</w:t>
      </w:r>
      <w:proofErr w:type="spellEnd"/>
      <w:r>
        <w:t xml:space="preserve">-лет. Нижняя граница (вклад выбывших равен нулю): 33 × 3 = 99 </w:t>
      </w:r>
      <w:proofErr w:type="spellStart"/>
      <w:r>
        <w:t>пациенто</w:t>
      </w:r>
      <w:proofErr w:type="spellEnd"/>
      <w:r>
        <w:t xml:space="preserve">-лет. Если принять, что выбывшие в среднем внесли половину периода, знаменатель составит 99 + 18 × 1,5 = 126 </w:t>
      </w:r>
      <w:proofErr w:type="spellStart"/>
      <w:r>
        <w:t>пациенто</w:t>
      </w:r>
      <w:proofErr w:type="spellEnd"/>
      <w:r>
        <w:t xml:space="preserve">-лет (например, связанная с препаратом </w:t>
      </w:r>
      <w:proofErr w:type="spellStart"/>
      <w:r>
        <w:t>гипофенилаланинемия</w:t>
      </w:r>
      <w:proofErr w:type="spellEnd"/>
      <w:r>
        <w:t xml:space="preserve">: 24/126 = 0,19 на </w:t>
      </w:r>
      <w:proofErr w:type="spellStart"/>
      <w:r>
        <w:t>пациенто</w:t>
      </w:r>
      <w:proofErr w:type="spellEnd"/>
      <w:r>
        <w:t xml:space="preserve">-год). Значение 126 </w:t>
      </w:r>
      <w:proofErr w:type="spellStart"/>
      <w:r>
        <w:t>пациенто</w:t>
      </w:r>
      <w:proofErr w:type="spellEnd"/>
      <w:r>
        <w:t>-лет — допущение, а не данные источника; в таблицах оно не используется.</w:t>
      </w:r>
    </w:p>
    <w:p w:rsidR="002A5C45" w:rsidRDefault="002A5C45" w:rsidP="002A5C45">
      <w:pPr>
        <w:pStyle w:val="a4"/>
      </w:pPr>
      <w:r>
        <w:t xml:space="preserve">Следует учитывать, что 26 из 51 пациента (бывшая группа только диеты) начали приём </w:t>
      </w:r>
      <w:proofErr w:type="spellStart"/>
      <w:r>
        <w:t>сапроптерина</w:t>
      </w:r>
      <w:proofErr w:type="spellEnd"/>
      <w:r>
        <w:t xml:space="preserve"> лишь на 27-й неделе, то есть в начале продлённого периода; остальные 25 получали препарат непрерывно с момента рандомизации. В пределах продлённого периода потенциальная экспозиция обеих групп одинакова (36 месяцев).</w:t>
      </w:r>
    </w:p>
    <w:p w:rsidR="002A5C45" w:rsidRDefault="002A5C45" w:rsidP="002A5C45">
      <w:pPr>
        <w:pStyle w:val="a4"/>
      </w:pPr>
      <w:r>
        <w:rPr>
          <w:rStyle w:val="a5"/>
          <w:rFonts w:eastAsiaTheme="majorEastAsia"/>
        </w:rPr>
        <w:t>Исследование 5 (FDA).</w:t>
      </w:r>
      <w:r>
        <w:t xml:space="preserve"> 65 пациентов × 6 месяцев = максимум 32,5 </w:t>
      </w:r>
      <w:proofErr w:type="spellStart"/>
      <w:r>
        <w:t>пациенто</w:t>
      </w:r>
      <w:proofErr w:type="spellEnd"/>
      <w:r>
        <w:t xml:space="preserve">-лет; данные о выбывании не приведены. 16/32,5 = 0,49 пациентов с событием на </w:t>
      </w:r>
      <w:proofErr w:type="spellStart"/>
      <w:r>
        <w:t>пациенто</w:t>
      </w:r>
      <w:proofErr w:type="spellEnd"/>
      <w:r>
        <w:t>-год — нижняя граница.</w:t>
      </w:r>
    </w:p>
    <w:p w:rsidR="002A5C45" w:rsidRDefault="002A5C45" w:rsidP="002A5C45">
      <w:pPr>
        <w:pStyle w:val="a4"/>
      </w:pPr>
      <w:r>
        <w:rPr>
          <w:rStyle w:val="a5"/>
          <w:rFonts w:eastAsiaTheme="majorEastAsia"/>
        </w:rPr>
        <w:t>Исследование 7 (FDA).</w:t>
      </w:r>
      <w:r>
        <w:t xml:space="preserve"> Длительность в инструкции не указана. Частота на </w:t>
      </w:r>
      <w:proofErr w:type="spellStart"/>
      <w:r>
        <w:t>пациенто</w:t>
      </w:r>
      <w:proofErr w:type="spellEnd"/>
      <w:r>
        <w:t>-год [</w:t>
      </w:r>
      <w:proofErr w:type="spellStart"/>
      <w:r>
        <w:t>некорректируемо</w:t>
      </w:r>
      <w:proofErr w:type="spellEnd"/>
      <w:r>
        <w:t>]; приведена только доля пациентов.</w:t>
      </w:r>
    </w:p>
    <w:p w:rsidR="002A5C45" w:rsidRDefault="002A5C45" w:rsidP="002A5C45">
      <w:pPr>
        <w:pStyle w:val="3"/>
      </w:pPr>
      <w:r>
        <w:t>2. Числители</w:t>
      </w:r>
    </w:p>
    <w:p w:rsidR="002A5C45" w:rsidRDefault="002A5C45" w:rsidP="002A5C4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Таблицы SPARK содержат </w:t>
      </w:r>
      <w:r>
        <w:rPr>
          <w:rStyle w:val="a5"/>
        </w:rPr>
        <w:t>число событий</w:t>
      </w:r>
      <w:r>
        <w:t xml:space="preserve">, поэтому повторные эпизоды учтены напрямую (например, 20 связанных с препаратом эпизодов </w:t>
      </w:r>
      <w:proofErr w:type="spellStart"/>
      <w:r>
        <w:t>гипофенилаланинемии</w:t>
      </w:r>
      <w:proofErr w:type="spellEnd"/>
      <w:r>
        <w:t xml:space="preserve"> у 6 пациентов = 3,3 эпизода на одного пациента с событием за 26 недель; 24 эпизода у 9 пациентов = 2,7 на одного пациента за 36 месяцев).</w:t>
      </w:r>
    </w:p>
    <w:p w:rsidR="002A5C45" w:rsidRDefault="002A5C45" w:rsidP="002A5C4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Исследования 5 и 7 из инструкции FDA сообщают </w:t>
      </w:r>
      <w:r>
        <w:rPr>
          <w:rStyle w:val="a5"/>
        </w:rPr>
        <w:t>число пациентов</w:t>
      </w:r>
      <w:r>
        <w:t>, а не событий. Показатель в строке 9 предполагает одно событие на пациента и является нижней оценкой.</w:t>
      </w:r>
    </w:p>
    <w:p w:rsidR="002A5C45" w:rsidRDefault="002A5C45" w:rsidP="002A5C45">
      <w:pPr>
        <w:pStyle w:val="3"/>
      </w:pPr>
      <w:r>
        <w:lastRenderedPageBreak/>
        <w:t>3. Фильтрация по причинно-следственной связи</w:t>
      </w:r>
    </w:p>
    <w:p w:rsidR="002A5C45" w:rsidRDefault="002A5C45" w:rsidP="002A5C45">
      <w:pPr>
        <w:pStyle w:val="a4"/>
      </w:pPr>
      <w:r>
        <w:t xml:space="preserve">Для продлённого периода приведены два показателя </w:t>
      </w:r>
      <w:proofErr w:type="spellStart"/>
      <w:r>
        <w:t>гипофенилаланинемии</w:t>
      </w:r>
      <w:proofErr w:type="spellEnd"/>
      <w:r>
        <w:t xml:space="preserve"> (строки 4 и 5), поскольку в публикации указаны как все случаи, возникшие на фоне лечения (51 событие у 14 пациентов), так и случаи, расценённые исследователем как связанные с препаратом (24 события у 9 пациентов). Для анализа безопасности консервативным выбором является показатель по всем случаям; показатель по связанным случаям приведён для сопоставимости. Определение </w:t>
      </w:r>
      <w:proofErr w:type="spellStart"/>
      <w:r>
        <w:t>гипофенилаланинемии</w:t>
      </w:r>
      <w:proofErr w:type="spellEnd"/>
      <w:r>
        <w:t xml:space="preserve"> в исследовании (</w:t>
      </w:r>
      <w:proofErr w:type="spellStart"/>
      <w:r>
        <w:t>Phe</w:t>
      </w:r>
      <w:proofErr w:type="spellEnd"/>
      <w:r>
        <w:t xml:space="preserve"> &lt;120 </w:t>
      </w:r>
      <w:proofErr w:type="spellStart"/>
      <w:r>
        <w:t>мкмоль</w:t>
      </w:r>
      <w:proofErr w:type="spellEnd"/>
      <w:r>
        <w:t xml:space="preserve">/л) является широким; при более строгом пороге &lt;40 </w:t>
      </w:r>
      <w:proofErr w:type="spellStart"/>
      <w:r>
        <w:t>мкмоль</w:t>
      </w:r>
      <w:proofErr w:type="spellEnd"/>
      <w:r>
        <w:t>/л критерию соответствовали лишь 3 пациента (все из группы непрерывной терапии), однако рассчитать частоту для этого определения невозможно, так как число событий не опубликовано.</w:t>
      </w:r>
    </w:p>
    <w:p w:rsidR="002A5C45" w:rsidRDefault="002A5C45" w:rsidP="002A5C45">
      <w:pPr>
        <w:pStyle w:val="3"/>
      </w:pPr>
      <w:r>
        <w:t>4. Ключевое наблюдение: ранний период против долгосрочного</w:t>
      </w:r>
    </w:p>
    <w:p w:rsidR="002A5C45" w:rsidRDefault="002A5C45" w:rsidP="002A5C45">
      <w:pPr>
        <w:pStyle w:val="a4"/>
      </w:pPr>
      <w:r>
        <w:t xml:space="preserve">Частота связанной с препаратом </w:t>
      </w:r>
      <w:proofErr w:type="spellStart"/>
      <w:r>
        <w:t>гипофенилаланинемии</w:t>
      </w:r>
      <w:proofErr w:type="spellEnd"/>
      <w:r>
        <w:t xml:space="preserve"> составила около 1,5 на </w:t>
      </w:r>
      <w:proofErr w:type="spellStart"/>
      <w:r>
        <w:t>пациенто</w:t>
      </w:r>
      <w:proofErr w:type="spellEnd"/>
      <w:r>
        <w:t xml:space="preserve">-год в первые 26 недель (строка 1) против примерно 0,16 – 0,24 на </w:t>
      </w:r>
      <w:proofErr w:type="spellStart"/>
      <w:r>
        <w:t>пациенто</w:t>
      </w:r>
      <w:proofErr w:type="spellEnd"/>
      <w:r>
        <w:t xml:space="preserve">-год в последующие 36 месяцев (строка 5). Оба периода относятся к одному исследованию, одним и тем же пациентам, исследователям и определению, поэтому сравнение внутренне согласованно. Наиболее вероятная интерпретация: риск концентрируется в фазе инициации и титрования, когда расширяется потребление </w:t>
      </w:r>
      <w:proofErr w:type="spellStart"/>
      <w:r>
        <w:t>фенилаланина</w:t>
      </w:r>
      <w:proofErr w:type="spellEnd"/>
      <w:r>
        <w:t xml:space="preserve"> с пищей. Цитирование только показателя продлённого периода будет занижать риск на начальном этапе терапии.</w:t>
      </w:r>
    </w:p>
    <w:p w:rsidR="002A5C45" w:rsidRDefault="002A5C45" w:rsidP="002A5C45">
      <w:pPr>
        <w:pStyle w:val="a4"/>
      </w:pPr>
      <w:r>
        <w:t xml:space="preserve">Для контекста: суммарная частота всех НЯ в группе </w:t>
      </w:r>
      <w:proofErr w:type="spellStart"/>
      <w:r>
        <w:t>сапроптерина</w:t>
      </w:r>
      <w:proofErr w:type="spellEnd"/>
      <w:r>
        <w:t xml:space="preserve"> (20,9 – 22,6 на </w:t>
      </w:r>
      <w:proofErr w:type="spellStart"/>
      <w:r>
        <w:t>пациенто</w:t>
      </w:r>
      <w:proofErr w:type="spellEnd"/>
      <w:r>
        <w:t>-год) практически совпадает с группой только диеты (20,6 – 21,4), что указывает на высокую фоновую частоту НЯ в этой возрастной группе и небольшой дополнительный вклад препарата в общее число НЯ.</w:t>
      </w:r>
    </w:p>
    <w:p w:rsidR="002A5C45" w:rsidRDefault="002A5C45" w:rsidP="002A5C45">
      <w:pPr>
        <w:pStyle w:val="3"/>
      </w:pPr>
      <w:r>
        <w:t>5. Ограничения</w:t>
      </w:r>
    </w:p>
    <w:p w:rsidR="002A5C45" w:rsidRDefault="002A5C45" w:rsidP="002A5C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5"/>
        </w:rPr>
        <w:t>Соответствие возрастному критерию.</w:t>
      </w:r>
      <w:r>
        <w:t xml:space="preserve"> Строки 1 – 8 относятся строго к пациентам &lt;4 лет на момент рандомизации (к концу продлённого периода — до ≈7,5 лет). Строка 9 — от 1 месяца до 6 лет. Строка 10 — 0 – 4 года.</w:t>
      </w:r>
    </w:p>
    <w:p w:rsidR="002A5C45" w:rsidRDefault="002A5C45" w:rsidP="002A5C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5"/>
        </w:rPr>
        <w:t>Время выбывания</w:t>
      </w:r>
      <w:r>
        <w:t xml:space="preserve"> не указано ни в одном источнике; все диапазоны являются границами экспозиции, а не доверительными интервалами. Статистическая неопределённость не оценивалась.</w:t>
      </w:r>
    </w:p>
    <w:p w:rsidR="002A5C45" w:rsidRDefault="002A5C45" w:rsidP="002A5C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5"/>
        </w:rPr>
        <w:t>Определения различаются между источниками.</w:t>
      </w:r>
      <w:r>
        <w:t xml:space="preserve"> В SPARK </w:t>
      </w:r>
      <w:proofErr w:type="spellStart"/>
      <w:r>
        <w:t>гипофенилаланинемия</w:t>
      </w:r>
      <w:proofErr w:type="spellEnd"/>
      <w:r>
        <w:t xml:space="preserve"> = </w:t>
      </w:r>
      <w:proofErr w:type="spellStart"/>
      <w:r>
        <w:t>Phe</w:t>
      </w:r>
      <w:proofErr w:type="spellEnd"/>
      <w:r>
        <w:t xml:space="preserve"> &lt;120 </w:t>
      </w:r>
      <w:proofErr w:type="spellStart"/>
      <w:r>
        <w:t>мкмоль</w:t>
      </w:r>
      <w:proofErr w:type="spellEnd"/>
      <w:r>
        <w:t>/л; в исследовании 5 FDA — «ниже возрастной нормы» (порог не указан). Строки 1, 4, 5 и 9 объединять нельзя.</w:t>
      </w:r>
    </w:p>
    <w:p w:rsidR="002A5C45" w:rsidRDefault="002A5C45" w:rsidP="002A5C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5"/>
        </w:rPr>
        <w:t>Различие в числителях.</w:t>
      </w:r>
      <w:r>
        <w:t xml:space="preserve"> Строки 1 – 8 основаны на числе событий, строка 9 — на числе пациентов; прямое сопоставление некорректно.</w:t>
      </w:r>
    </w:p>
    <w:p w:rsidR="002A5C45" w:rsidRDefault="002A5C45" w:rsidP="002A5C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5"/>
        </w:rPr>
        <w:t>Не включены источники:</w:t>
      </w:r>
      <w:r>
        <w:t xml:space="preserve">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., 2015, регистр PKUDOS (</w:t>
      </w:r>
      <w:proofErr w:type="spellStart"/>
      <w:r>
        <w:t>Mol</w:t>
      </w:r>
      <w:proofErr w:type="spellEnd"/>
      <w:r>
        <w:t xml:space="preserve"> </w:t>
      </w:r>
      <w:proofErr w:type="spellStart"/>
      <w:r>
        <w:t>Genet</w:t>
      </w:r>
      <w:proofErr w:type="spellEnd"/>
      <w:r>
        <w:t xml:space="preserve"> </w:t>
      </w:r>
      <w:proofErr w:type="spellStart"/>
      <w:r>
        <w:t>Metab</w:t>
      </w:r>
      <w:proofErr w:type="spellEnd"/>
      <w:r>
        <w:t xml:space="preserve"> 114:557) и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., 2015, </w:t>
      </w:r>
      <w:proofErr w:type="spellStart"/>
      <w:r>
        <w:t>Genet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(дети 0 – 6 лет, 2-летние данные безопасности) не были проанализированы и могут содержать дополнительные пригодные для расчёта данные.</w:t>
      </w:r>
    </w:p>
    <w:p w:rsidR="002A5C45" w:rsidRDefault="002A5C45" w:rsidP="002A5C45">
      <w:pPr>
        <w:pStyle w:val="3"/>
      </w:pPr>
      <w:r>
        <w:lastRenderedPageBreak/>
        <w:t>6. Рекомендации по использованию</w:t>
      </w:r>
    </w:p>
    <w:p w:rsidR="002A5C45" w:rsidRDefault="002A5C45" w:rsidP="002A5C45">
      <w:pPr>
        <w:pStyle w:val="a4"/>
      </w:pPr>
      <w:r>
        <w:t xml:space="preserve">Для публикации, посвящённой пациентам с ФКУ младше 10 лет, наиболее обоснованы строки 1 – 8 (SPARK, основной и продлённый периоды): рецензируемые источники с DOI, строго педиатрическая популяция, числители на уровне событий, знаменатели с чёткими границами. Показатели </w:t>
      </w:r>
      <w:proofErr w:type="spellStart"/>
      <w:r>
        <w:t>гипофенилаланинемии</w:t>
      </w:r>
      <w:proofErr w:type="spellEnd"/>
      <w:r>
        <w:t xml:space="preserve"> для основного и продлённого периодов следует цитировать вместе. Строка 9 (исследование 5 FDA) служит независимым подтверждением сигнала </w:t>
      </w:r>
      <w:proofErr w:type="spellStart"/>
      <w:r>
        <w:t>гипофенилаланинемии</w:t>
      </w:r>
      <w:proofErr w:type="spellEnd"/>
      <w:r>
        <w:t xml:space="preserve"> у детей раннего возраста. Строка 10 пригодна только как доля пациентов, без пересчёта на </w:t>
      </w:r>
      <w:proofErr w:type="spellStart"/>
      <w:r>
        <w:t>пациенто</w:t>
      </w:r>
      <w:proofErr w:type="spellEnd"/>
      <w:r>
        <w:t>-годы.</w:t>
      </w:r>
    </w:p>
    <w:p w:rsidR="00882C63" w:rsidRPr="002A5C45" w:rsidRDefault="00882C63" w:rsidP="002A5C45"/>
    <w:sectPr w:rsidR="00882C63" w:rsidRPr="002A5C45" w:rsidSect="002A5C45">
      <w:pgSz w:w="16838" w:h="11906" w:orient="landscape"/>
      <w:pgMar w:top="1701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B7384"/>
    <w:multiLevelType w:val="multilevel"/>
    <w:tmpl w:val="A66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D7108"/>
    <w:multiLevelType w:val="multilevel"/>
    <w:tmpl w:val="414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C45"/>
    <w:rsid w:val="002A5C45"/>
    <w:rsid w:val="0088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6F2975"/>
  <w15:chartTrackingRefBased/>
  <w15:docId w15:val="{B5B89996-B7E6-4E0F-83B1-612E0A59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A5C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A5C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C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A5C45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2A5C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A5C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2A5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A5C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2A5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5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a_lex</dc:creator>
  <cp:keywords/>
  <dc:description/>
  <cp:lastModifiedBy>a_lex</cp:lastModifiedBy>
  <cp:revision>1</cp:revision>
  <dcterms:created xsi:type="dcterms:W3CDTF">2026-09-25T15:52:00Z</dcterms:created>
  <dcterms:modified xsi:type="dcterms:W3CDTF">2026-09-25T16:03:00Z</dcterms:modified>
</cp:coreProperties>
</file>