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usiness-implementation"/>
      <w:bookmarkEnd w:id="21"/>
      <w:r>
        <w:t xml:space="preserve">Business implementation</w:t>
      </w:r>
    </w:p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2" w:name="what-data-is-exchanged"/>
      <w:bookmarkEnd w:id="22"/>
      <w:r>
        <w:t xml:space="preserve"> What data is exchanged? </w:t>
      </w:r>
    </w:p>
    <w:p>
      <w:pPr>
        <w:pStyle w:val="Heading4"/>
      </w:pPr>
      <w:bookmarkStart w:id="23" w:name="description-of-the-data-relevant-at-a-horizontal-level-for-school-day-to-day-business"/>
      <w:bookmarkEnd w:id="23"/>
      <w:r>
        <w:t xml:space="preserve">Description of the data relevant at a horizontal level (for school day-to-day business)</w:t>
      </w:r>
    </w:p>
    <w:p>
      <w:pPr>
        <w:pStyle w:val="FirstParagraph"/>
      </w:pPr>
      <w:r>
        <w:rPr>
          <w:b/>
        </w:rPr>
        <w:t xml:space="preserve">StudentPersonal</w:t>
      </w:r>
      <w:r>
        <w:t xml:space="preserve"> </w:t>
      </w:r>
      <w:r>
        <w:t xml:space="preserve">records identify the students whose attendance is</w:t>
      </w:r>
      <w:r>
        <w:t xml:space="preserve"> </w:t>
      </w:r>
      <w:r>
        <w:t xml:space="preserve">being tracked. Demographic attributes of the students may be required in</w:t>
      </w:r>
      <w:r>
        <w:t xml:space="preserve"> </w:t>
      </w:r>
      <w:r>
        <w:t xml:space="preserve">order to provide reports correlating those attributes. The nationally</w:t>
      </w:r>
      <w:r>
        <w:t xml:space="preserve"> </w:t>
      </w:r>
      <w:r>
        <w:t xml:space="preserve">required attributes are: geolocation, sector, sex, year level,</w:t>
      </w:r>
      <w:r>
        <w:t xml:space="preserve"> </w:t>
      </w:r>
      <w:r>
        <w:t xml:space="preserve">indigenous status. </w:t>
      </w:r>
    </w:p>
    <w:p>
      <w:pPr>
        <w:pStyle w:val="BodyText"/>
      </w:pPr>
      <w:r>
        <w:t xml:space="preserve">Attendance records track the attendance of students in school at various</w:t>
      </w:r>
      <w:r>
        <w:t xml:space="preserve"> </w:t>
      </w:r>
      <w:r>
        <w:t xml:space="preserve">levels of granularity:</w:t>
      </w:r>
    </w:p>
    <w:p>
      <w:pPr>
        <w:numPr>
          <w:numId w:val="1001"/>
          <w:ilvl w:val="0"/>
        </w:numPr>
      </w:pPr>
      <w:r>
        <w:rPr>
          <w:b/>
        </w:rPr>
        <w:t xml:space="preserve">StudentPeriodAttendance </w:t>
      </w:r>
      <w:r>
        <w:t xml:space="preserve">tracks  attendance at the level of</w:t>
      </w:r>
      <w:r>
        <w:t xml:space="preserve"> </w:t>
      </w:r>
      <w:r>
        <w:t xml:space="preserve">individual periods for individual students. Period attendance is out</w:t>
      </w:r>
      <w:r>
        <w:t xml:space="preserve"> </w:t>
      </w:r>
      <w:r>
        <w:t xml:space="preserve">of scope of this use case.</w:t>
      </w:r>
    </w:p>
    <w:p>
      <w:pPr>
        <w:numPr>
          <w:numId w:val="1001"/>
          <w:ilvl w:val="0"/>
        </w:numPr>
      </w:pPr>
      <w:r>
        <w:rPr>
          <w:b/>
        </w:rPr>
        <w:t xml:space="preserve">StudentAttendanceTimeList</w:t>
      </w:r>
      <w:r>
        <w:t xml:space="preserve"> </w:t>
      </w:r>
      <w:r>
        <w:t xml:space="preserve">tracks attendance at the level of</w:t>
      </w:r>
      <w:r>
        <w:t xml:space="preserve"> </w:t>
      </w:r>
      <w:r>
        <w:t xml:space="preserve">parts of the day for individual students.</w:t>
      </w:r>
    </w:p>
    <w:p>
      <w:pPr>
        <w:numPr>
          <w:numId w:val="1001"/>
          <w:ilvl w:val="0"/>
        </w:numPr>
      </w:pPr>
      <w:r>
        <w:rPr>
          <w:b/>
        </w:rPr>
        <w:t xml:space="preserve">StudentDailyAttendance</w:t>
      </w:r>
      <w:r>
        <w:t xml:space="preserve"> </w:t>
      </w:r>
      <w:r>
        <w:t xml:space="preserve">tracks attendance at the level of the</w:t>
      </w:r>
      <w:r>
        <w:t xml:space="preserve"> </w:t>
      </w:r>
      <w:r>
        <w:t xml:space="preserve">day for individual students (with fractions to quantify</w:t>
      </w:r>
      <w:r>
        <w:t xml:space="preserve"> </w:t>
      </w:r>
      <w:r>
        <w:t xml:space="preserve">partial attendance).</w:t>
      </w:r>
    </w:p>
    <w:p>
      <w:pPr>
        <w:numPr>
          <w:numId w:val="1001"/>
          <w:ilvl w:val="0"/>
        </w:numPr>
      </w:pPr>
      <w:r>
        <w:rPr>
          <w:b/>
        </w:rPr>
        <w:t xml:space="preserve">StudentAttendanceSummary</w:t>
      </w:r>
      <w:r>
        <w:t xml:space="preserve"> tracks attendance of a student at the level of a</w:t>
      </w:r>
      <w:r>
        <w:t xml:space="preserve"> </w:t>
      </w:r>
      <w:r>
        <w:t xml:space="preserve">half year or year for individual students</w:t>
      </w:r>
    </w:p>
    <w:p>
      <w:pPr>
        <w:pStyle w:val="Heading4"/>
      </w:pPr>
      <w:bookmarkStart w:id="24" w:name="description-of-the-data-relevant-for-vertical-reporting-entity-types"/>
      <w:bookmarkEnd w:id="24"/>
      <w:r>
        <w:t xml:space="preserve">Description of the data relevant for vertical reporting (entity types)</w:t>
      </w:r>
    </w:p>
    <w:p>
      <w:pPr>
        <w:pStyle w:val="FirstParagraph"/>
      </w:pPr>
      <w:r>
        <w:t xml:space="preserve">Vertical reporting involves reporting of the attendance for a cohort of students,</w:t>
      </w:r>
      <w:r>
        <w:t xml:space="preserve"> </w:t>
      </w:r>
      <w:r>
        <w:t xml:space="preserve">which can be established by aggregating across the foregoing objects: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SystemAttendanceSummary</w:t>
      </w:r>
      <w:r>
        <w:t xml:space="preserve"> </w:t>
      </w:r>
      <w:r>
        <w:t xml:space="preserve">(not a SIF object) tracks attendance at</w:t>
      </w:r>
      <w:r>
        <w:t xml:space="preserve"> </w:t>
      </w:r>
      <w:r>
        <w:t xml:space="preserve">the level of a half year or year across a cohort of students, at the</w:t>
      </w:r>
      <w:r>
        <w:t xml:space="preserve"> </w:t>
      </w:r>
      <w:r>
        <w:t xml:space="preserve">level of individual schools or a school system.</w:t>
      </w:r>
    </w:p>
    <w:p>
      <w:pPr>
        <w:pStyle w:val="Heading4"/>
      </w:pPr>
      <w:bookmarkStart w:id="25" w:name="data-relationships"/>
      <w:bookmarkEnd w:id="25"/>
      <w:r>
        <w:t xml:space="preserve">Data relationships</w:t>
      </w:r>
    </w:p>
    <w:p>
      <w:pPr>
        <w:pStyle w:val="FirstParagraph"/>
      </w:pPr>
      <w:r>
        <w:t xml:space="preserve">&lt;diagram&gt;</w:t>
      </w:r>
    </w:p>
    <w:p>
      <w:pPr>
        <w:pStyle w:val="Heading4"/>
      </w:pPr>
      <w:bookmarkStart w:id="26" w:name="authoritative-source"/>
      <w:bookmarkEnd w:id="26"/>
      <w:r>
        <w:t xml:space="preserve">Authoritative source</w:t>
      </w:r>
    </w:p>
    <w:p>
      <w:pPr>
        <w:pStyle w:val="FirstParagraph"/>
      </w:pPr>
      <w:r>
        <w:t xml:space="preserve">The authoritative source for StudentPersonal is the school SMS.</w:t>
      </w:r>
    </w:p>
    <w:p>
      <w:pPr>
        <w:pStyle w:val="BodyText"/>
      </w:pPr>
      <w:r>
        <w:t xml:space="preserve">The authoritative source for attendance unit records are the attendance</w:t>
      </w:r>
      <w:r>
        <w:t xml:space="preserve"> </w:t>
      </w:r>
      <w:r>
        <w:t xml:space="preserve">tracking applications deployed in schools. This information is stored in</w:t>
      </w:r>
      <w:r>
        <w:t xml:space="preserve"> </w:t>
      </w:r>
      <w:r>
        <w:t xml:space="preserve">the SMS, from where it is propagated on. </w:t>
      </w:r>
    </w:p>
    <w:p>
      <w:pPr>
        <w:pStyle w:val="Heading4"/>
      </w:pPr>
      <w:bookmarkStart w:id="27" w:name="stakeholders"/>
      <w:bookmarkEnd w:id="27"/>
      <w:r>
        <w:t xml:space="preserve">Stakeholders</w:t>
      </w:r>
    </w:p>
    <w:p>
      <w:pPr>
        <w:numPr>
          <w:numId w:val="1003"/>
          <w:ilvl w:val="0"/>
        </w:numPr>
      </w:pPr>
      <w:r>
        <w:t xml:space="preserve">School: Attendance package vendor, school IT staff, home group</w:t>
      </w:r>
      <w:r>
        <w:t xml:space="preserve"> </w:t>
      </w:r>
      <w:r>
        <w:t xml:space="preserve">teacher, school principal</w:t>
      </w:r>
    </w:p>
    <w:p>
      <w:pPr>
        <w:numPr>
          <w:numId w:val="1003"/>
          <w:ilvl w:val="0"/>
        </w:numPr>
      </w:pPr>
      <w:r>
        <w:t xml:space="preserve">School system: school system IT staff, school system operations</w:t>
      </w:r>
      <w:r>
        <w:t xml:space="preserve"> </w:t>
      </w:r>
      <w:r>
        <w:t xml:space="preserve">staff, school system business owners</w:t>
      </w:r>
    </w:p>
    <w:p>
      <w:pPr>
        <w:numPr>
          <w:numId w:val="1003"/>
          <w:ilvl w:val="0"/>
        </w:numPr>
      </w:pPr>
      <w:r>
        <w:t xml:space="preserve">National:  reporting group</w:t>
      </w:r>
    </w:p>
    <w:p>
      <w:pPr>
        <w:pStyle w:val="Heading4"/>
      </w:pPr>
      <w:bookmarkStart w:id="28" w:name="downstream-destinations"/>
      <w:bookmarkEnd w:id="28"/>
      <w:r>
        <w:t xml:space="preserve">Downstream destinations</w:t>
      </w:r>
    </w:p>
    <w:p>
      <w:pPr>
        <w:pStyle w:val="Heading5"/>
      </w:pPr>
      <w:bookmarkStart w:id="29" w:name="national"/>
      <w:bookmarkEnd w:id="29"/>
      <w:r>
        <w:t xml:space="preserve">National </w:t>
      </w:r>
    </w:p>
    <w:p>
      <w:pPr>
        <w:pStyle w:val="Heading5"/>
      </w:pPr>
      <w:bookmarkStart w:id="30" w:name="school-system"/>
      <w:bookmarkEnd w:id="30"/>
      <w:r>
        <w:t xml:space="preserve">School system</w:t>
      </w:r>
    </w:p>
    <w:p>
      <w:pPr>
        <w:pStyle w:val="Heading5"/>
      </w:pPr>
      <w:bookmarkStart w:id="31" w:name="school"/>
      <w:bookmarkEnd w:id="31"/>
      <w:r>
        <w:t xml:space="preserve">School</w:t>
      </w:r>
    </w:p>
    <w:p>
      <w:pPr>
        <w:pStyle w:val="Heading4"/>
      </w:pPr>
      <w:bookmarkStart w:id="32" w:name="data-recipients-at-unit-level"/>
      <w:bookmarkEnd w:id="32"/>
      <w:r>
        <w:t xml:space="preserve">Data recipients at unit level</w:t>
      </w:r>
    </w:p>
    <w:p>
      <w:pPr>
        <w:numPr>
          <w:numId w:val="1004"/>
          <w:ilvl w:val="0"/>
        </w:numPr>
      </w:pPr>
      <w:r>
        <w:t xml:space="preserve">School systems (where present)</w:t>
      </w:r>
    </w:p>
    <w:p>
      <w:pPr>
        <w:numPr>
          <w:numId w:val="1004"/>
          <w:ilvl w:val="0"/>
        </w:numPr>
      </w:pPr>
      <w:r>
        <w:t xml:space="preserve">Education researchers (deidentified)</w:t>
      </w:r>
    </w:p>
    <w:p>
      <w:pPr>
        <w:pStyle w:val="Heading4"/>
      </w:pPr>
      <w:bookmarkStart w:id="33" w:name="data-recipients-at-aggregate-level"/>
      <w:bookmarkEnd w:id="33"/>
      <w:r>
        <w:t xml:space="preserve">Data recipients at aggregate level</w:t>
      </w:r>
    </w:p>
    <w:p>
      <w:pPr>
        <w:pStyle w:val="Compact"/>
        <w:numPr>
          <w:numId w:val="1005"/>
          <w:ilvl w:val="0"/>
        </w:numPr>
      </w:pPr>
      <w:r>
        <w:t xml:space="preserve">Australian government. The reports generated based on this data</w:t>
      </w:r>
      <w:r>
        <w:t xml:space="preserve"> </w:t>
      </w:r>
      <w:r>
        <w:t xml:space="preserve">includes:</w:t>
      </w:r>
    </w:p>
    <w:p>
      <w:pPr>
        <w:pStyle w:val="Compact"/>
        <w:numPr>
          <w:numId w:val="1007"/>
          <w:ilvl w:val="1"/>
        </w:numPr>
      </w:pPr>
      <w:r>
        <w:t xml:space="preserve"> National Education Agreement (NEA) performance report(s)</w:t>
      </w:r>
    </w:p>
    <w:p>
      <w:pPr>
        <w:numPr>
          <w:numId w:val="1009"/>
          <w:ilvl w:val="1"/>
        </w:numPr>
      </w:pPr>
      <w:r>
        <w:t xml:space="preserve">National Report on Schooling in Australia</w:t>
      </w:r>
    </w:p>
    <w:p>
      <w:pPr>
        <w:numPr>
          <w:numId w:val="1009"/>
          <w:ilvl w:val="1"/>
        </w:numPr>
      </w:pPr>
      <w:r>
        <w:t xml:space="preserve">National Indigenous Reform Agreement (NIRA)</w:t>
      </w:r>
    </w:p>
    <w:p>
      <w:pPr>
        <w:numPr>
          <w:numId w:val="1009"/>
          <w:ilvl w:val="1"/>
        </w:numPr>
      </w:pPr>
      <w:r>
        <w:t xml:space="preserve">Report on Government Services (ROGS)</w:t>
      </w:r>
    </w:p>
    <w:p>
      <w:pPr>
        <w:numPr>
          <w:numId w:val="1009"/>
          <w:ilvl w:val="1"/>
        </w:numPr>
      </w:pPr>
      <w:r>
        <w:t xml:space="preserve">School-level attendance data on the My School website. </w:t>
      </w:r>
    </w:p>
    <w:p>
      <w:pPr>
        <w:pStyle w:val="Heading4"/>
      </w:pPr>
      <w:bookmarkStart w:id="34" w:name="data-quality-and-timeliness"/>
      <w:bookmarkEnd w:id="34"/>
      <w:r>
        <w:t xml:space="preserve">Data quality and timeliness</w:t>
      </w:r>
    </w:p>
    <w:p>
      <w:pPr>
        <w:pStyle w:val="Heading5"/>
      </w:pPr>
      <w:bookmarkStart w:id="35" w:name="timeliness-for-local-use"/>
      <w:bookmarkEnd w:id="35"/>
      <w:r>
        <w:t xml:space="preserve">Timeliness for local use</w:t>
      </w:r>
    </w:p>
    <w:p>
      <w:pPr>
        <w:pStyle w:val="FirstParagraph"/>
      </w:pPr>
      <w:r>
        <w:t xml:space="preserve">Schools require daily attendance promptly, but not necessarily</w:t>
      </w:r>
      <w:r>
        <w:t xml:space="preserve"> </w:t>
      </w:r>
      <w:r>
        <w:t xml:space="preserve">immediately. It has been acceptable in the past for attendance systems</w:t>
      </w:r>
      <w:r>
        <w:t xml:space="preserve"> </w:t>
      </w:r>
      <w:r>
        <w:t xml:space="preserve">to deliver attendance results with a delay of a few days, in batch form.</w:t>
      </w:r>
      <w:r>
        <w:t xml:space="preserve"> </w:t>
      </w:r>
      <w:r>
        <w:t xml:space="preserve">In particular, the justification for absences may be edited as more</w:t>
      </w:r>
      <w:r>
        <w:t xml:space="preserve"> </w:t>
      </w:r>
      <w:r>
        <w:t xml:space="preserve">information is available in the days following the absence.</w:t>
      </w:r>
    </w:p>
    <w:p>
      <w:pPr>
        <w:pStyle w:val="Heading5"/>
      </w:pPr>
      <w:bookmarkStart w:id="36" w:name="timeliness-for-vertical-reporting"/>
      <w:bookmarkEnd w:id="36"/>
      <w:r>
        <w:t xml:space="preserve">Timeliness for vertical reporting</w:t>
      </w:r>
    </w:p>
    <w:p>
      <w:pPr>
        <w:pStyle w:val="FirstParagraph"/>
      </w:pPr>
      <w:r>
        <w:t xml:space="preserve">The Australian government census of attendance data is annual,</w:t>
      </w:r>
      <w:r>
        <w:t xml:space="preserve"> </w:t>
      </w:r>
      <w:r>
        <w:t xml:space="preserve">aggregated over Semester 1.</w:t>
      </w:r>
    </w:p>
    <w:p>
      <w:pPr>
        <w:pStyle w:val="BodyText"/>
      </w:pPr>
      <w:r>
        <w:t xml:space="preserve">School systems that undertake censuses of attendance gather data at</w:t>
      </w:r>
      <w:r>
        <w:t xml:space="preserve"> </w:t>
      </w:r>
      <w:r>
        <w:t xml:space="preserve">least annually.</w:t>
      </w:r>
    </w:p>
    <w:p>
      <w:pPr>
        <w:pStyle w:val="Heading5"/>
      </w:pPr>
      <w:bookmarkStart w:id="37" w:name="quality-for-local-use"/>
      <w:bookmarkEnd w:id="37"/>
      <w:r>
        <w:t xml:space="preserve">Quality for local use</w:t>
      </w:r>
    </w:p>
    <w:p>
      <w:pPr>
        <w:pStyle w:val="FirstParagraph"/>
      </w:pPr>
      <w:r>
        <w:t xml:space="preserve">Attendance data is important for tracking both student welfare and student achievement,</w:t>
      </w:r>
      <w:r>
        <w:t xml:space="preserve"> </w:t>
      </w:r>
      <w:r>
        <w:t xml:space="preserve">so schools require it to be of high quality, even if that is at the expense</w:t>
      </w:r>
      <w:r>
        <w:t xml:space="preserve"> </w:t>
      </w:r>
      <w:r>
        <w:t xml:space="preserve">of timeliness.</w:t>
      </w:r>
    </w:p>
    <w:p>
      <w:pPr>
        <w:pStyle w:val="Heading5"/>
      </w:pPr>
      <w:bookmarkStart w:id="38" w:name="quality-for-vertical-reporting"/>
      <w:bookmarkEnd w:id="38"/>
      <w:r>
        <w:t xml:space="preserve">Quality for vertical reporting</w:t>
      </w:r>
    </w:p>
    <w:p>
      <w:pPr>
        <w:pStyle w:val="FirstParagraph"/>
      </w:pPr>
      <w:r>
        <w:t xml:space="preserve">There is some tolerance of error in the national-level aggregate</w:t>
      </w:r>
      <w:r>
        <w:t xml:space="preserve"> </w:t>
      </w:r>
      <w:r>
        <w:t xml:space="preserve">reports, as the attendance census is meant to be indicative, and applied</w:t>
      </w:r>
      <w:r>
        <w:t xml:space="preserve"> </w:t>
      </w:r>
      <w:r>
        <w:t xml:space="preserve">at aggregate level.</w:t>
      </w:r>
    </w:p>
    <w:p>
      <w:pPr>
        <w:pStyle w:val="Heading4"/>
      </w:pPr>
      <w:bookmarkStart w:id="39" w:name="are-there-national-and-local-definitions"/>
      <w:bookmarkEnd w:id="39"/>
      <w:r>
        <w:t xml:space="preserve">Are there national and local definitions? </w:t>
      </w:r>
    </w:p>
    <w:p>
      <w:pPr>
        <w:pStyle w:val="Heading5"/>
      </w:pPr>
      <w:bookmarkStart w:id="40" w:name="national-1"/>
      <w:bookmarkEnd w:id="40"/>
      <w:r>
        <w:t xml:space="preserve">National</w:t>
      </w:r>
    </w:p>
    <w:p>
      <w:pPr>
        <w:pStyle w:val="FirstParagraph"/>
      </w:pPr>
      <w:r>
        <w:t xml:space="preserve">National definitions for attendance are provided in the</w:t>
      </w:r>
      <w:r>
        <w:t xml:space="preserve"> </w:t>
      </w:r>
      <w:r>
        <w:rPr>
          <w:i/>
        </w:rPr>
        <w:t xml:space="preserve">National</w:t>
      </w:r>
      <w:r>
        <w:rPr>
          <w:i/>
        </w:rPr>
        <w:t xml:space="preserve"> </w:t>
      </w:r>
      <w:r>
        <w:rPr>
          <w:i/>
        </w:rPr>
        <w:t xml:space="preserve">Standards for Student Attendance Data Reporting</w:t>
      </w:r>
      <w:r>
        <w:t xml:space="preserve">, published by ACARA.</w:t>
      </w:r>
      <w:r>
        <w:t xml:space="preserve"> </w:t>
      </w:r>
      <w:r>
        <w:t xml:space="preserve">These have been introduced in 2014, to enable nationally comparable</w:t>
      </w:r>
      <w:r>
        <w:t xml:space="preserve"> </w:t>
      </w:r>
      <w:r>
        <w:t xml:space="preserve">attendance rates, by imposing uniform calculation practices and data</w:t>
      </w:r>
      <w:r>
        <w:t xml:space="preserve"> </w:t>
      </w:r>
      <w:r>
        <w:t xml:space="preserve">collection.</w:t>
      </w:r>
    </w:p>
    <w:p>
      <w:pPr>
        <w:pStyle w:val="Heading5"/>
      </w:pPr>
      <w:bookmarkStart w:id="41" w:name="school-system-1"/>
      <w:bookmarkEnd w:id="41"/>
      <w:r>
        <w:t xml:space="preserve">School system</w:t>
      </w:r>
    </w:p>
    <w:p>
      <w:pPr>
        <w:pStyle w:val="Heading5"/>
      </w:pPr>
      <w:bookmarkStart w:id="42" w:name="school-1"/>
      <w:bookmarkEnd w:id="42"/>
      <w:r>
        <w:t xml:space="preserve">School</w:t>
      </w:r>
    </w:p>
    <w:p>
      <w:pPr>
        <w:pStyle w:val="Heading3"/>
      </w:pPr>
      <w:bookmarkStart w:id="43" w:name="what-are-the-business-rules-for-this-data-exchange"/>
      <w:bookmarkEnd w:id="43"/>
      <w:r>
        <w:t xml:space="preserve">What are the business rules for this data exchange?</w:t>
      </w:r>
    </w:p>
    <w:p>
      <w:pPr>
        <w:pStyle w:val="Heading5"/>
      </w:pPr>
      <w:bookmarkStart w:id="44" w:name="national-2"/>
      <w:bookmarkEnd w:id="44"/>
      <w:r>
        <w:t xml:space="preserve">National </w:t>
      </w:r>
    </w:p>
    <w:p>
      <w:pPr>
        <w:pStyle w:val="FirstParagraph"/>
      </w:pPr>
      <w:r>
        <w:t xml:space="preserve">The national reporting requirements calculate attendance for full-time</w:t>
      </w:r>
      <w:r>
        <w:t xml:space="preserve"> </w:t>
      </w:r>
      <w:r>
        <w:t xml:space="preserve">students only at state/territory level. (If a student attends multiple</w:t>
      </w:r>
      <w:r>
        <w:t xml:space="preserve"> </w:t>
      </w:r>
      <w:r>
        <w:t xml:space="preserve">schools in a state, their attendance can be split pro rata between those</w:t>
      </w:r>
      <w:r>
        <w:t xml:space="preserve"> </w:t>
      </w:r>
      <w:r>
        <w:t xml:space="preserve">schools.) </w:t>
      </w:r>
    </w:p>
    <w:p>
      <w:pPr>
        <w:pStyle w:val="BodyText"/>
      </w:pPr>
      <w:r>
        <w:t xml:space="preserve">Attendance is calculated as the ratio of full-time equivalent of</w:t>
      </w:r>
      <w:r>
        <w:t xml:space="preserve"> </w:t>
      </w:r>
      <w:r>
        <w:t xml:space="preserve">student-days to the total number of possible student days.</w:t>
      </w:r>
    </w:p>
    <w:p>
      <w:pPr>
        <w:pStyle w:val="BodyText"/>
      </w:pPr>
      <w:r>
        <w:t xml:space="preserve">Schools are only included in attendance reporting if they fall within</w:t>
      </w:r>
      <w:r>
        <w:t xml:space="preserve"> </w:t>
      </w:r>
      <w:r>
        <w:t xml:space="preserve">the NSSC definition of a school: their major activity is providing</w:t>
      </w:r>
      <w:r>
        <w:t xml:space="preserve"> </w:t>
      </w:r>
      <w:r>
        <w:t xml:space="preserve">education, and students can enrol in the school for a minimum of four</w:t>
      </w:r>
      <w:r>
        <w:t xml:space="preserve"> </w:t>
      </w:r>
      <w:r>
        <w:t xml:space="preserve">continuous weeks.</w:t>
      </w:r>
    </w:p>
    <w:p>
      <w:pPr>
        <w:pStyle w:val="BodyText"/>
      </w:pPr>
      <w:r>
        <w:t xml:space="preserve">Part-day absences are to be reported as either 0.5 or to two decimal</w:t>
      </w:r>
      <w:r>
        <w:t xml:space="preserve"> </w:t>
      </w:r>
      <w:r>
        <w:t xml:space="preserve">places, depending on individual school arrangements.</w:t>
      </w:r>
    </w:p>
    <w:p>
      <w:pPr>
        <w:pStyle w:val="BodyText"/>
      </w:pPr>
      <w:r>
        <w:t xml:space="preserve">The National Standards define 19 categories of absence, whether each</w:t>
      </w:r>
      <w:r>
        <w:t xml:space="preserve"> </w:t>
      </w:r>
      <w:r>
        <w:t xml:space="preserve">should be counted as absences for attendance reporting, and whether the</w:t>
      </w:r>
      <w:r>
        <w:t xml:space="preserve"> </w:t>
      </w:r>
      <w:r>
        <w:t xml:space="preserve">absence should be included in the possible school day count.</w:t>
      </w:r>
    </w:p>
    <w:p>
      <w:pPr>
        <w:pStyle w:val="Heading5"/>
      </w:pPr>
      <w:bookmarkStart w:id="45" w:name="school-system-2"/>
      <w:bookmarkEnd w:id="45"/>
      <w:r>
        <w:t xml:space="preserve">School system</w:t>
      </w:r>
    </w:p>
    <w:p>
      <w:pPr>
        <w:pStyle w:val="FirstParagraph"/>
      </w:pPr>
      <w:r>
        <w:t xml:space="preserve">Students enrolled full time at state level but across multiple schools</w:t>
      </w:r>
      <w:r>
        <w:t xml:space="preserve"> </w:t>
      </w:r>
      <w:r>
        <w:t xml:space="preserve">in the same sector are excluded from Qld government, all Catholic and</w:t>
      </w:r>
      <w:r>
        <w:t xml:space="preserve"> </w:t>
      </w:r>
      <w:r>
        <w:t xml:space="preserve">independent schools. </w:t>
      </w:r>
    </w:p>
    <w:p>
      <w:pPr>
        <w:pStyle w:val="BodyText"/>
      </w:pPr>
      <w:r>
        <w:t xml:space="preserve">School systems typically have absence categories that do not coincide</w:t>
      </w:r>
      <w:r>
        <w:t xml:space="preserve"> </w:t>
      </w:r>
      <w:r>
        <w:t xml:space="preserve">with the national absence categories. All school systems need to provide</w:t>
      </w:r>
      <w:r>
        <w:t xml:space="preserve"> </w:t>
      </w:r>
      <w:r>
        <w:t xml:space="preserve">mappings from their local categories to the national categories. Not all</w:t>
      </w:r>
      <w:r>
        <w:t xml:space="preserve"> </w:t>
      </w:r>
      <w:r>
        <w:t xml:space="preserve">national absence categories are applicable locally.</w:t>
      </w:r>
    </w:p>
    <w:p>
      <w:pPr>
        <w:pStyle w:val="BodyText"/>
      </w:pPr>
      <w:r>
        <w:t xml:space="preserve">Schools have the option of providing school systems with data in</w:t>
      </w:r>
      <w:r>
        <w:t xml:space="preserve"> </w:t>
      </w:r>
      <w:r>
        <w:t xml:space="preserve">aggregated form, instead of unit records. Typically schools will opt to</w:t>
      </w:r>
      <w:r>
        <w:t xml:space="preserve"> </w:t>
      </w:r>
      <w:r>
        <w:t xml:space="preserve">provide unit records, as they do not have the internal capability to</w:t>
      </w:r>
      <w:r>
        <w:t xml:space="preserve"> </w:t>
      </w:r>
      <w:r>
        <w:t xml:space="preserve">perform the aggregations at the different levels required for systemic</w:t>
      </w:r>
      <w:r>
        <w:t xml:space="preserve"> </w:t>
      </w:r>
      <w:r>
        <w:t xml:space="preserve">and national reporting. </w:t>
      </w:r>
    </w:p>
    <w:p>
      <w:pPr>
        <w:pStyle w:val="BodyText"/>
      </w:pPr>
      <w:r>
        <w:t xml:space="preserve">VIC and WA report part-day absences consistently as 0.5.</w:t>
      </w:r>
    </w:p>
    <w:p>
      <w:pPr>
        <w:pStyle w:val="BodyText"/>
      </w:pPr>
      <w:r>
        <w:t xml:space="preserve">School systems will vary as to whether they require schools to calculate</w:t>
      </w:r>
      <w:r>
        <w:t xml:space="preserve"> </w:t>
      </w:r>
      <w:r>
        <w:t xml:space="preserve">the percentages of attendance for part-day attendance, or whether they</w:t>
      </w:r>
      <w:r>
        <w:t xml:space="preserve"> </w:t>
      </w:r>
      <w:r>
        <w:t xml:space="preserve">will undertake those calculations centrally. If the former is the case,</w:t>
      </w:r>
      <w:r>
        <w:t xml:space="preserve"> </w:t>
      </w:r>
      <w:r>
        <w:t xml:space="preserve">then an object like StudentDailyAttendance is adequate. If the latter is</w:t>
      </w:r>
      <w:r>
        <w:t xml:space="preserve"> </w:t>
      </w:r>
      <w:r>
        <w:t xml:space="preserve">the case, then schools must provide all times in and out for a student</w:t>
      </w:r>
      <w:r>
        <w:t xml:space="preserve"> </w:t>
      </w:r>
      <w:r>
        <w:t xml:space="preserve">during the day; in that case, an object like StudentAttendanceTimeList</w:t>
      </w:r>
      <w:r>
        <w:t xml:space="preserve"> </w:t>
      </w:r>
      <w:r>
        <w:t xml:space="preserve">is required.</w:t>
      </w:r>
    </w:p>
    <w:p>
      <w:pPr>
        <w:pStyle w:val="BodyText"/>
      </w:pPr>
      <w:r>
        <w:t xml:space="preserve">School systems will vary as to whether attendance is reported by schools</w:t>
      </w:r>
      <w:r>
        <w:t xml:space="preserve"> </w:t>
      </w:r>
      <w:r>
        <w:t xml:space="preserve">only by exception (the school only submits records for days when the</w:t>
      </w:r>
      <w:r>
        <w:t xml:space="preserve"> </w:t>
      </w:r>
      <w:r>
        <w:t xml:space="preserve">student has been absent), or completely (both presences and absences).</w:t>
      </w:r>
      <w:r>
        <w:t xml:space="preserve"> </w:t>
      </w:r>
      <w:r>
        <w:t xml:space="preserve">NSW DEC for example requires the latter. </w:t>
      </w:r>
    </w:p>
    <w:p>
      <w:pPr>
        <w:pStyle w:val="BodyText"/>
      </w:pPr>
      <w:r>
        <w:t xml:space="preserve">School systems will normalise attendance results received from different</w:t>
      </w:r>
      <w:r>
        <w:t xml:space="preserve"> </w:t>
      </w:r>
      <w:r>
        <w:t xml:space="preserve">attendance packages, so that they can be aggregated and compared</w:t>
      </w:r>
      <w:r>
        <w:t xml:space="preserve"> </w:t>
      </w:r>
      <w:r>
        <w:t xml:space="preserve">consistently.</w:t>
      </w:r>
    </w:p>
    <w:p>
      <w:pPr>
        <w:pStyle w:val="Heading5"/>
      </w:pPr>
      <w:bookmarkStart w:id="46" w:name="school-2"/>
      <w:bookmarkEnd w:id="46"/>
      <w:r>
        <w:t xml:space="preserve">School</w:t>
      </w:r>
    </w:p>
    <w:p>
      <w:pPr>
        <w:pStyle w:val="FirstParagraph"/>
      </w:pPr>
      <w:r>
        <w:t xml:space="preserve">In the absence of a school system, individual non-systemic schools have</w:t>
      </w:r>
      <w:r>
        <w:t xml:space="preserve"> </w:t>
      </w:r>
      <w:r>
        <w:t xml:space="preserve">to comply with the requirements of national reporting on their own.</w:t>
      </w:r>
    </w:p>
    <w:p>
      <w:pPr>
        <w:pStyle w:val="Heading4"/>
      </w:pPr>
      <w:bookmarkStart w:id="47" w:name="localisation"/>
      <w:bookmarkEnd w:id="47"/>
      <w:r>
        <w:t xml:space="preserve">Localisation</w:t>
      </w:r>
    </w:p>
    <w:p>
      <w:pPr>
        <w:pStyle w:val="FirstParagraph"/>
      </w:pPr>
      <w:r>
        <w:t xml:space="preserve">&lt;local rules for data exchange, self inserted by school systems</w:t>
      </w:r>
      <w:r>
        <w:t xml:space="preserve"> </w:t>
      </w:r>
      <w:r>
        <w:t xml:space="preserve">authorities and others who have localised versions of this use case&gt;</w:t>
      </w:r>
    </w:p>
    <w:p>
      <w:pPr>
        <w:pStyle w:val="Heading5"/>
      </w:pPr>
      <w:bookmarkStart w:id="48" w:name="at-local-level"/>
      <w:bookmarkEnd w:id="48"/>
      <w:r>
        <w:t xml:space="preserve">At local level</w:t>
      </w:r>
    </w:p>
    <w:p>
      <w:pPr>
        <w:pStyle w:val="Heading5"/>
      </w:pPr>
      <w:bookmarkStart w:id="49" w:name="for-vertical-reporting"/>
      <w:bookmarkEnd w:id="49"/>
      <w:r>
        <w:t xml:space="preserve">For vertical reporting</w:t>
      </w:r>
    </w:p>
    <w:p>
      <w:pPr>
        <w:pStyle w:val="Heading3"/>
      </w:pPr>
      <w:bookmarkStart w:id="50" w:name="how-are-data-sources-accessed"/>
      <w:bookmarkEnd w:id="50"/>
      <w:r>
        <w:t xml:space="preserve">How are data sources accessed?</w:t>
      </w:r>
    </w:p>
    <w:p>
      <w:pPr>
        <w:pStyle w:val="FirstParagraph"/>
      </w:pPr>
      <w:r>
        <w:t xml:space="preserve">&lt;list how data sources area accessed&gt;</w:t>
      </w:r>
    </w:p>
    <w:p>
      <w:pPr>
        <w:pStyle w:val="Heading4"/>
      </w:pPr>
      <w:bookmarkStart w:id="51" w:name="at-local-level-1"/>
      <w:bookmarkEnd w:id="51"/>
      <w:r>
        <w:t xml:space="preserve">At local level</w:t>
      </w:r>
    </w:p>
    <w:p>
      <w:pPr>
        <w:pStyle w:val="Heading4"/>
      </w:pPr>
      <w:bookmarkStart w:id="52" w:name="for-vertical-reporting-1"/>
      <w:bookmarkEnd w:id="52"/>
      <w:r>
        <w:t xml:space="preserve">For vertical reporting</w:t>
      </w:r>
    </w:p>
    <w:p>
      <w:pPr>
        <w:pStyle w:val="Heading3"/>
      </w:pPr>
      <w:bookmarkStart w:id="53" w:name="what-are-the-privacy-implications-of-this-data-exchange"/>
      <w:bookmarkEnd w:id="53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54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55" w:name="at-local-level-2"/>
      <w:bookmarkEnd w:id="55"/>
      <w:r>
        <w:t xml:space="preserve">At local level</w:t>
      </w:r>
    </w:p>
    <w:p>
      <w:pPr>
        <w:pStyle w:val="Heading4"/>
      </w:pPr>
      <w:bookmarkStart w:id="56" w:name="for-vertical-reporting-2"/>
      <w:bookmarkEnd w:id="56"/>
      <w:r>
        <w:t xml:space="preserve">For vertical reporting</w:t>
      </w:r>
    </w:p>
    <w:p>
      <w:pPr>
        <w:pStyle w:val="Heading4"/>
      </w:pPr>
      <w:bookmarkStart w:id="57" w:name="privacy-framework-questions"/>
      <w:bookmarkEnd w:id="57"/>
      <w:r>
        <w:t xml:space="preserve">Privacy framework questions</w:t>
      </w:r>
    </w:p>
    <w:p>
      <w:pPr>
        <w:pStyle w:val="Heading5"/>
      </w:pPr>
      <w:bookmarkStart w:id="58" w:name="data-collection"/>
      <w:bookmarkEnd w:id="58"/>
      <w:r>
        <w:t xml:space="preserve">Data collection</w:t>
      </w:r>
    </w:p>
    <w:p>
      <w:pPr>
        <w:numPr>
          <w:numId w:val="1010"/>
          <w:ilvl w:val="0"/>
        </w:numPr>
      </w:pPr>
      <w:r>
        <w:t xml:space="preserve">Specific to use case instance; recommend primary purpose only</w:t>
      </w:r>
    </w:p>
    <w:p>
      <w:pPr>
        <w:numPr>
          <w:numId w:val="1010"/>
          <w:ilvl w:val="0"/>
        </w:numPr>
      </w:pPr>
      <w:r>
        <w:t xml:space="preserve">StudentPersonal, StudentDailyAttendance, StudentAttendanceSummary, StudentAttendanceTimeList.</w:t>
      </w:r>
      <w:r>
        <w:t xml:space="preserve"> </w:t>
      </w:r>
      <w:r>
        <w:t xml:space="preserve">Highly sensitive demographic or personal information within Student</w:t>
      </w:r>
      <w:r>
        <w:t xml:space="preserve"> </w:t>
      </w:r>
      <w:r>
        <w:t xml:space="preserve">Personal is not required.</w:t>
      </w:r>
    </w:p>
    <w:p>
      <w:pPr>
        <w:numPr>
          <w:numId w:val="1010"/>
          <w:ilvl w:val="0"/>
        </w:numPr>
      </w:pPr>
      <w:r>
        <w:t xml:space="preserve">Specific to use case instance; recommend No</w:t>
      </w:r>
    </w:p>
    <w:p>
      <w:pPr>
        <w:pStyle w:val="Heading5"/>
      </w:pPr>
      <w:bookmarkStart w:id="59" w:name="data-storage-and-access"/>
      <w:bookmarkEnd w:id="59"/>
      <w:r>
        <w:t xml:space="preserve">Data storage and access</w:t>
      </w:r>
    </w:p>
    <w:p>
      <w:pPr>
        <w:numPr>
          <w:numId w:val="1011"/>
          <w:ilvl w:val="0"/>
        </w:numPr>
      </w:pPr>
      <w:r>
        <w:t xml:space="preserve">Information should be stored in same State/Territory as it was</w:t>
      </w:r>
      <w:r>
        <w:t xml:space="preserve"> </w:t>
      </w:r>
      <w:r>
        <w:t xml:space="preserve">sourced, given sensitivity </w:t>
      </w:r>
    </w:p>
    <w:p>
      <w:pPr>
        <w:numPr>
          <w:numId w:val="1011"/>
          <w:ilvl w:val="0"/>
        </w:numPr>
      </w:pPr>
      <w:r>
        <w:t xml:space="preserve">Some protection needed, given sensitivity; at minimum</w:t>
      </w:r>
      <w:r>
        <w:t xml:space="preserve"> </w:t>
      </w:r>
      <w:r>
        <w:t xml:space="preserve">password access.</w:t>
      </w:r>
    </w:p>
    <w:p>
      <w:pPr>
        <w:numPr>
          <w:numId w:val="1011"/>
          <w:ilvl w:val="0"/>
        </w:numPr>
      </w:pPr>
      <w:r>
        <w:t xml:space="preserve">Specific to use case instance; if on cloud, tenancy access</w:t>
      </w:r>
      <w:r>
        <w:t xml:space="preserve"> </w:t>
      </w:r>
      <w:r>
        <w:t xml:space="preserve">must apply.</w:t>
      </w:r>
    </w:p>
    <w:p>
      <w:pPr>
        <w:numPr>
          <w:numId w:val="1011"/>
          <w:ilvl w:val="0"/>
        </w:numPr>
      </w:pPr>
      <w:r>
        <w:t xml:space="preserve">Specific to use case instance; recommend Yes</w:t>
      </w:r>
    </w:p>
    <w:p>
      <w:pPr>
        <w:numPr>
          <w:numId w:val="1011"/>
          <w:ilvl w:val="0"/>
        </w:numPr>
      </w:pPr>
      <w:r>
        <w:t xml:space="preserve">Specific to use case instance; recommend SSL/TLS per SIF protocol</w:t>
      </w:r>
    </w:p>
    <w:p>
      <w:pPr>
        <w:numPr>
          <w:numId w:val="1011"/>
          <w:ilvl w:val="0"/>
        </w:numPr>
      </w:pPr>
      <w:r>
        <w:t xml:space="preserve">Homeroom teacher, principal, other teachers of the student on</w:t>
      </w:r>
      <w:r>
        <w:t xml:space="preserve"> </w:t>
      </w:r>
      <w:r>
        <w:t xml:space="preserve">as-needs basis.</w:t>
      </w:r>
    </w:p>
    <w:p>
      <w:pPr>
        <w:numPr>
          <w:numId w:val="1012"/>
          <w:ilvl w:val="1"/>
        </w:numPr>
      </w:pPr>
      <w:r>
        <w:t xml:space="preserve">Access should be logged.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numPr>
          <w:numId w:val="1012"/>
          <w:ilvl w:val="1"/>
        </w:numPr>
      </w:pPr>
      <w:r>
        <w:t xml:space="preserve">Working with children check recommended</w:t>
      </w:r>
    </w:p>
    <w:p>
      <w:pPr>
        <w:numPr>
          <w:numId w:val="1012"/>
          <w:ilvl w:val="1"/>
        </w:numPr>
      </w:pPr>
      <w:r>
        <w:t xml:space="preserve">Analytics may be subcontracted; if they are, anonymisation</w:t>
      </w:r>
      <w:r>
        <w:t xml:space="preserve"> </w:t>
      </w:r>
      <w:r>
        <w:t xml:space="preserve">recommended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pStyle w:val="Heading5"/>
      </w:pPr>
      <w:bookmarkStart w:id="60" w:name="data-and-metadata-retention"/>
      <w:bookmarkEnd w:id="60"/>
      <w:r>
        <w:t xml:space="preserve">Data and Metadata Retention</w:t>
      </w:r>
    </w:p>
    <w:p>
      <w:pPr>
        <w:numPr>
          <w:numId w:val="1013"/>
          <w:ilvl w:val="0"/>
        </w:numPr>
      </w:pPr>
      <w:r>
        <w:t xml:space="preserve">Specific to use case instance</w:t>
      </w:r>
    </w:p>
    <w:p>
      <w:pPr>
        <w:numPr>
          <w:numId w:val="1013"/>
          <w:ilvl w:val="0"/>
        </w:numPr>
      </w:pPr>
      <w:r>
        <w:t xml:space="preserve">Data should be retained for entire school year, to allow revision of</w:t>
      </w:r>
      <w:r>
        <w:t xml:space="preserve"> </w:t>
      </w:r>
      <w:r>
        <w:t xml:space="preserve">annual report. Data may be deleted after end of school year; data</w:t>
      </w:r>
      <w:r>
        <w:t xml:space="preserve"> </w:t>
      </w:r>
      <w:r>
        <w:t xml:space="preserve">must be deleted at termination of contract, or on request by school.</w:t>
      </w:r>
      <w:r>
        <w:t xml:space="preserve"> </w:t>
      </w:r>
      <w:r>
        <w:t xml:space="preserve">Protocol for deletion request must be agreed to by school.</w:t>
      </w:r>
    </w:p>
    <w:p>
      <w:pPr>
        <w:numPr>
          <w:numId w:val="1013"/>
          <w:ilvl w:val="0"/>
        </w:numPr>
      </w:pPr>
      <w:r>
        <w:t xml:space="preserve">Copy of information MAY be provided by vendor to school; not strong</w:t>
      </w:r>
      <w:r>
        <w:t xml:space="preserve"> </w:t>
      </w:r>
      <w:r>
        <w:t xml:space="preserve">requirement</w:t>
      </w:r>
    </w:p>
    <w:p>
      <w:pPr>
        <w:numPr>
          <w:numId w:val="1013"/>
          <w:ilvl w:val="0"/>
        </w:numPr>
      </w:pPr>
      <w:r>
        <w:t xml:space="preserve">On termination of contract, all data must be returned to school and</w:t>
      </w:r>
      <w:r>
        <w:t xml:space="preserve"> </w:t>
      </w:r>
      <w:r>
        <w:t xml:space="preserve">deleted from vendor systems</w:t>
      </w:r>
    </w:p>
    <w:p>
      <w:pPr>
        <w:pStyle w:val="Heading5"/>
      </w:pPr>
      <w:bookmarkStart w:id="61" w:name="development-and-change-management-process"/>
      <w:bookmarkEnd w:id="61"/>
      <w:r>
        <w:t xml:space="preserve">Development and Change Management Process</w:t>
      </w:r>
    </w:p>
    <w:p>
      <w:pPr>
        <w:numPr>
          <w:numId w:val="1014"/>
          <w:ilvl w:val="0"/>
        </w:numPr>
      </w:pPr>
      <w:r>
        <w:t xml:space="preserve">Provider should follow standardised processes for code change</w:t>
      </w:r>
      <w:r>
        <w:t xml:space="preserve"> </w:t>
      </w:r>
      <w:r>
        <w:t xml:space="preserve">management</w:t>
      </w:r>
    </w:p>
    <w:p>
      <w:pPr>
        <w:numPr>
          <w:numId w:val="1014"/>
          <w:ilvl w:val="0"/>
        </w:numPr>
      </w:pPr>
      <w:r>
        <w:t xml:space="preserve">Specific to use case instance</w:t>
      </w:r>
    </w:p>
    <w:p>
      <w:pPr>
        <w:numPr>
          <w:numId w:val="1014"/>
          <w:ilvl w:val="0"/>
        </w:numPr>
      </w:pPr>
      <w:r>
        <w:t xml:space="preserve">Provider should notify school of changes in information handling</w:t>
      </w:r>
    </w:p>
    <w:p>
      <w:pPr>
        <w:pStyle w:val="Heading5"/>
      </w:pPr>
      <w:bookmarkStart w:id="62" w:name="audits-and-standards"/>
      <w:bookmarkEnd w:id="62"/>
      <w:r>
        <w:t xml:space="preserve">Audits and Standards</w:t>
      </w:r>
    </w:p>
    <w:p>
      <w:pPr>
        <w:numPr>
          <w:numId w:val="1015"/>
          <w:ilvl w:val="0"/>
        </w:numPr>
      </w:pPr>
      <w:r>
        <w:t xml:space="preserve">Provider must allow security &amp; privacy audit by school </w:t>
      </w:r>
    </w:p>
    <w:p>
      <w:pPr>
        <w:numPr>
          <w:numId w:val="1015"/>
          <w:ilvl w:val="0"/>
        </w:numPr>
      </w:pPr>
      <w:r>
        <w:t xml:space="preserve">Provider should have security operations externally audited</w:t>
      </w:r>
    </w:p>
    <w:p>
      <w:pPr>
        <w:numPr>
          <w:numId w:val="1015"/>
          <w:ilvl w:val="0"/>
        </w:numPr>
      </w:pPr>
      <w:r>
        <w:t xml:space="preserve">Provider should comply with external standard</w:t>
      </w:r>
    </w:p>
    <w:p>
      <w:pPr>
        <w:pStyle w:val="Heading5"/>
      </w:pPr>
      <w:bookmarkStart w:id="63" w:name="test-and-development-environments"/>
      <w:bookmarkEnd w:id="63"/>
      <w:r>
        <w:t xml:space="preserve">Test and Development Environments</w:t>
      </w:r>
    </w:p>
    <w:p>
      <w:pPr>
        <w:numPr>
          <w:numId w:val="1016"/>
          <w:ilvl w:val="0"/>
        </w:numPr>
      </w:pPr>
      <w:r>
        <w:t xml:space="preserve">Live student data should not be used in non-production environments</w:t>
      </w:r>
    </w:p>
    <w:p>
      <w:pPr>
        <w:numPr>
          <w:numId w:val="1016"/>
          <w:ilvl w:val="0"/>
        </w:numPr>
      </w:pPr>
      <w:r>
        <w:t xml:space="preserve">Non-production environments need not be as secure as production</w:t>
      </w:r>
    </w:p>
    <w:p>
      <w:pPr>
        <w:pStyle w:val="Heading5"/>
      </w:pPr>
      <w:bookmarkStart w:id="64" w:name="data-breach-incident-investigation-and-response"/>
      <w:bookmarkEnd w:id="64"/>
      <w:r>
        <w:t xml:space="preserve">Data Breach, Incident Investigation and Response</w:t>
      </w:r>
    </w:p>
    <w:p>
      <w:pPr>
        <w:numPr>
          <w:numId w:val="1017"/>
          <w:ilvl w:val="0"/>
        </w:numPr>
      </w:pPr>
      <w:r>
        <w:t xml:space="preserve">At minimum, school informed immediately, will require escalation</w:t>
      </w:r>
      <w:r>
        <w:t xml:space="preserve"> </w:t>
      </w:r>
      <w:r>
        <w:t xml:space="preserve">from principal</w:t>
      </w:r>
    </w:p>
    <w:p>
      <w:pPr>
        <w:numPr>
          <w:numId w:val="1017"/>
          <w:ilvl w:val="0"/>
        </w:numPr>
      </w:pPr>
      <w:r>
        <w:t xml:space="preserve">Vendor must have logging capability agreed with school, including</w:t>
      </w:r>
      <w:r>
        <w:t xml:space="preserve"> </w:t>
      </w:r>
      <w:r>
        <w:t xml:space="preserve">making logs available to school and police</w:t>
      </w:r>
    </w:p>
    <w:p>
      <w:pPr>
        <w:pStyle w:val="Heading4"/>
      </w:pPr>
      <w:bookmarkStart w:id="65" w:name="key-data-elements-privacy-settings-links"/>
      <w:bookmarkEnd w:id="65"/>
      <w:r>
        <w:t xml:space="preserve"> Key data elements privacy settings (Links)</w:t>
      </w:r>
    </w:p>
    <w:p>
      <w:pPr>
        <w:pStyle w:val="Heading5"/>
      </w:pPr>
      <w:bookmarkStart w:id="66" w:name="unit-record-level"/>
      <w:bookmarkEnd w:id="66"/>
      <w:r>
        <w:t xml:space="preserve">Unit record level</w:t>
      </w:r>
    </w:p>
    <w:p>
      <w:pPr>
        <w:pStyle w:val="FirstParagraph"/>
      </w:pPr>
      <w:r>
        <w:t xml:space="preserve">At Unit Record level, the most sensitive attributes being transmitted</w:t>
      </w:r>
      <w:r>
        <w:t xml:space="preserve"> </w:t>
      </w:r>
      <w:r>
        <w:t xml:space="preserve">are:</w:t>
      </w:r>
    </w:p>
    <w:p>
      <w:pPr>
        <w:numPr>
          <w:numId w:val="1018"/>
          <w:ilvl w:val="0"/>
        </w:numPr>
      </w:pPr>
      <w:r>
        <w:t xml:space="preserve">StudentPersonal: Sex and Indigenous Status (Medium)</w:t>
      </w:r>
    </w:p>
    <w:p>
      <w:pPr>
        <w:numPr>
          <w:numId w:val="1018"/>
          <w:ilvl w:val="0"/>
        </w:numPr>
      </w:pPr>
      <w:r>
        <w:t xml:space="preserve">StudentDailyAttendance: AttendanceCode, AttendanceNote (Extreme)</w:t>
      </w:r>
    </w:p>
    <w:p>
      <w:pPr>
        <w:pStyle w:val="Heading5"/>
      </w:pPr>
      <w:bookmarkStart w:id="67" w:name="aggregate-level"/>
      <w:bookmarkEnd w:id="67"/>
      <w:r>
        <w:t xml:space="preserve">Aggregate level</w:t>
      </w:r>
    </w:p>
    <w:p>
      <w:pPr>
        <w:pStyle w:val="FirstParagraph"/>
      </w:pPr>
      <w:r>
        <w:t xml:space="preserve">At the aggregate level, the objects are of low sensitivity: no</w:t>
      </w:r>
      <w:r>
        <w:t xml:space="preserve"> </w:t>
      </w:r>
      <w:r>
        <w:t xml:space="preserve">identifying information is passed along, and individual absence reasons</w:t>
      </w:r>
      <w:r>
        <w:t xml:space="preserve"> </w:t>
      </w:r>
      <w:r>
        <w:t xml:space="preserve">are suppressed.</w:t>
      </w:r>
    </w:p>
    <w:p>
      <w:pPr>
        <w:pStyle w:val="Heading4"/>
      </w:pPr>
      <w:bookmarkStart w:id="68" w:name="privacy-implications"/>
      <w:bookmarkEnd w:id="68"/>
      <w:r>
        <w:t xml:space="preserve">Privacy implications</w:t>
      </w:r>
    </w:p>
    <w:p>
      <w:pPr>
        <w:pStyle w:val="Heading5"/>
      </w:pPr>
      <w:bookmarkStart w:id="69" w:name="at-local-level-3"/>
      <w:bookmarkEnd w:id="69"/>
      <w:r>
        <w:t xml:space="preserve">At local level</w:t>
      </w:r>
    </w:p>
    <w:p>
      <w:pPr>
        <w:pStyle w:val="FirstParagraph"/>
      </w:pPr>
      <w:r>
        <w:t xml:space="preserve">Absence information is associated with fully identified students. The</w:t>
      </w:r>
      <w:r>
        <w:t xml:space="preserve"> </w:t>
      </w:r>
      <w:r>
        <w:t xml:space="preserve">reasons why an individual student is absent may be embarrassing and need</w:t>
      </w:r>
      <w:r>
        <w:t xml:space="preserve"> </w:t>
      </w:r>
      <w:r>
        <w:t xml:space="preserve">to be kept private, especially if described in detail. Thus data</w:t>
      </w:r>
      <w:r>
        <w:t xml:space="preserve"> </w:t>
      </w:r>
      <w:r>
        <w:t xml:space="preserve">exchange between attendance applications and the school SMS must be</w:t>
      </w:r>
      <w:r>
        <w:t xml:space="preserve"> </w:t>
      </w:r>
      <w:r>
        <w:t xml:space="preserve">tightly secured. The school should ensure that the data gathered</w:t>
      </w:r>
      <w:r>
        <w:t xml:space="preserve"> </w:t>
      </w:r>
      <w:r>
        <w:t xml:space="preserve">by attendance applications cannot be compromised, or viewed by</w:t>
      </w:r>
      <w:r>
        <w:t xml:space="preserve"> </w:t>
      </w:r>
      <w:r>
        <w:t xml:space="preserve">unauthorised parties outside the school, and should be stored</w:t>
      </w:r>
      <w:r>
        <w:t xml:space="preserve"> </w:t>
      </w:r>
      <w:r>
        <w:t xml:space="preserve">accordingly.</w:t>
      </w:r>
    </w:p>
    <w:p>
      <w:pPr>
        <w:pStyle w:val="BodyText"/>
      </w:pPr>
      <w:r>
        <w:t xml:space="preserve">Typically any aggregation of attendance data is done by the school</w:t>
      </w:r>
      <w:r>
        <w:t xml:space="preserve"> </w:t>
      </w:r>
      <w:r>
        <w:t xml:space="preserve">authority and not the student. That means that the data being passed</w:t>
      </w:r>
      <w:r>
        <w:t xml:space="preserve"> </w:t>
      </w:r>
      <w:r>
        <w:t xml:space="preserve">from the school to the school system is as sensitive as the information</w:t>
      </w:r>
      <w:r>
        <w:t xml:space="preserve"> </w:t>
      </w:r>
      <w:r>
        <w:t xml:space="preserve">passed from the attendance applications to the school SMS, with the</w:t>
      </w:r>
      <w:r>
        <w:t xml:space="preserve"> </w:t>
      </w:r>
      <w:r>
        <w:t xml:space="preserve">possible exception of attendance reason details. Highly sensitive</w:t>
      </w:r>
      <w:r>
        <w:t xml:space="preserve"> </w:t>
      </w:r>
      <w:r>
        <w:t xml:space="preserve">information about students is exchanged between schools and school</w:t>
      </w:r>
      <w:r>
        <w:t xml:space="preserve"> </w:t>
      </w:r>
      <w:r>
        <w:t xml:space="preserve">systems routinely; so no additional safeguards should need to be put in</w:t>
      </w:r>
      <w:r>
        <w:t xml:space="preserve"> </w:t>
      </w:r>
      <w:r>
        <w:t xml:space="preserve">place for attendance data.</w:t>
      </w:r>
    </w:p>
    <w:p>
      <w:pPr>
        <w:pStyle w:val="Heading5"/>
      </w:pPr>
      <w:bookmarkStart w:id="70" w:name="for-vertical-reporting-3"/>
      <w:bookmarkEnd w:id="70"/>
      <w:r>
        <w:t xml:space="preserve">For vertical reporting</w:t>
      </w:r>
    </w:p>
    <w:p>
      <w:pPr>
        <w:pStyle w:val="FirstParagraph"/>
      </w:pPr>
      <w:r>
        <w:t xml:space="preserve">The data passed on for attendance reporting is aggregated and</w:t>
      </w:r>
      <w:r>
        <w:t xml:space="preserve"> </w:t>
      </w:r>
      <w:r>
        <w:t xml:space="preserve">deidentified, and does not include any breakdown of reasons for absence.</w:t>
      </w:r>
      <w:r>
        <w:t xml:space="preserve"> </w:t>
      </w:r>
      <w:r>
        <w:t xml:space="preserve">This data does not present serious privacy implications.</w:t>
      </w:r>
    </w:p>
    <w:p>
      <w:pPr>
        <w:pStyle w:val="BodyText"/>
      </w:pPr>
      <w:r>
        <w:t xml:space="preserve">Any unit data passed to education researchers must be deidentified, and</w:t>
      </w:r>
      <w:r>
        <w:t xml:space="preserve"> </w:t>
      </w:r>
      <w:r>
        <w:t xml:space="preserve">the demographic cohorts of students passed on must be large enough that</w:t>
      </w:r>
      <w:r>
        <w:t xml:space="preserve"> </w:t>
      </w:r>
      <w:r>
        <w:t xml:space="preserve">individual student identity may be recovered.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be3e6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a9de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7916f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54" Target="file:///C:\display\SIFOG\Privacy+framework+ques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file:///C:\display\SIFOG\Privacy+framework+questions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2016-12-06T04:50:36Z</dcterms:created>
  <dcterms:modified xsi:type="dcterms:W3CDTF">2016-12-06T04:50:36Z</dcterms:modified>
</cp:coreProperties>
</file>