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basic-financial-transactions"/>
      <w:bookmarkEnd w:id="21"/>
      <w:r>
        <w:t xml:space="preserve">How to implement basic financial transactions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financial-processing"/>
      <w:bookmarkEnd w:id="27"/>
      <w:r>
        <w:t xml:space="preserve">How to implement financial processing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carry out financial transactions using draft SIF</w:t>
      </w:r>
      <w:r>
        <w:t xml:space="preserve"> </w:t>
      </w:r>
      <w:r>
        <w:t xml:space="preserve">Financial objects, including purchase orders, receipts, invoices,</w:t>
      </w:r>
      <w:r>
        <w:t xml:space="preserve"> </w:t>
      </w:r>
      <w:r>
        <w:t xml:space="preserve">journalling, and payments.</w:t>
      </w:r>
      <w:r>
        <w:t xml:space="preserve"> </w:t>
      </w: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case-description-pre-conditions"/>
      <w:bookmarkEnd w:id="29"/>
      <w:r>
        <w:t xml:space="preserve">2. Usecase description &amp; pre-conditions</w:t>
      </w:r>
    </w:p>
    <w:p>
      <w:pPr>
        <w:pStyle w:val="FirstParagraph"/>
      </w:pPr>
      <w:r>
        <w:t xml:space="preserve">A 3rd Party Finance application connects to HITS as a jurisdiction hub,</w:t>
      </w:r>
      <w:r>
        <w:t xml:space="preserve"> </w:t>
      </w:r>
      <w:r>
        <w:t xml:space="preserve">collecting the relevant information and publishing back finances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3rd Party Vendor is a current supplier of a Finances product in</w:t>
      </w:r>
      <w:r>
        <w:t xml:space="preserve"> </w:t>
      </w:r>
      <w:r>
        <w:t xml:space="preserve">schools or has knowledge of finances reporting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4"/>
          <w:ilvl w:val="1"/>
        </w:numPr>
      </w:pPr>
      <w:r>
        <w:t xml:space="preserve">Invoice</w:t>
      </w:r>
    </w:p>
    <w:p>
      <w:pPr>
        <w:pStyle w:val="Compact"/>
        <w:numPr>
          <w:numId w:val="1004"/>
          <w:ilvl w:val="1"/>
        </w:numPr>
      </w:pPr>
      <w:r>
        <w:t xml:space="preserve">FinancialAccount</w:t>
      </w:r>
    </w:p>
    <w:p>
      <w:pPr>
        <w:pStyle w:val="Compact"/>
        <w:numPr>
          <w:numId w:val="1004"/>
          <w:ilvl w:val="1"/>
        </w:numPr>
      </w:pPr>
      <w:r>
        <w:t xml:space="preserve">FinancialClassification</w:t>
      </w:r>
    </w:p>
    <w:p>
      <w:pPr>
        <w:pStyle w:val="Compact"/>
        <w:numPr>
          <w:numId w:val="1004"/>
          <w:ilvl w:val="1"/>
        </w:numPr>
      </w:pPr>
      <w:r>
        <w:t xml:space="preserve">ChargedLocationInfo</w:t>
      </w:r>
    </w:p>
    <w:p>
      <w:pPr>
        <w:pStyle w:val="Compact"/>
        <w:numPr>
          <w:numId w:val="1004"/>
          <w:ilvl w:val="1"/>
        </w:numPr>
      </w:pPr>
      <w:r>
        <w:t xml:space="preserve">PaymentReceipt</w:t>
      </w:r>
    </w:p>
    <w:p>
      <w:pPr>
        <w:pStyle w:val="Compact"/>
        <w:numPr>
          <w:numId w:val="1004"/>
          <w:ilvl w:val="1"/>
        </w:numPr>
      </w:pPr>
      <w:r>
        <w:t xml:space="preserve">PurchaseOrder</w:t>
      </w:r>
    </w:p>
    <w:p>
      <w:pPr>
        <w:pStyle w:val="Compact"/>
        <w:numPr>
          <w:numId w:val="1004"/>
          <w:ilvl w:val="1"/>
        </w:numPr>
      </w:pPr>
      <w:r>
        <w:t xml:space="preserve">VendorInfo</w:t>
      </w:r>
    </w:p>
    <w:p>
      <w:pPr>
        <w:pStyle w:val="Compact"/>
        <w:numPr>
          <w:numId w:val="1004"/>
          <w:ilvl w:val="1"/>
        </w:numPr>
      </w:pPr>
      <w:r>
        <w:t xml:space="preserve">Journal</w:t>
      </w:r>
    </w:p>
    <w:p>
      <w:pPr>
        <w:pStyle w:val="Compact"/>
        <w:numPr>
          <w:numId w:val="1004"/>
          <w:ilvl w:val="1"/>
        </w:numPr>
      </w:pPr>
      <w:r>
        <w:t xml:space="preserve">Debtor</w:t>
      </w:r>
    </w:p>
    <w:p>
      <w:pPr>
        <w:pStyle w:val="Compact"/>
        <w:numPr>
          <w:numId w:val="1004"/>
          <w:ilvl w:val="1"/>
        </w:numPr>
      </w:pPr>
      <w:r>
        <w:t xml:space="preserve">EquipmentInfo</w:t>
      </w:r>
    </w:p>
    <w:p>
      <w:pPr>
        <w:pStyle w:val="Compact"/>
        <w:numPr>
          <w:numId w:val="1004"/>
          <w:ilvl w:val="1"/>
        </w:numPr>
      </w:pPr>
      <w:r>
        <w:t xml:space="preserve">StaffPersonal</w:t>
      </w:r>
    </w:p>
    <w:p>
      <w:pPr>
        <w:pStyle w:val="Compact"/>
        <w:numPr>
          <w:numId w:val="1004"/>
          <w:ilvl w:val="1"/>
        </w:numPr>
      </w:pPr>
      <w:r>
        <w:t xml:space="preserve">StudentContactPersonal</w:t>
      </w:r>
    </w:p>
    <w:p>
      <w:pPr>
        <w:pStyle w:val="FirstParagraph"/>
      </w:pPr>
      <w:r>
        <w:t xml:space="preserve">(Note that some or all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32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 the</w:t>
      </w:r>
      <w:r>
        <w:t xml:space="preserve"> </w:t>
      </w:r>
      <w:hyperlink r:id="rId33">
        <w:r>
          <w:rPr>
            <w:rStyle w:val="Hyperlink"/>
            <w:b/>
          </w:rPr>
          <w:t xml:space="preserve">draft specification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details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the above objects.)</w:t>
      </w:r>
    </w:p>
    <w:p>
      <w:pPr>
        <w:pStyle w:val="Heading4"/>
      </w:pPr>
      <w:bookmarkStart w:id="34" w:name="usecase-workflow-summary"/>
      <w:bookmarkEnd w:id="34"/>
      <w:r>
        <w:t xml:space="preserve">Usecase workflow summary:</w:t>
      </w:r>
    </w:p>
    <w:p>
      <w:pPr>
        <w:numPr>
          <w:numId w:val="1005"/>
          <w:ilvl w:val="0"/>
        </w:numPr>
      </w:pPr>
      <w:r>
        <w:t xml:space="preserve">Join</w:t>
      </w:r>
    </w:p>
    <w:p>
      <w:pPr>
        <w:numPr>
          <w:numId w:val="1005"/>
          <w:ilvl w:val="0"/>
        </w:numPr>
      </w:pPr>
      <w:r>
        <w:t xml:space="preserve">Consume</w:t>
      </w:r>
    </w:p>
    <w:p>
      <w:pPr>
        <w:numPr>
          <w:numId w:val="1005"/>
          <w:ilvl w:val="0"/>
        </w:numPr>
      </w:pPr>
      <w:r>
        <w:t xml:space="preserve">Process</w:t>
      </w:r>
    </w:p>
    <w:p>
      <w:pPr>
        <w:numPr>
          <w:numId w:val="1005"/>
          <w:ilvl w:val="0"/>
        </w:numPr>
      </w:pPr>
      <w:r>
        <w:t xml:space="preserve">Provide</w:t>
      </w:r>
    </w:p>
    <w:p>
      <w:pPr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5" w:name="assurance"/>
      <w:bookmarkEnd w:id="35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  <w:r>
        <w:t xml:space="preserve"> </w:t>
      </w:r>
      <w:r>
        <w:t xml:space="preserve">- Any SIF object published by the App must be valid against the SIF-AU 1.5draft1 schema (available</w:t>
      </w:r>
      <w:r>
        <w:t xml:space="preserve"> </w:t>
      </w:r>
      <w:r>
        <w:t xml:space="preserve">on request)</w:t>
      </w:r>
      <w:r>
        <w:t xml:space="preserve"> </w:t>
      </w:r>
      <w:r>
        <w:t xml:space="preserve">- All mandatory elements of the submitted SIF objects are provided</w:t>
      </w:r>
      <w:r>
        <w:t xml:space="preserve"> </w:t>
      </w:r>
      <w:r>
        <w:t xml:space="preserve">- All SIF objects posted by the App must have referential integrity. Any RefId contained in the SIF</w:t>
      </w:r>
      <w:r>
        <w:t xml:space="preserve"> </w:t>
      </w:r>
      <w:r>
        <w:t xml:space="preserve">object must refer to a SIF object provisioned to the App—e.g.</w:t>
      </w:r>
      <w:r>
        <w:t xml:space="preserve"> </w:t>
      </w:r>
      <w:r>
        <w:t xml:space="preserve">AccountingPeriod, FinancialAccount—or to another SIF object</w:t>
      </w:r>
      <w:r>
        <w:t xml:space="preserve"> </w:t>
      </w:r>
      <w:r>
        <w:t xml:space="preserve">posted by the App (e.g. Payment referring to Billing).This</w:t>
      </w:r>
      <w:r>
        <w:t xml:space="preserve"> </w:t>
      </w:r>
      <w:r>
        <w:t xml:space="preserve">condition applies recursively to all additional SIF objects</w:t>
      </w:r>
      <w:r>
        <w:t xml:space="preserve"> </w:t>
      </w:r>
      <w:r>
        <w:t xml:space="preserve">posted by the App. The test of this condition is done only when</w:t>
      </w:r>
      <w:r>
        <w:t xml:space="preserve"> </w:t>
      </w:r>
      <w:r>
        <w:t xml:space="preserve">the App indicates that it has finished publishing to the Zone</w:t>
      </w:r>
      <w:r>
        <w:t xml:space="preserve"> </w:t>
      </w:r>
      <w:r>
        <w:t xml:space="preserve">the objects required for the test.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6" w:name="join-school-zone"/>
      <w:bookmarkEnd w:id="36"/>
      <w:r>
        <w:t xml:space="preserve">3. Join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6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6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6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7" w:name="consume-base-data-from-hits"/>
      <w:bookmarkEnd w:id="37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Compact"/>
        <w:numPr>
          <w:numId w:val="1007"/>
          <w:ilvl w:val="0"/>
        </w:numPr>
      </w:pPr>
      <w:r>
        <w:t xml:space="preserve">Consume: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available AccountingPeriod, FinancialAccount,</w:t>
      </w:r>
      <w:r>
        <w:t xml:space="preserve"> </w:t>
      </w:r>
      <w:r>
        <w:t xml:space="preserve">VendorInfo, and Debtor objects</w:t>
      </w:r>
    </w:p>
    <w:p>
      <w:pPr>
        <w:pStyle w:val="Compact"/>
        <w:numPr>
          <w:numId w:val="1007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(The following is a list of calls that need to be made to consume the</w:t>
      </w:r>
      <w:r>
        <w:t xml:space="preserve"> </w:t>
      </w:r>
      <w:r>
        <w:t xml:space="preserve">required information)</w:t>
      </w:r>
    </w:p>
    <w:p>
      <w:pPr>
        <w:pStyle w:val="Compact"/>
        <w:numPr>
          <w:numId w:val="1008"/>
          <w:ilvl w:val="0"/>
        </w:numPr>
      </w:pPr>
      <w:r>
        <w:t xml:space="preserve">Get FinancialAccount: http://.../FinancialAccounts</w:t>
      </w:r>
    </w:p>
    <w:p>
      <w:pPr>
        <w:pStyle w:val="Compact"/>
        <w:numPr>
          <w:numId w:val="1008"/>
          <w:ilvl w:val="0"/>
        </w:numPr>
      </w:pPr>
      <w:r>
        <w:t xml:space="preserve">(Optional) http://.../FinancialClassifications,</w:t>
      </w:r>
      <w:r>
        <w:t xml:space="preserve"> </w:t>
      </w:r>
      <w:r>
        <w:t xml:space="preserve">http://.../FinancialClassifications/{REFID}/FinancialAccounts (to</w:t>
      </w:r>
      <w:r>
        <w:t xml:space="preserve"> </w:t>
      </w:r>
      <w:r>
        <w:t xml:space="preserve">retrieve all accounts in a ledger)</w:t>
      </w:r>
    </w:p>
    <w:p>
      <w:pPr>
        <w:pStyle w:val="Compact"/>
        <w:numPr>
          <w:numId w:val="1008"/>
          <w:ilvl w:val="0"/>
        </w:numPr>
      </w:pPr>
      <w:r>
        <w:t xml:space="preserve">Get VendorInfo: http://.../VendorInfos</w:t>
      </w:r>
    </w:p>
    <w:p>
      <w:pPr>
        <w:pStyle w:val="Compact"/>
        <w:numPr>
          <w:numId w:val="1008"/>
          <w:ilvl w:val="0"/>
        </w:numPr>
      </w:pPr>
      <w:r>
        <w:t xml:space="preserve">Get Debtor: http://.../Debtors</w:t>
      </w:r>
    </w:p>
    <w:p>
      <w:pPr>
        <w:pStyle w:val="Compact"/>
        <w:numPr>
          <w:numId w:val="1008"/>
          <w:ilvl w:val="0"/>
        </w:numPr>
      </w:pPr>
      <w:r>
        <w:t xml:space="preserve">Get LocationInfo: http://.../LocationInfos</w:t>
      </w:r>
    </w:p>
    <w:p>
      <w:pPr>
        <w:pStyle w:val="Compact"/>
        <w:numPr>
          <w:numId w:val="1008"/>
          <w:ilvl w:val="0"/>
        </w:numPr>
      </w:pPr>
      <w:r>
        <w:t xml:space="preserve">Get StaffPersonal: http://.../StaffPersonals</w:t>
      </w:r>
    </w:p>
    <w:p>
      <w:pPr>
        <w:pStyle w:val="Compact"/>
        <w:numPr>
          <w:numId w:val="1008"/>
          <w:ilvl w:val="0"/>
        </w:numPr>
      </w:pPr>
      <w:r>
        <w:t xml:space="preserve">Get StudentContactPersonal: http://.../StudentContactPersonals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8">
        <w:r>
          <w:rPr>
            <w:rStyle w:val="Hyperlink"/>
            <w:b/>
          </w:rPr>
          <w:t xml:space="preserve">Query-by-example or service paths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9" w:name="process-in-3rd-party-application"/>
      <w:bookmarkEnd w:id="39"/>
      <w:r>
        <w:t xml:space="preserve">5. Process in 3rd Party Application</w:t>
      </w:r>
    </w:p>
    <w:p>
      <w:pPr>
        <w:pStyle w:val="FirstParagraph"/>
      </w:pPr>
      <w:r>
        <w:t xml:space="preserve">3rd Party App uses the consumed data to generate appropriate transaction</w:t>
      </w:r>
      <w:r>
        <w:t xml:space="preserve"> </w:t>
      </w:r>
      <w:r>
        <w:t xml:space="preserve">information. The definition and automation of this process is out of</w:t>
      </w:r>
      <w:r>
        <w:t xml:space="preserve"> </w:t>
      </w:r>
      <w:r>
        <w:t xml:space="preserve">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gathers financials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9"/>
          <w:ilvl w:val="0"/>
        </w:numPr>
      </w:pPr>
      <w:r>
        <w:t xml:space="preserve">Third party application creates return financials</w:t>
      </w:r>
      <w:r>
        <w:t xml:space="preserve"> </w:t>
      </w:r>
      <w:r>
        <w:t xml:space="preserve">objects specific to the School</w:t>
      </w:r>
    </w:p>
    <w:p>
      <w:pPr>
        <w:pStyle w:val="Compact"/>
        <w:numPr>
          <w:numId w:val="1009"/>
          <w:ilvl w:val="0"/>
        </w:numPr>
      </w:pPr>
      <w:r>
        <w:t xml:space="preserve">The transaction information generated by the App is represented by</w:t>
      </w:r>
      <w:r>
        <w:t xml:space="preserve"> </w:t>
      </w:r>
      <w:r>
        <w:t xml:space="preserve">the following financials objects:</w:t>
      </w:r>
    </w:p>
    <w:p>
      <w:pPr>
        <w:pStyle w:val="Compact"/>
        <w:numPr>
          <w:numId w:val="1010"/>
          <w:ilvl w:val="1"/>
        </w:numPr>
      </w:pPr>
      <w:r>
        <w:t xml:space="preserve">PurchaseOrder</w:t>
      </w:r>
    </w:p>
    <w:p>
      <w:pPr>
        <w:pStyle w:val="Compact"/>
        <w:numPr>
          <w:numId w:val="1010"/>
          <w:ilvl w:val="1"/>
        </w:numPr>
      </w:pPr>
      <w:r>
        <w:t xml:space="preserve">Invoice</w:t>
      </w:r>
    </w:p>
    <w:p>
      <w:pPr>
        <w:pStyle w:val="Compact"/>
        <w:numPr>
          <w:numId w:val="1010"/>
          <w:ilvl w:val="1"/>
        </w:numPr>
      </w:pPr>
      <w:r>
        <w:t xml:space="preserve">PaymentReceipt</w:t>
      </w:r>
    </w:p>
    <w:p>
      <w:pPr>
        <w:pStyle w:val="Compact"/>
        <w:numPr>
          <w:numId w:val="1010"/>
          <w:ilvl w:val="1"/>
        </w:numPr>
      </w:pPr>
      <w:r>
        <w:t xml:space="preserve">Journal (transfer from one account to another)</w:t>
      </w:r>
    </w:p>
    <w:p>
      <w:pPr>
        <w:pStyle w:val="FirstParagraph"/>
      </w:pPr>
      <w:r>
        <w:rPr>
          <w:b/>
        </w:rPr>
        <w:t xml:space="preserve">6. Provide authoritative data</w:t>
      </w:r>
    </w:p>
    <w:p>
      <w:pPr>
        <w:pStyle w:val="BodyText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11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11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11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11"/>
          <w:ilvl w:val="0"/>
        </w:numPr>
      </w:pPr>
      <w:r>
        <w:t xml:space="preserve">Following is provided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back to HITs:</w:t>
      </w:r>
    </w:p>
    <w:p>
      <w:pPr>
        <w:pStyle w:val="Compact"/>
        <w:numPr>
          <w:numId w:val="1012"/>
          <w:ilvl w:val="1"/>
        </w:numPr>
      </w:pPr>
      <w:r>
        <w:t xml:space="preserve">Post Invoice to URL http://.../Invoices</w:t>
      </w:r>
    </w:p>
    <w:p>
      <w:pPr>
        <w:pStyle w:val="Compact"/>
        <w:numPr>
          <w:numId w:val="1012"/>
          <w:ilvl w:val="1"/>
        </w:numPr>
      </w:pPr>
      <w:r>
        <w:t xml:space="preserve">Post PaymentReceipt to URL http://../PaymentReceipts</w:t>
      </w:r>
    </w:p>
    <w:p>
      <w:pPr>
        <w:pStyle w:val="Compact"/>
        <w:numPr>
          <w:numId w:val="1012"/>
          <w:ilvl w:val="1"/>
        </w:numPr>
      </w:pPr>
      <w:r>
        <w:t xml:space="preserve">Post PurchaseOrders to URL http://../PuchaseOrders</w:t>
      </w:r>
    </w:p>
    <w:p>
      <w:pPr>
        <w:pStyle w:val="Compact"/>
        <w:numPr>
          <w:numId w:val="1012"/>
          <w:ilvl w:val="1"/>
        </w:numPr>
      </w:pPr>
      <w:r>
        <w:t xml:space="preserve">Post Journal to URL http://../Journals</w:t>
      </w:r>
    </w:p>
    <w:p>
      <w:pPr>
        <w:pStyle w:val="Heading2"/>
      </w:pPr>
      <w:bookmarkStart w:id="40" w:name="self-confirm-usecase-support"/>
      <w:bookmarkEnd w:id="40"/>
      <w:r>
        <w:t xml:space="preserve">7. Self – confirm usecase support</w:t>
      </w:r>
    </w:p>
    <w:p>
      <w:pPr>
        <w:pStyle w:val="Compact"/>
        <w:numPr>
          <w:numId w:val="1014"/>
          <w:ilvl w:val="1"/>
        </w:numPr>
      </w:pPr>
      <w:r>
        <w:t xml:space="preserve">Validate Invoice records</w:t>
      </w:r>
    </w:p>
    <w:p>
      <w:pPr>
        <w:pStyle w:val="Compact"/>
        <w:numPr>
          <w:numId w:val="1014"/>
          <w:ilvl w:val="1"/>
        </w:numPr>
      </w:pPr>
      <w:r>
        <w:t xml:space="preserve">Validate PaymentReceipts records</w:t>
      </w:r>
    </w:p>
    <w:p>
      <w:pPr>
        <w:pStyle w:val="Compact"/>
        <w:numPr>
          <w:numId w:val="1014"/>
          <w:ilvl w:val="1"/>
        </w:numPr>
      </w:pPr>
      <w:r>
        <w:t xml:space="preserve">Validate</w:t>
      </w:r>
      <w:r>
        <w:t xml:space="preserve"> </w:t>
      </w:r>
      <w:r>
        <w:t xml:space="preserve">PurchaseOrder</w:t>
      </w:r>
      <w:r>
        <w:t xml:space="preserve"> </w:t>
      </w:r>
      <w:r>
        <w:t xml:space="preserve">records</w:t>
      </w:r>
    </w:p>
    <w:p>
      <w:pPr>
        <w:pStyle w:val="Compact"/>
        <w:numPr>
          <w:numId w:val="1014"/>
          <w:ilvl w:val="1"/>
        </w:numPr>
      </w:pPr>
      <w:r>
        <w:t xml:space="preserve">Validate</w:t>
      </w:r>
      <w:r>
        <w:t xml:space="preserve"> </w:t>
      </w:r>
      <w:r>
        <w:t xml:space="preserve">Journal</w:t>
      </w:r>
      <w:r>
        <w:t xml:space="preserve"> </w:t>
      </w:r>
      <w:r>
        <w:t xml:space="preserve">records</w:t>
      </w:r>
    </w:p>
    <w:p>
      <w:pPr>
        <w:pStyle w:val="Heading1"/>
      </w:pPr>
      <w:bookmarkStart w:id="41" w:name="more-information"/>
      <w:bookmarkEnd w:id="41"/>
      <w:r>
        <w:t xml:space="preserve">More information</w:t>
      </w:r>
    </w:p>
    <w:p>
      <w:pPr>
        <w:pStyle w:val="Heading4"/>
      </w:pPr>
      <w:bookmarkStart w:id="42" w:name="what-business-problem-does-this-usecase-address"/>
      <w:bookmarkEnd w:id="42"/>
      <w:r>
        <w:t xml:space="preserve">What business problem does this usecase address?</w:t>
      </w:r>
    </w:p>
    <w:p>
      <w:pPr>
        <w:pStyle w:val="Heading6"/>
      </w:pPr>
      <w:bookmarkStart w:id="43" w:name="in-brief"/>
      <w:bookmarkEnd w:id="43"/>
      <w:r>
        <w:t xml:space="preserve">In brief:</w:t>
      </w:r>
    </w:p>
    <w:p>
      <w:pPr>
        <w:pStyle w:val="Compact"/>
        <w:numPr>
          <w:numId w:val="1015"/>
          <w:ilvl w:val="0"/>
        </w:numPr>
      </w:pPr>
      <w:r>
        <w:t xml:space="preserve">Allow schools secure access to finance information</w:t>
      </w:r>
    </w:p>
    <w:p>
      <w:pPr>
        <w:pStyle w:val="Compact"/>
        <w:numPr>
          <w:numId w:val="1015"/>
          <w:ilvl w:val="0"/>
        </w:numPr>
      </w:pPr>
      <w:r>
        <w:t xml:space="preserve">Allow schools to use the financials product of their choice</w:t>
      </w:r>
    </w:p>
    <w:p>
      <w:pPr>
        <w:pStyle w:val="Compact"/>
        <w:numPr>
          <w:numId w:val="1015"/>
          <w:ilvl w:val="0"/>
        </w:numPr>
      </w:pPr>
      <w:r>
        <w:t xml:space="preserve">Allow 3rd Party Financials apps automated access to base information</w:t>
      </w:r>
    </w:p>
    <w:p>
      <w:pPr>
        <w:pStyle w:val="Compact"/>
        <w:numPr>
          <w:numId w:val="1015"/>
          <w:ilvl w:val="0"/>
        </w:numPr>
      </w:pPr>
      <w:r>
        <w:t xml:space="preserve">Allow 3rd Party Financials apps to publish financial data (including</w:t>
      </w:r>
      <w:r>
        <w:t xml:space="preserve"> </w:t>
      </w:r>
      <w:r>
        <w:t xml:space="preserve">ledger updates) to a jurisdiction hub.</w:t>
      </w:r>
    </w:p>
    <w:p>
      <w:pPr>
        <w:pStyle w:val="FirstParagraph"/>
      </w:pPr>
      <w:r>
        <w:t xml:space="preserve">This use case responds to the growing interest in using SIF AU to</w:t>
      </w:r>
      <w:r>
        <w:t xml:space="preserve"> </w:t>
      </w:r>
      <w:r>
        <w:t xml:space="preserve">exchange financial data, and specifically to the ACT's integration</w:t>
      </w:r>
      <w:r>
        <w:t xml:space="preserve"> </w:t>
      </w:r>
      <w:r>
        <w:t xml:space="preserve">project. The objects proposed for use in this use case are tentative,</w:t>
      </w:r>
      <w:r>
        <w:t xml:space="preserve"> </w:t>
      </w:r>
      <w:r>
        <w:t xml:space="preserve">and will need to be further reviewed by the SIF AU Data Standards</w:t>
      </w:r>
      <w:r>
        <w:t xml:space="preserve"> </w:t>
      </w:r>
      <w:r>
        <w:t xml:space="preserve">Working Group (SIF AU DSWG),  to be included in SIF AU 1.4: they are</w:t>
      </w:r>
      <w:r>
        <w:t xml:space="preserve"> </w:t>
      </w:r>
      <w:r>
        <w:t xml:space="preserve">subject to change, and this use case will be the first time they are</w:t>
      </w:r>
      <w:r>
        <w:t xml:space="preserve"> </w:t>
      </w:r>
      <w:r>
        <w:t xml:space="preserve">used. Anyone seeking to engage with this use case is encouraged to</w:t>
      </w:r>
      <w:r>
        <w:t xml:space="preserve"> </w:t>
      </w:r>
      <w:r>
        <w:t xml:space="preserve">familiarise themselves with the proposed SIF AU financials objects,</w:t>
      </w:r>
      <w:r>
        <w:t xml:space="preserve"> </w:t>
      </w:r>
      <w:r>
        <w:t xml:space="preserve">available on request from NSIP.</w:t>
      </w:r>
    </w:p>
    <w:p>
      <w:pPr>
        <w:pStyle w:val="BodyText"/>
      </w:pPr>
      <w:r>
        <w:t xml:space="preserve">This use case assumes that SIF is required only to exchange information</w:t>
      </w:r>
      <w:r>
        <w:t xml:space="preserve"> </w:t>
      </w:r>
      <w:r>
        <w:t xml:space="preserve">about individual transactions (e.g. purchase orders, invoices, receipts,</w:t>
      </w:r>
      <w:r>
        <w:t xml:space="preserve"> </w:t>
      </w:r>
      <w:r>
        <w:t xml:space="preserve">journals), and that reporting will be done out of existing</w:t>
      </w:r>
      <w:r>
        <w:t xml:space="preserve"> </w:t>
      </w:r>
      <w:r>
        <w:t xml:space="preserve">applications—although those reports may be based on the transactional</w:t>
      </w:r>
      <w:r>
        <w:t xml:space="preserve"> </w:t>
      </w:r>
      <w:r>
        <w:t xml:space="preserve">information received through SIF. </w:t>
      </w:r>
    </w:p>
    <w:p>
      <w:pPr>
        <w:pStyle w:val="BodyText"/>
      </w:pPr>
      <w:r>
        <w:t xml:space="preserve">This use case assumes that payroll transactions are out of scope.</w:t>
      </w:r>
    </w:p>
    <w:p>
      <w:pPr>
        <w:pStyle w:val="BodyText"/>
      </w:pPr>
      <w:r>
        <w:t xml:space="preserve">This use case presupposes that there are processes in place for</w:t>
      </w:r>
      <w:r>
        <w:t xml:space="preserve"> </w:t>
      </w:r>
      <w:r>
        <w:t xml:space="preserve">transactions to take place with external parties (debtors and</w:t>
      </w:r>
      <w:r>
        <w:t xml:space="preserve"> </w:t>
      </w:r>
      <w:r>
        <w:t xml:space="preserve">creditors); it does not specify any mechanisms outside of SIF. A</w:t>
      </w:r>
      <w:r>
        <w:t xml:space="preserve"> </w:t>
      </w:r>
      <w:r>
        <w:t xml:space="preserve">purchase order for example may be transmitted to a vendor as a SIF</w:t>
      </w:r>
      <w:r>
        <w:t xml:space="preserve"> </w:t>
      </w:r>
      <w:r>
        <w:t xml:space="preserve">Purchasing object, or as a printed document drawing on information</w:t>
      </w:r>
      <w:r>
        <w:t xml:space="preserve"> </w:t>
      </w:r>
      <w:r>
        <w:t xml:space="preserve">included in the SIF Purchasing object. The mechanisms for generating and</w:t>
      </w:r>
      <w:r>
        <w:t xml:space="preserve"> </w:t>
      </w:r>
      <w:r>
        <w:t xml:space="preserve">sending such a printed document are outside the scope of this use case,</w:t>
      </w:r>
      <w:r>
        <w:t xml:space="preserve"> </w:t>
      </w:r>
      <w:r>
        <w:t xml:space="preserve">and would be provided by existing financial applications. </w:t>
      </w:r>
    </w:p>
    <w:p>
      <w:pPr>
        <w:pStyle w:val="BodyText"/>
      </w:pPr>
      <w:r>
        <w:t xml:space="preserve">The following lists the priority areas of interest to the ACT in</w:t>
      </w:r>
      <w:r>
        <w:t xml:space="preserve"> </w:t>
      </w:r>
      <w:r>
        <w:t xml:space="preserve">finance (numbers in parentheses refer to the diagrams below) :</w:t>
      </w:r>
    </w:p>
    <w:p>
      <w:pPr>
        <w:pStyle w:val="Compact"/>
        <w:numPr>
          <w:numId w:val="1016"/>
          <w:ilvl w:val="0"/>
        </w:numPr>
      </w:pPr>
      <w:r>
        <w:t xml:space="preserve">Receipting – the ability to produce receipts for (1a) Families/</w:t>
      </w:r>
      <w:r>
        <w:t xml:space="preserve"> </w:t>
      </w:r>
      <w:r>
        <w:t xml:space="preserve">Debtors and (1b) General Ledgers.</w:t>
      </w:r>
    </w:p>
    <w:p>
      <w:pPr>
        <w:pStyle w:val="Compact"/>
        <w:numPr>
          <w:numId w:val="1016"/>
          <w:ilvl w:val="0"/>
        </w:numPr>
      </w:pPr>
      <w:r>
        <w:t xml:space="preserve">Purchase Orders – the ability to (2a) produce commitments into</w:t>
      </w:r>
      <w:r>
        <w:t xml:space="preserve"> </w:t>
      </w:r>
      <w:r>
        <w:t xml:space="preserve">ledgers for purchases and (2b) send these to creditors as an</w:t>
      </w:r>
      <w:r>
        <w:t xml:space="preserve"> </w:t>
      </w:r>
      <w:r>
        <w:t xml:space="preserve">approval method for purchases. We also need to be able to (2c) draw</w:t>
      </w:r>
      <w:r>
        <w:t xml:space="preserve"> </w:t>
      </w:r>
      <w:r>
        <w:t xml:space="preserve">down the purchase order at time of payment to enable the commitment</w:t>
      </w:r>
      <w:r>
        <w:t xml:space="preserve"> </w:t>
      </w:r>
      <w:r>
        <w:t xml:space="preserve">to be used.</w:t>
      </w:r>
    </w:p>
    <w:p>
      <w:pPr>
        <w:pStyle w:val="Compact"/>
        <w:numPr>
          <w:numId w:val="1016"/>
          <w:ilvl w:val="0"/>
        </w:numPr>
      </w:pPr>
      <w:r>
        <w:t xml:space="preserve">Invoices – The ability to produce invoice for Debtors, recovery of</w:t>
      </w:r>
      <w:r>
        <w:t xml:space="preserve"> </w:t>
      </w:r>
      <w:r>
        <w:t xml:space="preserve">hire costs in particular.</w:t>
      </w:r>
    </w:p>
    <w:p>
      <w:pPr>
        <w:pStyle w:val="Compact"/>
        <w:numPr>
          <w:numId w:val="1016"/>
          <w:ilvl w:val="0"/>
        </w:numPr>
      </w:pPr>
      <w:r>
        <w:t xml:space="preserve">At present we enter into our system invoices to get these approved</w:t>
      </w:r>
      <w:r>
        <w:t xml:space="preserve"> </w:t>
      </w:r>
      <w:r>
        <w:t xml:space="preserve">before the payment is produced and sent off.</w:t>
      </w:r>
    </w:p>
    <w:p>
      <w:pPr>
        <w:pStyle w:val="Compact"/>
        <w:numPr>
          <w:numId w:val="1016"/>
          <w:ilvl w:val="0"/>
        </w:numPr>
      </w:pPr>
      <w:r>
        <w:t xml:space="preserve">Payments – we need to be able to produce a file to be imported into</w:t>
      </w:r>
      <w:r>
        <w:t xml:space="preserve"> </w:t>
      </w:r>
      <w:r>
        <w:t xml:space="preserve">the bank as majority of our payments are made through EFT but we</w:t>
      </w:r>
      <w:r>
        <w:t xml:space="preserve"> </w:t>
      </w:r>
      <w:r>
        <w:t xml:space="preserve">need to be able to produce cheques also.</w:t>
      </w:r>
    </w:p>
    <w:p>
      <w:pPr>
        <w:pStyle w:val="Compact"/>
        <w:numPr>
          <w:numId w:val="1016"/>
          <w:ilvl w:val="0"/>
        </w:numPr>
      </w:pPr>
      <w:r>
        <w:t xml:space="preserve">We need to be able to run an end of period process including (6a) a</w:t>
      </w:r>
      <w:r>
        <w:t xml:space="preserve"> </w:t>
      </w:r>
      <w:r>
        <w:t xml:space="preserve">bank reconciliation and (6b) produce reports that go to the</w:t>
      </w:r>
      <w:r>
        <w:t xml:space="preserve"> </w:t>
      </w:r>
      <w:r>
        <w:t xml:space="preserve">Principal, school board, provides the basis of producing the monthly</w:t>
      </w:r>
      <w:r>
        <w:t xml:space="preserve"> </w:t>
      </w:r>
      <w:r>
        <w:t xml:space="preserve">BAS and gives reports to various teachers, faculty or as requested.</w:t>
      </w:r>
    </w:p>
    <w:p>
      <w:pPr>
        <w:pStyle w:val="Compact"/>
        <w:numPr>
          <w:numId w:val="1016"/>
          <w:ilvl w:val="0"/>
        </w:numPr>
      </w:pPr>
      <w:r>
        <w:t xml:space="preserve">We need to be able to run end of year as schools operate on a</w:t>
      </w:r>
      <w:r>
        <w:t xml:space="preserve"> </w:t>
      </w:r>
      <w:r>
        <w:t xml:space="preserve">calendar year rather than financial year.</w:t>
      </w:r>
    </w:p>
    <w:p>
      <w:pPr>
        <w:pStyle w:val="Compact"/>
        <w:numPr>
          <w:numId w:val="1016"/>
          <w:ilvl w:val="0"/>
        </w:numPr>
      </w:pPr>
      <w:r>
        <w:t xml:space="preserve">We also need to be able to do (8a) journals to correct ledger</w:t>
      </w:r>
      <w:r>
        <w:t xml:space="preserve"> </w:t>
      </w:r>
      <w:r>
        <w:t xml:space="preserve">errors, GST errors and (8b) need to be able to make adjustments to</w:t>
      </w:r>
      <w:r>
        <w:t xml:space="preserve"> </w:t>
      </w:r>
      <w:r>
        <w:t xml:space="preserve">the schools budget, also (8c) produce the schools budget prior to</w:t>
      </w:r>
      <w:r>
        <w:t xml:space="preserve"> </w:t>
      </w:r>
      <w:r>
        <w:t xml:space="preserve">presentation and approval of the budget.</w:t>
      </w:r>
    </w:p>
    <w:p>
      <w:pPr>
        <w:pStyle w:val="FirstParagraph"/>
      </w:pPr>
      <w:r>
        <w:t xml:space="preserve">The following three workflows are SIF-based exchanges which realise most</w:t>
      </w:r>
      <w:r>
        <w:t xml:space="preserve"> </w:t>
      </w:r>
      <w:r>
        <w:t xml:space="preserve">of the ACT priority areas:</w:t>
      </w:r>
    </w:p>
    <w:p>
      <w:pPr>
        <w:pStyle w:val="Figure"/>
      </w:pPr>
    </w:p>
    <w:p>
      <w:pPr>
        <w:pStyle w:val="Figure"/>
      </w:pPr>
    </w:p>
    <w:p>
      <w:pPr>
        <w:pStyle w:val="Figure"/>
      </w:pPr>
    </w:p>
    <w:p>
      <w:pPr>
        <w:pStyle w:val="FirstParagraph"/>
      </w:pPr>
      <w:r>
        <w:t xml:space="preserve">The following two workflows represent reporting processes which do not</w:t>
      </w:r>
      <w:r>
        <w:t xml:space="preserve"> </w:t>
      </w:r>
      <w:r>
        <w:t xml:space="preserve">require SIF support, as they are already provided within applications:</w:t>
      </w:r>
    </w:p>
    <w:p>
      <w:pPr>
        <w:pStyle w:val="Figure"/>
      </w:pPr>
    </w:p>
    <w:p>
      <w:pPr>
        <w:pStyle w:val="Figure"/>
      </w:pPr>
    </w:p>
    <w:p>
      <w:pPr>
        <w:pStyle w:val="Heading4"/>
      </w:pPr>
      <w:bookmarkStart w:id="44" w:name="usecase-preconditions-for-assurance"/>
      <w:bookmarkEnd w:id="44"/>
      <w:r>
        <w:t xml:space="preserve">Usecase preconditions for assurance</w:t>
      </w:r>
    </w:p>
    <w:p>
      <w:pPr>
        <w:pStyle w:val="FirstParagraph"/>
      </w:pPr>
      <w:r>
        <w:t xml:space="preserve">None.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e552c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6162eb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796e31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8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Financial_0.6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Financial_0.6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2016-12-06T04:50:40Z</dcterms:created>
  <dcterms:modified xsi:type="dcterms:W3CDTF">2016-12-06T04:50:40Z</dcterms:modified>
</cp:coreProperties>
</file>