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4"/>
      </w:pPr>
      <w:bookmarkStart w:id="21" w:name="introduction"/>
      <w:bookmarkEnd w:id="21"/>
      <w:r>
        <w:t xml:space="preserve">Introduction</w:t>
      </w:r>
    </w:p>
    <w:p>
      <w:pPr>
        <w:pStyle w:val="Heading4"/>
      </w:pPr>
      <w:bookmarkStart w:id="22" w:name="purpose-intended-business-outcomes"/>
      <w:bookmarkEnd w:id="22"/>
      <w:r>
        <w:t xml:space="preserve">Purpose: intended business outcomes</w:t>
      </w:r>
    </w:p>
    <w:p>
      <w:pPr>
        <w:pStyle w:val="FirstParagraph"/>
      </w:pPr>
      <w:r>
        <w:t xml:space="preserve">At an individual level, at school level: To track the extent to which students are meeting their obligation to attend school, and to signal the need for intervention where this is not the case.</w:t>
      </w:r>
    </w:p>
    <w:p>
      <w:pPr>
        <w:pStyle w:val="BodyText"/>
      </w:pPr>
      <w:r>
        <w:t xml:space="preserve">At an aggregate level, at school system and national level: To flag to education providers and government the schools and areas where attendance expectations are not being met, and to signal the need for larger scale intervention in those areas.</w:t>
      </w:r>
    </w:p>
    <w:p>
      <w:pPr>
        <w:pStyle w:val="BodyText"/>
      </w:pPr>
      <w:r>
        <w:t xml:space="preserve">Context: business motivation</w:t>
      </w:r>
    </w:p>
    <w:p>
      <w:pPr>
        <w:pStyle w:val="BodyText"/>
      </w:pPr>
      <w:r>
        <w:t xml:space="preserve">Schools are required to meet their duty of care obligation to students, by ensuring that they are attending school unless there are compelling reasons for them not to.</w:t>
      </w:r>
      <w:r>
        <w:t xml:space="preserve"> </w:t>
      </w:r>
      <w:r>
        <w:t xml:space="preserve">Failure of students to attend school without justification is a major indicator of students being at risk of not completing their education. Government departments have a responsibility to detect such risk and intervene as appropriate, both at an individual level, and at an aggregate level (targeting schools or socioeconomic groups).</w:t>
      </w:r>
      <w:r>
        <w:t xml:space="preserve"> </w:t>
      </w:r>
      <w:r>
        <w:t xml:space="preserve">Tracking Attendance is used for a variety of operational, accountability and strategic purposes, and for educational research.</w:t>
      </w:r>
      <w:r>
        <w:t xml:space="preserve"> </w:t>
      </w:r>
      <w:r>
        <w:t xml:space="preserve">Authorising environment-Legislation, agreement etc</w:t>
      </w:r>
    </w:p>
    <w:p>
      <w:pPr>
        <w:pStyle w:val="BodyText"/>
      </w:pPr>
      <w:r>
        <w:t xml:space="preserve">Education providers in each state and jurisdiction are required by law to determine the whereabouts of each student on each school day. There is also a legal obligation on guardians to ensure that students under their care attend school.</w:t>
      </w:r>
    </w:p>
    <w:p>
      <w:pPr>
        <w:pStyle w:val="BodyText"/>
      </w:pPr>
      <w:r>
        <w:t xml:space="preserve">The National Education Agreement of COAG identifies student attendance rates as a key measure of engagement, and as a performance indicator in the National Education Reform Agreement (NERA), the National Indigenous Reform Agreement (NIRA), the Report on Government Services (ROGS) and the Measurement Framework for Schooling in Australia.</w:t>
      </w:r>
    </w:p>
    <w:p>
      <w:pPr>
        <w:pStyle w:val="BodyText"/>
      </w:pPr>
      <w:r>
        <w:t xml:space="preserve">Compliance with federal reporting requirements is a precondition for ongoing funding support to schools from the government.</w:t>
      </w:r>
      <w:r>
        <w:t xml:space="preserve"> </w:t>
      </w:r>
      <w:r>
        <w:t xml:space="preserve">Governance, oversight: business accountability</w:t>
      </w:r>
    </w:p>
    <w:p>
      <w:pPr>
        <w:pStyle w:val="BodyText"/>
      </w:pPr>
      <w:r>
        <w:t xml:space="preserve">National standards for attendance are prepared by the Student Attendance Data subgroup of ACARA, with representation from all jurisdictions and sectors.</w:t>
      </w:r>
      <w:r>
        <w:br w:type="textWrapping"/>
      </w:r>
      <w:r>
        <w:t xml:space="preserve">Data exchange summary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5f2ede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2016-11-22T05:00:06Z</dcterms:created>
  <dcterms:modified xsi:type="dcterms:W3CDTF">2016-11-22T05:00:06Z</dcterms:modified>
</cp:coreProperties>
</file>