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enrollment"/>
      <w:bookmarkEnd w:id="27"/>
      <w:r>
        <w:t xml:space="preserve">How to implement enrollment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4"/>
          <w:ilvl w:val="1"/>
        </w:numPr>
      </w:pPr>
      <w:r>
        <w:t xml:space="preserve">StudentPersonal</w:t>
      </w:r>
    </w:p>
    <w:p>
      <w:pPr>
        <w:numPr>
          <w:numId w:val="1004"/>
          <w:ilvl w:val="1"/>
        </w:numPr>
      </w:pPr>
      <w:r>
        <w:t xml:space="preserve">SchoolInfo</w:t>
      </w:r>
    </w:p>
    <w:p>
      <w:pPr>
        <w:numPr>
          <w:numId w:val="1004"/>
          <w:ilvl w:val="1"/>
        </w:numPr>
      </w:pPr>
      <w:r>
        <w:t xml:space="preserve">StudentSchoolEnrolment</w:t>
      </w:r>
    </w:p>
    <w:p>
      <w:pPr>
        <w:numPr>
          <w:numId w:val="1004"/>
          <w:ilvl w:val="1"/>
        </w:numPr>
      </w:pPr>
      <w:r>
        <w:t xml:space="preserve">StudentContactPersonal</w:t>
      </w:r>
    </w:p>
    <w:p>
      <w:pPr>
        <w:numPr>
          <w:numId w:val="1004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32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to-school-zone"/>
      <w:bookmarkEnd w:id="36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8" w:name="process---processes-in-third-party-application."/>
      <w:bookmarkEnd w:id="38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9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40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StudentSchoolEnrollment to URL</w:t>
      </w:r>
      <w:r>
        <w:t xml:space="preserve"> </w:t>
      </w:r>
      <w:hyperlink r:id="rId40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StudentContactPersonal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StudentContactRelationship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41" w:name="assurance-selfconfirmation-of-use-case-support"/>
      <w:bookmarkEnd w:id="41"/>
      <w:r>
        <w:t xml:space="preserve">7. Assurance: Self–confirmation of use case support</w:t>
      </w:r>
    </w:p>
    <w:p>
      <w:pPr>
        <w:pStyle w:val="Compact"/>
        <w:numPr>
          <w:numId w:val="1011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42" w:name="more-information"/>
      <w:bookmarkEnd w:id="42"/>
      <w:r>
        <w:t xml:space="preserve">More information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2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2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2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6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6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bded6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b0db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b5d9c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2016-11-22T05:00:15Z</dcterms:created>
  <dcterms:modified xsi:type="dcterms:W3CDTF">2016-11-22T05:00:15Z</dcterms:modified>
</cp:coreProperties>
</file>