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gradebook"/>
      <w:bookmarkEnd w:id="21"/>
      <w:r>
        <w:t xml:space="preserve">How to implement gradebook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securely provide account information to the classroom</w:t>
      </w:r>
      <w:r>
        <w:t xml:space="preserve"> </w:t>
      </w:r>
      <w:r>
        <w:t xml:space="preserve">assessment product of their choice, and also to allow assessment results</w:t>
      </w:r>
      <w:r>
        <w:t xml:space="preserve"> </w:t>
      </w:r>
      <w:r>
        <w:t xml:space="preserve">records to be published to a jurisdictional data hub.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case-description-pre-conditions"/>
      <w:bookmarkEnd w:id="23"/>
      <w:r>
        <w:t xml:space="preserve">2. Usecase description &amp; pre-conditions</w:t>
      </w:r>
    </w:p>
    <w:p>
      <w:pPr>
        <w:pStyle w:val="FirstParagraph"/>
      </w:pPr>
      <w:r>
        <w:t xml:space="preserve">A third party classroom assessment application connects to HITS as a</w:t>
      </w:r>
      <w:r>
        <w:t xml:space="preserve"> </w:t>
      </w:r>
      <w:r>
        <w:t xml:space="preserve">jurisdiction hub, collecting the relevant information and publishing</w:t>
      </w:r>
      <w:r>
        <w:t xml:space="preserve"> </w:t>
      </w:r>
      <w:r>
        <w:t xml:space="preserve">back assessment results records 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The third party vendor is a current supplier of a classroom</w:t>
      </w:r>
      <w:r>
        <w:t xml:space="preserve"> </w:t>
      </w:r>
      <w:r>
        <w:t xml:space="preserve">assessment product in schools or has knowledge of classroom</w:t>
      </w:r>
      <w:r>
        <w:t xml:space="preserve"> </w:t>
      </w:r>
      <w:r>
        <w:t xml:space="preserve">assessment processes in K-12 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HITS.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Data.</w:t>
      </w:r>
    </w:p>
    <w:p>
      <w:pPr>
        <w:pStyle w:val="Compact"/>
        <w:numPr>
          <w:numId w:val="1001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2"/>
          <w:ilvl w:val="1"/>
        </w:numPr>
      </w:pPr>
      <w:r>
        <w:t xml:space="preserve">SchoolInfo</w:t>
      </w:r>
    </w:p>
    <w:p>
      <w:pPr>
        <w:pStyle w:val="Compact"/>
        <w:numPr>
          <w:numId w:val="1002"/>
          <w:ilvl w:val="1"/>
        </w:numPr>
      </w:pPr>
      <w:r>
        <w:t xml:space="preserve">StudentPersonal</w:t>
      </w:r>
    </w:p>
    <w:p>
      <w:pPr>
        <w:pStyle w:val="Compact"/>
        <w:numPr>
          <w:numId w:val="1002"/>
          <w:ilvl w:val="1"/>
        </w:numPr>
      </w:pPr>
      <w:r>
        <w:t xml:space="preserve">StudentSchoolEnrolment</w:t>
      </w:r>
    </w:p>
    <w:p>
      <w:pPr>
        <w:pStyle w:val="Compact"/>
        <w:numPr>
          <w:numId w:val="1002"/>
          <w:ilvl w:val="1"/>
        </w:numPr>
      </w:pPr>
      <w:r>
        <w:t xml:space="preserve">StaffPersonal</w:t>
      </w:r>
    </w:p>
    <w:p>
      <w:pPr>
        <w:pStyle w:val="Compact"/>
        <w:numPr>
          <w:numId w:val="1002"/>
          <w:ilvl w:val="1"/>
        </w:numPr>
      </w:pPr>
      <w:r>
        <w:t xml:space="preserve">StaffAssignment</w:t>
      </w:r>
    </w:p>
    <w:p>
      <w:pPr>
        <w:pStyle w:val="Compact"/>
        <w:numPr>
          <w:numId w:val="1002"/>
          <w:ilvl w:val="1"/>
        </w:numPr>
      </w:pPr>
      <w:r>
        <w:t xml:space="preserve">TeachingGroup</w:t>
      </w:r>
    </w:p>
    <w:p>
      <w:pPr>
        <w:pStyle w:val="Compact"/>
        <w:numPr>
          <w:numId w:val="1002"/>
          <w:ilvl w:val="1"/>
        </w:numPr>
      </w:pPr>
      <w:r>
        <w:t xml:space="preserve">GradingAssignment</w:t>
      </w:r>
    </w:p>
    <w:p>
      <w:pPr>
        <w:pStyle w:val="Compact"/>
        <w:numPr>
          <w:numId w:val="1002"/>
          <w:ilvl w:val="1"/>
        </w:numPr>
      </w:pPr>
      <w:r>
        <w:t xml:space="preserve">GradingAssignmentScore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Some of these objects are proposed for SIF 1.4 and are</w:t>
      </w:r>
      <w:r>
        <w:t xml:space="preserve"> </w:t>
      </w:r>
      <w:r>
        <w:t xml:space="preserve">therefore not in the SIF 1.3 schema.</w:t>
      </w:r>
      <w:r>
        <w:t xml:space="preserve"> </w:t>
      </w:r>
      <w:r>
        <w:t xml:space="preserve">Here is</w:t>
      </w:r>
      <w:r>
        <w:t xml:space="preserve"> </w:t>
      </w:r>
      <w:hyperlink r:id="rId26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and here are</w:t>
      </w:r>
      <w:r>
        <w:t xml:space="preserve"> </w:t>
      </w:r>
      <w:hyperlink r:id="rId27">
        <w:r>
          <w:rPr>
            <w:rStyle w:val="Hyperlink"/>
            <w:b/>
          </w:rPr>
          <w:t xml:space="preserve">draft specifications for the proposed grading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objects</w:t>
        </w:r>
      </w:hyperlink>
      <w:r>
        <w:t xml:space="preserve"> </w:t>
      </w:r>
      <w:r>
        <w:t xml:space="preserve">listed above.)</w:t>
      </w:r>
    </w:p>
    <w:p>
      <w:pPr>
        <w:pStyle w:val="Heading4"/>
      </w:pPr>
      <w:bookmarkStart w:id="28" w:name="usecase-workflow-summary"/>
      <w:bookmarkEnd w:id="28"/>
      <w:r>
        <w:t xml:space="preserve">Usecase workflow summary:</w:t>
      </w:r>
    </w:p>
    <w:p>
      <w:pPr>
        <w:numPr>
          <w:numId w:val="1003"/>
          <w:ilvl w:val="0"/>
        </w:numPr>
      </w:pPr>
      <w:r>
        <w:t xml:space="preserve">Join</w:t>
      </w:r>
    </w:p>
    <w:p>
      <w:pPr>
        <w:numPr>
          <w:numId w:val="1003"/>
          <w:ilvl w:val="0"/>
        </w:numPr>
      </w:pPr>
      <w:r>
        <w:t xml:space="preserve">Consume</w:t>
      </w:r>
    </w:p>
    <w:p>
      <w:pPr>
        <w:numPr>
          <w:numId w:val="1003"/>
          <w:ilvl w:val="0"/>
        </w:numPr>
      </w:pPr>
      <w:r>
        <w:t xml:space="preserve">Process</w:t>
      </w:r>
    </w:p>
    <w:p>
      <w:pPr>
        <w:numPr>
          <w:numId w:val="1003"/>
          <w:ilvl w:val="0"/>
        </w:numPr>
      </w:pPr>
      <w:r>
        <w:t xml:space="preserve">Provide</w:t>
      </w:r>
    </w:p>
    <w:p>
      <w:pPr>
        <w:numPr>
          <w:numId w:val="1003"/>
          <w:ilvl w:val="0"/>
        </w:numPr>
      </w:pPr>
      <w:r>
        <w:t xml:space="preserve">Assurance</w:t>
      </w:r>
    </w:p>
    <w:p>
      <w:pPr>
        <w:pStyle w:val="Heading4"/>
      </w:pPr>
      <w:bookmarkStart w:id="29" w:name="assurance"/>
      <w:bookmarkEnd w:id="29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4"/>
          <w:ilvl w:val="0"/>
        </w:numPr>
      </w:pPr>
      <w:r>
        <w:t xml:space="preserve">Must be able to provide all GradingAssignment records</w:t>
      </w:r>
      <w:r>
        <w:t xml:space="preserve"> </w:t>
      </w:r>
      <w:r>
        <w:t xml:space="preserve">within a School;</w:t>
      </w:r>
    </w:p>
    <w:p>
      <w:pPr>
        <w:numPr>
          <w:numId w:val="1004"/>
          <w:ilvl w:val="0"/>
        </w:numPr>
      </w:pPr>
      <w:r>
        <w:t xml:space="preserve">Must be able provide all GradingAssignmentScore records</w:t>
      </w:r>
      <w:r>
        <w:t xml:space="preserve"> </w:t>
      </w:r>
      <w:r>
        <w:t xml:space="preserve">within a School.</w:t>
      </w:r>
    </w:p>
    <w:p>
      <w:pPr>
        <w:pStyle w:val="FirstParagraph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0" w:name="join-school-zone."/>
      <w:bookmarkEnd w:id="30"/>
      <w:r>
        <w:t xml:space="preserve">3. Join school zone.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5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5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5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1" w:name="consume-base-data-from-hits"/>
      <w:bookmarkEnd w:id="31"/>
      <w:r>
        <w:t xml:space="preserve">4. Consume base data from HITS</w:t>
      </w:r>
    </w:p>
    <w:p>
      <w:pPr>
        <w:pStyle w:val="FirstParagraph"/>
      </w:pPr>
      <w:r>
        <w:t xml:space="preserve">Vendor-facing (pull); HITS represents the Jurisdiction and is the data</w:t>
      </w:r>
      <w:r>
        <w:t xml:space="preserve"> </w:t>
      </w:r>
      <w:r>
        <w:t xml:space="preserve">source for seed information.</w:t>
      </w:r>
    </w:p>
    <w:p>
      <w:pPr>
        <w:pStyle w:val="Compact"/>
        <w:numPr>
          <w:numId w:val="1006"/>
          <w:ilvl w:val="0"/>
        </w:numPr>
      </w:pPr>
      <w:r>
        <w:t xml:space="preserve">Consume:</w:t>
      </w:r>
    </w:p>
    <w:p>
      <w:pPr>
        <w:pStyle w:val="Compact"/>
        <w:numPr>
          <w:numId w:val="1006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StudentPersonal records which are in a</w:t>
      </w:r>
      <w:r>
        <w:t xml:space="preserve"> </w:t>
      </w:r>
      <w:r>
        <w:t xml:space="preserve">StudentSchoolEnrollment relationship with the given school RefId.</w:t>
      </w:r>
    </w:p>
    <w:p>
      <w:pPr>
        <w:pStyle w:val="Compact"/>
        <w:numPr>
          <w:numId w:val="1006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 all StaffPersonal records which are in a StaffAssignment</w:t>
      </w:r>
      <w:r>
        <w:t xml:space="preserve"> </w:t>
      </w:r>
      <w:r>
        <w:t xml:space="preserve">relationship with the given school RefId.</w:t>
      </w:r>
    </w:p>
    <w:p>
      <w:pPr>
        <w:pStyle w:val="Compact"/>
        <w:numPr>
          <w:numId w:val="1006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TeachingGroup objects linked to the given school RefId.</w:t>
      </w:r>
    </w:p>
    <w:p>
      <w:pPr>
        <w:pStyle w:val="Compact"/>
        <w:numPr>
          <w:numId w:val="1006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There are two possible ways to obtain the base information through REST</w:t>
      </w:r>
      <w:r>
        <w:t xml:space="preserve"> </w:t>
      </w:r>
      <w:r>
        <w:t xml:space="preserve">service path calls:</w:t>
      </w:r>
    </w:p>
    <w:p>
      <w:pPr>
        <w:pStyle w:val="Heading4"/>
      </w:pPr>
      <w:bookmarkStart w:id="32" w:name="via-single-data-dump"/>
      <w:bookmarkEnd w:id="32"/>
      <w:r>
        <w:t xml:space="preserve">Via single data dump</w:t>
      </w:r>
    </w:p>
    <w:p>
      <w:pPr>
        <w:pStyle w:val="FirstParagraph"/>
      </w:pPr>
      <w:r>
        <w:t xml:space="preserve">The first assumes that all available students, staff, and classes, in</w:t>
      </w:r>
      <w:r>
        <w:t xml:space="preserve"> </w:t>
      </w:r>
      <w:r>
        <w:t xml:space="preserve">all known schools, will be exposed to the third party application, as a</w:t>
      </w:r>
      <w:r>
        <w:t xml:space="preserve"> </w:t>
      </w:r>
      <w:r>
        <w:t xml:space="preserve">single dump of data. This is the path recommended for HITS assurance, as</w:t>
      </w:r>
      <w:r>
        <w:t xml:space="preserve"> </w:t>
      </w:r>
      <w:r>
        <w:t xml:space="preserve">it is simpler to fetch the data and start generating objects for</w:t>
      </w:r>
      <w:r>
        <w:t xml:space="preserve"> </w:t>
      </w:r>
      <w:r>
        <w:t xml:space="preserve">validation.  (This is useful to prove that the objects can be consumed</w:t>
      </w:r>
      <w:r>
        <w:t xml:space="preserve"> </w:t>
      </w:r>
      <w:r>
        <w:t xml:space="preserve">and processed, as HITS end points contain customised test data.)</w:t>
      </w:r>
    </w:p>
    <w:p>
      <w:pPr>
        <w:pStyle w:val="Compact"/>
        <w:numPr>
          <w:numId w:val="1007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07"/>
          <w:ilvl w:val="0"/>
        </w:numPr>
      </w:pPr>
      <w:r>
        <w:t xml:space="preserve">Get StudentSchoolEnrollments:</w:t>
      </w:r>
      <w:r>
        <w:t xml:space="preserve"> </w:t>
      </w:r>
      <w:r>
        <w:rPr>
          <w:rStyle w:val="VerbatimChar"/>
        </w:rPr>
        <w:t xml:space="preserve">http://.../StudentSchoolEnrollments</w:t>
      </w:r>
    </w:p>
    <w:p>
      <w:pPr>
        <w:pStyle w:val="Compact"/>
        <w:numPr>
          <w:numId w:val="1007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(linked to</w:t>
      </w:r>
      <w:r>
        <w:t xml:space="preserve"> </w:t>
      </w:r>
      <w:r>
        <w:t xml:space="preserve">school via StudentSchoolEnrollment; equivalent to</w:t>
      </w:r>
      <w:r>
        <w:t xml:space="preserve"> </w:t>
      </w:r>
      <w:r>
        <w:rPr>
          <w:rStyle w:val="VerbatimChar"/>
        </w:rPr>
        <w:t xml:space="preserve">http://..../SchoolInfo/{REFID}/StudentSchoolEnrollments/{REFID}/StudentPersonals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t xml:space="preserve">Get StaffAssignments:</w:t>
      </w:r>
      <w:r>
        <w:t xml:space="preserve"> </w:t>
      </w:r>
      <w:r>
        <w:rPr>
          <w:rStyle w:val="VerbatimChar"/>
        </w:rPr>
        <w:t xml:space="preserve">http://.../StaffAssignments</w:t>
      </w:r>
    </w:p>
    <w:p>
      <w:pPr>
        <w:pStyle w:val="Compact"/>
        <w:numPr>
          <w:numId w:val="1007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http://.../StaffPersonals</w:t>
      </w:r>
      <w:r>
        <w:t xml:space="preserve"> </w:t>
      </w:r>
      <w:r>
        <w:t xml:space="preserve">(linked to school via StaffAssignment; equivalent to</w:t>
      </w:r>
      <w:r>
        <w:t xml:space="preserve"> </w:t>
      </w:r>
      <w:r>
        <w:rPr>
          <w:rStyle w:val="VerbatimChar"/>
        </w:rPr>
        <w:t xml:space="preserve">http://.../SchoolInfo/{REFID}/StaffAssignments/{REFID}/StaffPersonals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t xml:space="preserve">Get TeachingGroups:</w:t>
      </w:r>
      <w:r>
        <w:t xml:space="preserve"> </w:t>
      </w:r>
      <w:r>
        <w:rPr>
          <w:rStyle w:val="VerbatimChar"/>
        </w:rPr>
        <w:t xml:space="preserve">http://.../TeachingGroups</w:t>
      </w:r>
      <w:r>
        <w:t xml:space="preserve"> </w:t>
      </w:r>
      <w:r>
        <w:t xml:space="preserve">(linked to a</w:t>
      </w:r>
      <w:r>
        <w:t xml:space="preserve"> </w:t>
      </w:r>
      <w:r>
        <w:t xml:space="preserve">school via SchoolInfoRefId)</w:t>
      </w:r>
    </w:p>
    <w:p>
      <w:pPr>
        <w:pStyle w:val="Heading4"/>
      </w:pPr>
      <w:bookmarkStart w:id="33" w:name="via-teaching-groups"/>
      <w:bookmarkEnd w:id="33"/>
      <w:r>
        <w:t xml:space="preserve">Via teaching groups</w:t>
      </w:r>
    </w:p>
    <w:p>
      <w:pPr>
        <w:pStyle w:val="FirstParagraph"/>
      </w:pPr>
      <w:r>
        <w:t xml:space="preserve">The second assumes, more realistically, that only certain</w:t>
      </w:r>
      <w:r>
        <w:t xml:space="preserve"> </w:t>
      </w:r>
      <w:r>
        <w:t xml:space="preserve">teaching groups will be exposed to the application, and that any staff</w:t>
      </w:r>
      <w:r>
        <w:t xml:space="preserve"> </w:t>
      </w:r>
      <w:r>
        <w:t xml:space="preserve">and student records exposed should be accessed via their teaching group.</w:t>
      </w:r>
      <w:r>
        <w:t xml:space="preserve"> </w:t>
      </w:r>
      <w:r>
        <w:t xml:space="preserve">You do not need to obtain data this way for HITS assurance: you will end</w:t>
      </w:r>
      <w:r>
        <w:t xml:space="preserve"> </w:t>
      </w:r>
      <w:r>
        <w:t xml:space="preserve">up getting the same data, since at this stage endpoints are customised</w:t>
      </w:r>
      <w:r>
        <w:t xml:space="preserve"> </w:t>
      </w:r>
      <w:r>
        <w:t xml:space="preserve">for the user. But you should be prepared to consume data from SIF APIs</w:t>
      </w:r>
      <w:r>
        <w:t xml:space="preserve"> </w:t>
      </w:r>
      <w:r>
        <w:t xml:space="preserve">in the following way for production environment where the end point</w:t>
      </w:r>
      <w:r>
        <w:t xml:space="preserve"> </w:t>
      </w:r>
      <w:r>
        <w:t xml:space="preserve">contains more than one school's data:</w:t>
      </w:r>
    </w:p>
    <w:p>
      <w:pPr>
        <w:pStyle w:val="Compact"/>
        <w:numPr>
          <w:numId w:val="1008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08"/>
          <w:ilvl w:val="0"/>
        </w:numPr>
      </w:pPr>
      <w:r>
        <w:t xml:space="preserve">Get TeachingGroups:</w:t>
      </w:r>
      <w:r>
        <w:t xml:space="preserve"> </w:t>
      </w:r>
      <w:r>
        <w:rPr>
          <w:rStyle w:val="VerbatimChar"/>
        </w:rPr>
        <w:t xml:space="preserve">http://.../TeachingGroups</w:t>
      </w:r>
    </w:p>
    <w:p>
      <w:pPr>
        <w:pStyle w:val="Compact"/>
        <w:numPr>
          <w:numId w:val="1008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http://.../TeachingGroups/{REFID}/StudentPersonals</w:t>
      </w:r>
      <w:r>
        <w:t xml:space="preserve"> </w:t>
      </w:r>
      <w:r>
        <w:t xml:space="preserve">(Calls to</w:t>
      </w:r>
      <w:r>
        <w:t xml:space="preserve"> </w:t>
      </w:r>
      <w:r>
        <w:t xml:space="preserve">StudentSchoolEnrollment are unnecessary; note that the same student</w:t>
      </w:r>
      <w:r>
        <w:t xml:space="preserve"> </w:t>
      </w:r>
      <w:r>
        <w:t xml:space="preserve">record may appear under two different teaching groups)</w:t>
      </w:r>
    </w:p>
    <w:p>
      <w:pPr>
        <w:pStyle w:val="Compact"/>
        <w:numPr>
          <w:numId w:val="1008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http://.../TeachingGroups/{REFID}/StaffPersonals</w:t>
      </w:r>
      <w:r>
        <w:t xml:space="preserve"> </w:t>
      </w:r>
      <w:r>
        <w:t xml:space="preserve">(Calls to StaffAssignment are unnecessary; note that the same</w:t>
      </w:r>
      <w:r>
        <w:t xml:space="preserve"> </w:t>
      </w:r>
      <w:r>
        <w:t xml:space="preserve">staff record may appear under two different teaching groups. )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4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5" w:name="processes-in-third-party-application"/>
      <w:bookmarkEnd w:id="35"/>
      <w:r>
        <w:t xml:space="preserve">5. Processes in third party application</w:t>
      </w:r>
    </w:p>
    <w:p>
      <w:pPr>
        <w:pStyle w:val="FirstParagraph"/>
      </w:pPr>
      <w:r>
        <w:t xml:space="preserve">The third party app uses the consumed data to produce descriptions of</w:t>
      </w:r>
      <w:r>
        <w:t xml:space="preserve"> </w:t>
      </w:r>
      <w:r>
        <w:t xml:space="preserve">classroom assignments, and records of assignment results. The definition</w:t>
      </w:r>
      <w:r>
        <w:t xml:space="preserve"> </w:t>
      </w:r>
      <w:r>
        <w:t xml:space="preserve">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9"/>
          <w:ilvl w:val="0"/>
        </w:numPr>
      </w:pPr>
      <w:r>
        <w:t xml:space="preserve">Third party app processes information and generates accounts for</w:t>
      </w:r>
      <w:r>
        <w:t xml:space="preserve"> </w:t>
      </w:r>
      <w:r>
        <w:t xml:space="preserve">staff and students, organised by teaching group.</w:t>
      </w:r>
    </w:p>
    <w:p>
      <w:pPr>
        <w:pStyle w:val="Compact"/>
        <w:numPr>
          <w:numId w:val="1009"/>
          <w:ilvl w:val="0"/>
        </w:numPr>
      </w:pPr>
      <w:r>
        <w:t xml:space="preserve">Staff uses third party app to create classroom assessment tasks.</w:t>
      </w:r>
    </w:p>
    <w:p>
      <w:pPr>
        <w:pStyle w:val="Compact"/>
        <w:numPr>
          <w:numId w:val="1009"/>
          <w:ilvl w:val="0"/>
        </w:numPr>
      </w:pPr>
      <w:r>
        <w:t xml:space="preserve">Staff uses third party app to assign classroom assessment</w:t>
      </w:r>
      <w:r>
        <w:t xml:space="preserve"> </w:t>
      </w:r>
      <w:r>
        <w:t xml:space="preserve">tasks to students in a teaching group.</w:t>
      </w:r>
    </w:p>
    <w:p>
      <w:pPr>
        <w:pStyle w:val="Compact"/>
        <w:numPr>
          <w:numId w:val="1009"/>
          <w:ilvl w:val="0"/>
        </w:numPr>
      </w:pPr>
      <w:r>
        <w:t xml:space="preserve">Students use third party app to perform classroom</w:t>
      </w:r>
      <w:r>
        <w:t xml:space="preserve"> </w:t>
      </w:r>
      <w:r>
        <w:t xml:space="preserve">assessment tasks.</w:t>
      </w:r>
    </w:p>
    <w:p>
      <w:pPr>
        <w:pStyle w:val="Compact"/>
        <w:numPr>
          <w:numId w:val="1009"/>
          <w:ilvl w:val="0"/>
        </w:numPr>
      </w:pPr>
      <w:r>
        <w:t xml:space="preserve">Third party app creates descriptions of the classroom</w:t>
      </w:r>
      <w:r>
        <w:t xml:space="preserve"> </w:t>
      </w:r>
      <w:r>
        <w:t xml:space="preserve">assessment tasks created.</w:t>
      </w:r>
    </w:p>
    <w:p>
      <w:pPr>
        <w:pStyle w:val="Compact"/>
        <w:numPr>
          <w:numId w:val="1009"/>
          <w:ilvl w:val="0"/>
        </w:numPr>
      </w:pPr>
      <w:r>
        <w:t xml:space="preserve">Third party app creates descriptions of the results that</w:t>
      </w:r>
      <w:r>
        <w:t xml:space="preserve"> </w:t>
      </w:r>
      <w:r>
        <w:t xml:space="preserve">students achieved when performing the classroom assessment</w:t>
      </w:r>
      <w:r>
        <w:t xml:space="preserve"> </w:t>
      </w:r>
      <w:r>
        <w:t xml:space="preserve">tasks.</w:t>
      </w:r>
    </w:p>
    <w:p>
      <w:pPr>
        <w:pStyle w:val="Heading3"/>
      </w:pPr>
      <w:bookmarkStart w:id="36" w:name="provide-authoritative-data"/>
      <w:bookmarkEnd w:id="36"/>
      <w:r>
        <w:t xml:space="preserve">6. Provide authoritative data</w:t>
      </w:r>
    </w:p>
    <w:p>
      <w:pPr>
        <w:pStyle w:val="FirstParagraph"/>
      </w:pPr>
      <w:r>
        <w:t xml:space="preserve">Prior to providing, the third party expresses return information in SIF/XML:</w:t>
      </w:r>
    </w:p>
    <w:p>
      <w:pPr>
        <w:pStyle w:val="Compact"/>
        <w:numPr>
          <w:numId w:val="1010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10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10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10"/>
          <w:ilvl w:val="0"/>
        </w:numPr>
      </w:pPr>
      <w:r>
        <w:t xml:space="preserve">The third party app posts the following back to HITS;</w:t>
      </w:r>
    </w:p>
    <w:p>
      <w:pPr>
        <w:pStyle w:val="Compact"/>
        <w:numPr>
          <w:numId w:val="1011"/>
          <w:ilvl w:val="1"/>
        </w:numPr>
      </w:pPr>
      <w:r>
        <w:t xml:space="preserve">GradingAssignment to URL</w:t>
      </w:r>
      <w:r>
        <w:t xml:space="preserve"> </w:t>
      </w:r>
      <w:r>
        <w:rPr>
          <w:rStyle w:val="VerbatimChar"/>
        </w:rPr>
        <w:t xml:space="preserve">http://.../GradingAssignments</w:t>
      </w:r>
    </w:p>
    <w:p>
      <w:pPr>
        <w:pStyle w:val="Compact"/>
        <w:numPr>
          <w:numId w:val="1011"/>
          <w:ilvl w:val="1"/>
        </w:numPr>
      </w:pPr>
      <w:r>
        <w:t xml:space="preserve">GradingAssignmentScore to URL</w:t>
      </w:r>
      <w:r>
        <w:t xml:space="preserve"> </w:t>
      </w:r>
      <w:r>
        <w:rPr>
          <w:rStyle w:val="VerbatimChar"/>
        </w:rPr>
        <w:t xml:space="preserve">http://../GradingAssignmentScores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The Activity object could be used instead of, or alongside,</w:t>
      </w:r>
      <w:r>
        <w:t xml:space="preserve"> </w:t>
      </w:r>
      <w:r>
        <w:t xml:space="preserve">the GradingAssignment object to describe a classroom task, and</w:t>
      </w:r>
      <w:r>
        <w:t xml:space="preserve"> </w:t>
      </w:r>
      <w:r>
        <w:t xml:space="preserve">gives much more information about the pedagogical context of the task.</w:t>
      </w:r>
      <w:r>
        <w:t xml:space="preserve"> </w:t>
      </w:r>
      <w:r>
        <w:t xml:space="preserve">However although Activity/Points provides the possible score of the</w:t>
      </w:r>
      <w:r>
        <w:t xml:space="preserve"> </w:t>
      </w:r>
      <w:r>
        <w:t xml:space="preserve">task, SIF does not contain an object giving individual students'</w:t>
      </w:r>
      <w:r>
        <w:t xml:space="preserve"> </w:t>
      </w:r>
      <w:r>
        <w:t xml:space="preserve">performance against the activity.)</w:t>
      </w:r>
      <w:r>
        <w:t xml:space="preserve"> </w:t>
      </w:r>
      <w:r>
        <w:t xml:space="preserve"> </w:t>
      </w:r>
    </w:p>
    <w:p>
      <w:pPr>
        <w:pStyle w:val="Heading3"/>
      </w:pPr>
      <w:bookmarkStart w:id="37" w:name="self-confirm-usecase-support"/>
      <w:bookmarkEnd w:id="37"/>
      <w:r>
        <w:t xml:space="preserve">7. Self-confirm usecase support</w:t>
      </w:r>
    </w:p>
    <w:p>
      <w:pPr>
        <w:pStyle w:val="Compact"/>
        <w:numPr>
          <w:numId w:val="1012"/>
          <w:ilvl w:val="0"/>
        </w:numPr>
      </w:pPr>
      <w:r>
        <w:t xml:space="preserve">Validate GradingAssignment records</w:t>
      </w:r>
    </w:p>
    <w:p>
      <w:pPr>
        <w:pStyle w:val="Compact"/>
        <w:numPr>
          <w:numId w:val="1012"/>
          <w:ilvl w:val="0"/>
        </w:numPr>
      </w:pPr>
      <w:r>
        <w:t xml:space="preserve">Validate GradingAssignmentScore records</w:t>
      </w:r>
    </w:p>
    <w:p>
      <w:pPr>
        <w:pStyle w:val="Heading3"/>
      </w:pPr>
      <w:bookmarkStart w:id="38" w:name="more-information"/>
      <w:bookmarkEnd w:id="38"/>
      <w:r>
        <w:t xml:space="preserve">More information</w:t>
      </w:r>
    </w:p>
    <w:p>
      <w:pPr>
        <w:pStyle w:val="Heading4"/>
      </w:pPr>
      <w:bookmarkStart w:id="39" w:name="what-business-problem-does-this-usecase-address"/>
      <w:bookmarkEnd w:id="39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3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3"/>
          <w:ilvl w:val="0"/>
        </w:numPr>
      </w:pPr>
      <w:r>
        <w:t xml:space="preserve">Allows schools to use the classroom assessment product of their</w:t>
      </w:r>
      <w:r>
        <w:t xml:space="preserve"> </w:t>
      </w:r>
      <w:r>
        <w:t xml:space="preserve">choice.</w:t>
      </w:r>
    </w:p>
    <w:p>
      <w:pPr>
        <w:pStyle w:val="Compact"/>
        <w:numPr>
          <w:numId w:val="1013"/>
          <w:ilvl w:val="0"/>
        </w:numPr>
      </w:pPr>
      <w:r>
        <w:t xml:space="preserve">Allows third party classroom assessment apps automated</w:t>
      </w:r>
      <w:r>
        <w:t xml:space="preserve"> </w:t>
      </w:r>
      <w:r>
        <w:t xml:space="preserve">access to base information, including class membership.</w:t>
      </w:r>
    </w:p>
    <w:p>
      <w:pPr>
        <w:pStyle w:val="Compact"/>
        <w:numPr>
          <w:numId w:val="1013"/>
          <w:ilvl w:val="0"/>
        </w:numPr>
      </w:pPr>
      <w:r>
        <w:t xml:space="preserve">Allows third party classroom assessment apps to publish</w:t>
      </w:r>
      <w:r>
        <w:t xml:space="preserve"> </w:t>
      </w:r>
      <w:r>
        <w:t xml:space="preserve">assessment results records to a jurisdictional hub.</w:t>
      </w:r>
    </w:p>
    <w:p>
      <w:pPr>
        <w:pStyle w:val="FirstParagraph"/>
      </w:pPr>
      <w:r>
        <w:t xml:space="preserve">Schools currently use third-party classroom</w:t>
      </w:r>
      <w:r>
        <w:t xml:space="preserve"> </w:t>
      </w:r>
      <w:r>
        <w:t xml:space="preserve">assessment locally for formative assessment. The seed information</w:t>
      </w:r>
      <w:r>
        <w:t xml:space="preserve"> </w:t>
      </w:r>
      <w:r>
        <w:t xml:space="preserve">for generating accounts on third party apps is held</w:t>
      </w:r>
      <w:r>
        <w:t xml:space="preserve"> </w:t>
      </w:r>
      <w:r>
        <w:t xml:space="preserve">in the School's Student Information System (SIS), and is</w:t>
      </w:r>
      <w:r>
        <w:t xml:space="preserve"> </w:t>
      </w:r>
      <w:r>
        <w:t xml:space="preserve">usually exported locally to the third party apps with little</w:t>
      </w:r>
      <w:r>
        <w:t xml:space="preserve"> </w:t>
      </w:r>
      <w:r>
        <w:t xml:space="preserve">security. There is an added complication: both student and class membership data are required</w:t>
      </w:r>
      <w:r>
        <w:t xml:space="preserve"> </w:t>
      </w:r>
      <w:r>
        <w:t xml:space="preserve">as seed information, since</w:t>
      </w:r>
      <w:r>
        <w:t xml:space="preserve"> </w:t>
      </w:r>
      <w:r>
        <w:t xml:space="preserve">classroom assessment is typically assigned to a class cohort by the</w:t>
      </w:r>
      <w:r>
        <w:t xml:space="preserve"> </w:t>
      </w:r>
      <w:r>
        <w:t xml:space="preserve">class teacher. Class memberships can change frequently, imposing an</w:t>
      </w:r>
      <w:r>
        <w:t xml:space="preserve"> </w:t>
      </w:r>
      <w:r>
        <w:t xml:space="preserve">additional burden on teachers who must manually update the third-party tools.</w:t>
      </w:r>
    </w:p>
    <w:p>
      <w:pPr>
        <w:pStyle w:val="BodyText"/>
      </w:pPr>
      <w:r>
        <w:t xml:space="preserve">As jurisdictions centralise systems, third party vendors have the</w:t>
      </w:r>
      <w:r>
        <w:t xml:space="preserve"> </w:t>
      </w:r>
      <w:r>
        <w:t xml:space="preserve">opportunity to seed their product/s from a quality-assured data hub</w:t>
      </w:r>
      <w:r>
        <w:t xml:space="preserve"> </w:t>
      </w:r>
      <w:r>
        <w:t xml:space="preserve">using automated feeds, rather than manual updates from the school. This</w:t>
      </w:r>
      <w:r>
        <w:t xml:space="preserve"> </w:t>
      </w:r>
      <w:r>
        <w:t xml:space="preserve">allows changes such as new enrolments and changes in class membership to</w:t>
      </w:r>
      <w:r>
        <w:t xml:space="preserve"> </w:t>
      </w:r>
      <w:r>
        <w:t xml:space="preserve">be reflected promptly and accurately in the third party applications.</w:t>
      </w:r>
      <w:r>
        <w:t xml:space="preserve"> </w:t>
      </w:r>
      <w:r>
        <w:t xml:space="preserve">Third party vendors are also expected to provide information directly back</w:t>
      </w:r>
      <w:r>
        <w:t xml:space="preserve"> </w:t>
      </w:r>
      <w:r>
        <w:t xml:space="preserve">to the centralised system through an automated feed, rather than having</w:t>
      </w:r>
      <w:r>
        <w:t xml:space="preserve"> </w:t>
      </w:r>
      <w:r>
        <w:t xml:space="preserve">the information mediated through the school. This enables not only more</w:t>
      </w:r>
      <w:r>
        <w:t xml:space="preserve"> </w:t>
      </w:r>
      <w:r>
        <w:t xml:space="preserve">secure and efficient transfer of information, but also the possibility</w:t>
      </w:r>
      <w:r>
        <w:t xml:space="preserve"> </w:t>
      </w:r>
      <w:r>
        <w:t xml:space="preserve">of extracting business intelligence across the assessment results of</w:t>
      </w:r>
      <w:r>
        <w:t xml:space="preserve"> </w:t>
      </w:r>
      <w:r>
        <w:t xml:space="preserve">multiple schools stored in the same hub. </w:t>
      </w:r>
    </w:p>
    <w:p>
      <w:pPr>
        <w:pStyle w:val="BodyText"/>
      </w:pPr>
      <w:r>
        <w:t xml:space="preserve">This use case shows how third party classroom assessment vendors can</w:t>
      </w:r>
      <w:r>
        <w:t xml:space="preserve"> </w:t>
      </w:r>
      <w:r>
        <w:t xml:space="preserve">connect to a centralised data hub to securely access to the required</w:t>
      </w:r>
      <w:r>
        <w:t xml:space="preserve"> </w:t>
      </w:r>
      <w:r>
        <w:t xml:space="preserve">information and publish back the assessment result records to the</w:t>
      </w:r>
      <w:r>
        <w:t xml:space="preserve"> </w:t>
      </w:r>
      <w:r>
        <w:t xml:space="preserve">centralised data hub.</w:t>
      </w:r>
    </w:p>
    <w:p>
      <w:pPr>
        <w:pStyle w:val="Heading4"/>
      </w:pPr>
      <w:bookmarkStart w:id="40" w:name="usecase-preconditions-for-assurance"/>
      <w:bookmarkEnd w:id="40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 met:</w:t>
      </w:r>
    </w:p>
    <w:p>
      <w:pPr>
        <w:pStyle w:val="Compact"/>
        <w:numPr>
          <w:numId w:val="1014"/>
          <w:ilvl w:val="0"/>
        </w:numPr>
      </w:pPr>
      <w:r>
        <w:t xml:space="preserve">Any SIF object published by the app must</w:t>
      </w:r>
      <w:r>
        <w:t xml:space="preserve"> </w:t>
      </w:r>
      <w:r>
        <w:t xml:space="preserve">be valid against the SIF AU 1.4 schema. Note that the</w:t>
      </w:r>
      <w:r>
        <w:t xml:space="preserve"> </w:t>
      </w:r>
      <w:r>
        <w:t xml:space="preserve">GradingAssignment and GradingAssignmentScore objects are proposed</w:t>
      </w:r>
      <w:r>
        <w:t xml:space="preserve"> </w:t>
      </w:r>
      <w:r>
        <w:t xml:space="preserve">for inclusion in SIF  AU1.4.</w:t>
      </w:r>
    </w:p>
    <w:p>
      <w:pPr>
        <w:pStyle w:val="Compact"/>
        <w:numPr>
          <w:numId w:val="1014"/>
          <w:ilvl w:val="0"/>
        </w:numPr>
      </w:pPr>
      <w:r>
        <w:t xml:space="preserve">All SIF objects posted by the classroom</w:t>
      </w:r>
      <w:r>
        <w:t xml:space="preserve"> </w:t>
      </w:r>
      <w:r>
        <w:t xml:space="preserve">assessment app must have referential integrity. Any RefId contained</w:t>
      </w:r>
      <w:r>
        <w:t xml:space="preserve"> </w:t>
      </w:r>
      <w:r>
        <w:t xml:space="preserve">in the SIF object must refer either to a SIF object provisioned to</w:t>
      </w:r>
      <w:r>
        <w:t xml:space="preserve"> </w:t>
      </w:r>
      <w:r>
        <w:t xml:space="preserve">the app (e.g. SchoolInfo, StudentPersonal, StaffPersonal,</w:t>
      </w:r>
      <w:r>
        <w:t xml:space="preserve"> </w:t>
      </w:r>
      <w:r>
        <w:t xml:space="preserve">TeachingGroup), or to a SIF object that has also been posted by the</w:t>
      </w:r>
      <w:r>
        <w:t xml:space="preserve"> </w:t>
      </w:r>
      <w:r>
        <w:t xml:space="preserve">app to the zone (e.g. GradingAssignmentScore referring to GradingAssignment).This condition</w:t>
      </w:r>
      <w:r>
        <w:t xml:space="preserve"> </w:t>
      </w:r>
      <w:r>
        <w:t xml:space="preserve">applies recursively to all additional SIF objects posted by the app.</w:t>
      </w:r>
      <w:r>
        <w:t xml:space="preserve"> </w:t>
      </w:r>
      <w:r>
        <w:t xml:space="preserve">The test of this condition is done only when the app indicates that</w:t>
      </w:r>
      <w:r>
        <w:t xml:space="preserve"> </w:t>
      </w:r>
      <w:r>
        <w:t xml:space="preserve">it has finished publishing to the zone the objects required for</w:t>
      </w:r>
      <w:r>
        <w:t xml:space="preserve"> </w:t>
      </w:r>
      <w:r>
        <w:t xml:space="preserve">the test.</w:t>
      </w:r>
    </w:p>
    <w:p>
      <w:pPr>
        <w:pStyle w:val="FirstParagraph"/>
      </w:pPr>
      <w:r>
        <w:t xml:space="preserve">For the purposes of validation, a new GradingAssignment object is</w:t>
      </w:r>
      <w:r>
        <w:t xml:space="preserve"> </w:t>
      </w:r>
      <w:r>
        <w:t xml:space="preserve">well-formed if:</w:t>
      </w:r>
    </w:p>
    <w:p>
      <w:pPr>
        <w:pStyle w:val="Compact"/>
        <w:numPr>
          <w:numId w:val="1016"/>
          <w:ilvl w:val="1"/>
        </w:numPr>
      </w:pPr>
      <w:r>
        <w:t xml:space="preserve">All mandatory elements of the GradingAssignment object are</w:t>
      </w:r>
      <w:r>
        <w:t xml:space="preserve"> </w:t>
      </w:r>
      <w:r>
        <w:t xml:space="preserve">provided</w:t>
      </w:r>
    </w:p>
    <w:p>
      <w:pPr>
        <w:pStyle w:val="Compact"/>
        <w:numPr>
          <w:numId w:val="1016"/>
          <w:ilvl w:val="1"/>
        </w:numPr>
      </w:pPr>
      <w:r>
        <w:t xml:space="preserve">The TeachingGroupRefId element is provided</w:t>
      </w:r>
    </w:p>
    <w:p>
      <w:pPr>
        <w:pStyle w:val="Compact"/>
        <w:numPr>
          <w:numId w:val="1016"/>
          <w:ilvl w:val="1"/>
        </w:numPr>
      </w:pPr>
      <w:r>
        <w:t xml:space="preserve">The SchoolInfoRefId element is provided</w:t>
      </w:r>
    </w:p>
    <w:p>
      <w:pPr>
        <w:pStyle w:val="FirstParagraph"/>
      </w:pPr>
      <w:r>
        <w:t xml:space="preserve">For the purposes of validation, a new GradingAssignmentScore object is</w:t>
      </w:r>
      <w:r>
        <w:t xml:space="preserve"> </w:t>
      </w:r>
      <w:r>
        <w:t xml:space="preserve">well-formed if it satisfies the following requirements:</w:t>
      </w:r>
    </w:p>
    <w:p>
      <w:pPr>
        <w:pStyle w:val="Compact"/>
        <w:numPr>
          <w:numId w:val="1017"/>
          <w:ilvl w:val="0"/>
        </w:numPr>
      </w:pPr>
      <w:r>
        <w:t xml:space="preserve">All mandatory elements of the GradingAssignmentScore object are</w:t>
      </w:r>
      <w:r>
        <w:t xml:space="preserve"> </w:t>
      </w:r>
      <w:r>
        <w:t xml:space="preserve">provided.</w:t>
      </w:r>
    </w:p>
    <w:p>
      <w:pPr>
        <w:pStyle w:val="Compact"/>
        <w:numPr>
          <w:numId w:val="1017"/>
          <w:ilvl w:val="0"/>
        </w:numPr>
      </w:pPr>
      <w:r>
        <w:t xml:space="preserve">The StudentPersonalRefId element is provided.</w:t>
      </w:r>
    </w:p>
    <w:p>
      <w:pPr>
        <w:pStyle w:val="Compact"/>
        <w:numPr>
          <w:numId w:val="1017"/>
          <w:ilvl w:val="0"/>
        </w:numPr>
      </w:pPr>
      <w:r>
        <w:t xml:space="preserve">The TeachingGroupRefId element is provided.</w:t>
      </w:r>
    </w:p>
    <w:p>
      <w:pPr>
        <w:pStyle w:val="Compact"/>
        <w:numPr>
          <w:numId w:val="1017"/>
          <w:ilvl w:val="0"/>
        </w:numPr>
      </w:pPr>
      <w:r>
        <w:t xml:space="preserve">The SchoolInfoRefId element is provided.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a36486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d06cb1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283967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4" Target=".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GradingAssignment_0.4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.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GradingAssignment_0.4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2016-10-06T02:36:42Z</dcterms:created>
  <dcterms:modified xsi:type="dcterms:W3CDTF">2016-10-06T02:36:42Z</dcterms:modified>
</cp:coreProperties>
</file>