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1" w:name="Xc81c5743c46a9ec32b201d9e8da3facbf859432"/>
    <w:p>
      <w:pPr>
        <w:pStyle w:val="Heading1"/>
      </w:pPr>
      <w:r>
        <w:t xml:space="preserve">Hyper-Entities: Consensus Highlights Report</w:t>
      </w:r>
    </w:p>
    <w:p>
      <w:pPr>
        <w:pStyle w:val="FirstParagraph"/>
      </w:pPr>
      <w:r>
        <w:t xml:space="preserve">Linda Petrini &amp; Beatrice Erkers</w:t>
      </w:r>
      <w:r>
        <w:br/>
      </w:r>
      <w:r>
        <w:t xml:space="preserve">Foresight Institute</w:t>
      </w:r>
      <w:r>
        <w:br/>
      </w:r>
      <w:r>
        <w:t xml:space="preserve">February 2026</w:t>
      </w:r>
    </w:p>
    <w:p>
      <w:r>
        <w:pict>
          <v:rect style="width:0;height:1.5pt" o:hralign="center" o:hrstd="t" o:hr="t"/>
        </w:pict>
      </w:r>
    </w:p>
    <w:bookmarkStart w:id="22" w:name="executive-summary"/>
    <w:p>
      <w:pPr>
        <w:pStyle w:val="Heading2"/>
      </w:pPr>
      <w:r>
        <w:t xml:space="preserve">Executive Summary</w:t>
      </w:r>
    </w:p>
    <w:p>
      <w:pPr>
        <w:pStyle w:val="FirstParagraph"/>
      </w:pPr>
      <w:r>
        <w:rPr>
          <w:b/>
          <w:bCs/>
        </w:rPr>
        <w:t xml:space="preserve">What are hyper-entities?</w:t>
      </w:r>
      <w:r>
        <w:t xml:space="preserve"> </w:t>
      </w:r>
      <w:r>
        <w:t xml:space="preserve">A hyper-entity is a coherent future system that doesn’t exist yet but is already reshaping the present. Think of</w:t>
      </w:r>
      <w:r>
        <w:t xml:space="preserve"> </w:t>
      </w:r>
      <w:hyperlink r:id="rId9">
        <w:r>
          <w:rPr>
            <w:rStyle w:val="Hyperlink"/>
          </w:rPr>
          <w:t xml:space="preserve">fusion energy</w:t>
        </w:r>
      </w:hyperlink>
      <w:r>
        <w:t xml:space="preserve"> </w:t>
      </w:r>
      <w:r>
        <w:t xml:space="preserve">in the 1970s, or the</w:t>
      </w:r>
      <w:r>
        <w:t xml:space="preserve"> </w:t>
      </w:r>
      <w:hyperlink r:id="rId10">
        <w:r>
          <w:rPr>
            <w:rStyle w:val="Hyperlink"/>
          </w:rPr>
          <w:t xml:space="preserve">Human Genome Project</w:t>
        </w:r>
      </w:hyperlink>
      <w:r>
        <w:t xml:space="preserve"> </w:t>
      </w:r>
      <w:r>
        <w:t xml:space="preserve">in 1990 — ambitious technological systems that reorganized billions in investment, reshaped research priorities, and created new institutions years before producing their first breakthrough. They matter because they reveal where coordination is forming around shared technological futures, and because getting the</w:t>
      </w:r>
      <w:r>
        <w:t xml:space="preserve"> </w:t>
      </w:r>
      <w:r>
        <w:rPr>
          <w:i/>
          <w:iCs/>
        </w:rPr>
        <w:t xml:space="preserve">right</w:t>
      </w:r>
      <w:r>
        <w:t xml:space="preserve"> </w:t>
      </w:r>
      <w:r>
        <w:t xml:space="preserve">systems built — not just the loudest or best-funded — could determine whether emerging technologies concentrate or distribute power. This report identifies 39 such entities that the</w:t>
      </w:r>
      <w:r>
        <w:t xml:space="preserve"> </w:t>
      </w:r>
      <w:hyperlink r:id="rId11">
        <w:r>
          <w:rPr>
            <w:rStyle w:val="Hyperlink"/>
          </w:rPr>
          <w:t xml:space="preserve">Foresight Institute</w:t>
        </w:r>
      </w:hyperlink>
      <w:r>
        <w:t xml:space="preserve"> </w:t>
      </w:r>
      <w:r>
        <w:t xml:space="preserve">research community believes deserve attention, investment, and governance focus today.</w:t>
      </w:r>
    </w:p>
    <w:p>
      <w:pPr>
        <w:pStyle w:val="BodyText"/>
      </w:pPr>
      <w:r>
        <w:rPr>
          <w:b/>
          <w:bCs/>
        </w:rPr>
        <w:t xml:space="preserve">What we did and why.</w:t>
      </w:r>
      <w:r>
        <w:t xml:space="preserve"> </w:t>
      </w:r>
      <w:r>
        <w:t xml:space="preserve">We analyzed 108 documents — 65 podcast transcripts, 40</w:t>
      </w:r>
      <w:r>
        <w:t xml:space="preserve"> </w:t>
      </w:r>
      <w:r>
        <w:t xml:space="preserve">“world gallery”</w:t>
      </w:r>
      <w:r>
        <w:t xml:space="preserve"> </w:t>
      </w:r>
      <w:r>
        <w:t xml:space="preserve">scenario submissions, and essays on AI pathways and existential hope — from Foresight’s research network. An AI pipeline extracted over 300 candidate systems, which we scored across three dimensions: Does this qualify as a hyper-entity? What’s its potential technology impact? How well does it align with</w:t>
      </w:r>
      <w:r>
        <w:t xml:space="preserve"> </w:t>
      </w:r>
      <w:hyperlink r:id="rId12">
        <w:r>
          <w:rPr>
            <w:rStyle w:val="Hyperlink"/>
          </w:rPr>
          <w:t xml:space="preserve">d/acc values</w:t>
        </w:r>
      </w:hyperlink>
      <w:r>
        <w:t xml:space="preserve"> </w:t>
      </w:r>
      <w:r>
        <w:t xml:space="preserve">(democratic, decentralized, defensive, differential acceleration)? Two independent reviewers curated these to 39 consensus entities. We undertook this work because AGI hype is crowding out critical infrastructure that matters just as much for human flourishing — from new manufacturing paradigms to truth verification systems to governance protocols that could prevent technological lock-in.</w:t>
      </w:r>
    </w:p>
    <w:p>
      <w:pPr>
        <w:pStyle w:val="BodyText"/>
      </w:pPr>
      <w:r>
        <w:rPr>
          <w:b/>
          <w:bCs/>
        </w:rPr>
        <w:t xml:space="preserve">What we found: A landscape of overlooked infrastructure.</w:t>
      </w:r>
      <w:r>
        <w:t xml:space="preserve"> </w:t>
      </w:r>
      <w:r>
        <w:t xml:space="preserve">The scatter plot reveals 29 entities positioned by values alignment and technology impact. The upper-right quadrant — high impact</w:t>
      </w:r>
      <w:r>
        <w:t xml:space="preserve"> </w:t>
      </w:r>
      <w:r>
        <w:rPr>
          <w:i/>
          <w:iCs/>
        </w:rPr>
        <w:t xml:space="preserve">and</w:t>
      </w:r>
      <w:r>
        <w:t xml:space="preserve"> </w:t>
      </w:r>
      <w:r>
        <w:t xml:space="preserve">strong d/acc alignment — contains the</w:t>
      </w:r>
      <w:r>
        <w:t xml:space="preserve"> </w:t>
      </w:r>
      <w:r>
        <w:t xml:space="preserve">“sweet spot”</w:t>
      </w:r>
      <w:r>
        <w:t xml:space="preserve"> </w:t>
      </w:r>
      <w:r>
        <w:t xml:space="preserve">systems:</w:t>
      </w:r>
      <w:r>
        <w:t xml:space="preserve"> </w:t>
      </w:r>
      <w:hyperlink r:id="rId13">
        <w:r>
          <w:rPr>
            <w:rStyle w:val="Hyperlink"/>
          </w:rPr>
          <w:t xml:space="preserve">Automated Scientific Publishing</w:t>
        </w:r>
      </w:hyperlink>
      <w:r>
        <w:t xml:space="preserve"> </w:t>
      </w:r>
      <w:r>
        <w:t xml:space="preserve">for machine consumers (enabling AI-native knowledge sharing),</w:t>
      </w:r>
      <w:r>
        <w:t xml:space="preserve"> </w:t>
      </w:r>
      <w:hyperlink r:id="rId14">
        <w:r>
          <w:rPr>
            <w:rStyle w:val="Hyperlink"/>
          </w:rPr>
          <w:t xml:space="preserve">LexCommons</w:t>
        </w:r>
      </w:hyperlink>
      <w:r>
        <w:t xml:space="preserve"> </w:t>
      </w:r>
      <w:r>
        <w:t xml:space="preserve">(open-source legal infrastructure — a vision being built on the early-stage work of</w:t>
      </w:r>
      <w:r>
        <w:t xml:space="preserve"> </w:t>
      </w:r>
      <w:hyperlink r:id="rId14">
        <w:r>
          <w:rPr>
            <w:rStyle w:val="Hyperlink"/>
          </w:rPr>
          <w:t xml:space="preserve">LexDAO</w:t>
        </w:r>
      </w:hyperlink>
      <w:r>
        <w:t xml:space="preserve">), and Competitive Governance Protocol Stacks (systems enabling fluid movement between jurisdictions and rulesets). The upper-left quadrant highlights powerful technologies that need urgent governance attention:</w:t>
      </w:r>
      <w:r>
        <w:t xml:space="preserve"> </w:t>
      </w:r>
      <w:hyperlink r:id="rId15">
        <w:r>
          <w:rPr>
            <w:rStyle w:val="Hyperlink"/>
          </w:rPr>
          <w:t xml:space="preserve">brain-computer interfaces</w:t>
        </w:r>
      </w:hyperlink>
      <w:r>
        <w:t xml:space="preserve">,</w:t>
      </w:r>
      <w:r>
        <w:t xml:space="preserve"> </w:t>
      </w:r>
      <w:hyperlink r:id="rId16">
        <w:r>
          <w:rPr>
            <w:rStyle w:val="Hyperlink"/>
          </w:rPr>
          <w:t xml:space="preserve">mind uploading</w:t>
        </w:r>
      </w:hyperlink>
      <w:r>
        <w:t xml:space="preserve">, and other systems with transformative potential but uncertain power dynamics.</w:t>
      </w:r>
    </w:p>
    <w:p>
      <w:pPr>
        <w:pStyle w:val="CaptionedFigure"/>
      </w:pPr>
      <w:r>
        <w:drawing>
          <wp:inline>
            <wp:extent cx="5334000" cy="3812479"/>
            <wp:effectExtent b="0" l="0" r="0" t="0"/>
            <wp:docPr descr="Scatter plot: d/acc alignment vs technology impact" title="" id="18" name="Picture"/>
            <a:graphic>
              <a:graphicData uri="http://schemas.openxmlformats.org/drawingml/2006/picture">
                <pic:pic>
                  <pic:nvPicPr>
                    <pic:cNvPr descr="scatter_plot.png" id="19" name="Picture"/>
                    <pic:cNvPicPr>
                      <a:picLocks noChangeArrowheads="1" noChangeAspect="1"/>
                    </pic:cNvPicPr>
                  </pic:nvPicPr>
                  <pic:blipFill>
                    <a:blip r:embed="rId17"/>
                    <a:stretch>
                      <a:fillRect/>
                    </a:stretch>
                  </pic:blipFill>
                  <pic:spPr bwMode="auto">
                    <a:xfrm>
                      <a:off x="0" y="0"/>
                      <a:ext cx="5334000" cy="3812479"/>
                    </a:xfrm>
                    <a:prstGeom prst="rect">
                      <a:avLst/>
                    </a:prstGeom>
                    <a:noFill/>
                    <a:ln w="9525">
                      <a:noFill/>
                      <a:headEnd/>
                      <a:tailEnd/>
                    </a:ln>
                  </pic:spPr>
                </pic:pic>
              </a:graphicData>
            </a:graphic>
          </wp:inline>
        </w:drawing>
      </w:r>
    </w:p>
    <w:p>
      <w:pPr>
        <w:pStyle w:val="ImageCaption"/>
      </w:pPr>
      <w:r>
        <w:t xml:space="preserve">Scatter plot: d/acc alignment vs technology impact</w:t>
      </w:r>
    </w:p>
    <w:p>
      <w:pPr>
        <w:pStyle w:val="BodyText"/>
      </w:pPr>
      <w:r>
        <w:t xml:space="preserve">Most entities cluster in the mid-range — meaningful but not yet paradigm-shifting. This distribution suggests we’re looking at an emerging technological landscape where many systems are still in</w:t>
      </w:r>
      <w:r>
        <w:t xml:space="preserve"> </w:t>
      </w:r>
      <w:r>
        <w:t xml:space="preserve">“foundational research”</w:t>
      </w:r>
      <w:r>
        <w:t xml:space="preserve"> </w:t>
      </w:r>
      <w:r>
        <w:t xml:space="preserve">(11 entities) or</w:t>
      </w:r>
      <w:r>
        <w:t xml:space="preserve"> </w:t>
      </w:r>
      <w:r>
        <w:t xml:space="preserve">“early demonstrations”</w:t>
      </w:r>
      <w:r>
        <w:t xml:space="preserve"> </w:t>
      </w:r>
      <w:r>
        <w:t xml:space="preserve">(20 entities) stages, with only 2 near deployment. The most undervalued entities — those scoring high but receiving little attention — include</w:t>
      </w:r>
      <w:r>
        <w:t xml:space="preserve"> </w:t>
      </w:r>
      <w:hyperlink r:id="rId20">
        <w:r>
          <w:rPr>
            <w:rStyle w:val="Hyperlink"/>
          </w:rPr>
          <w:t xml:space="preserve">Chemputing</w:t>
        </w:r>
      </w:hyperlink>
      <w:r>
        <w:t xml:space="preserve"> </w:t>
      </w:r>
      <w:r>
        <w:t xml:space="preserve">(chemical computing that could revolutionize molecular manufacturing), Epistemic Stack (infrastructure for verifying truth claims), and</w:t>
      </w:r>
      <w:r>
        <w:t xml:space="preserve"> </w:t>
      </w:r>
      <w:hyperlink r:id="rId21">
        <w:r>
          <w:rPr>
            <w:rStyle w:val="Hyperlink"/>
          </w:rPr>
          <w:t xml:space="preserve">Gevulot</w:t>
        </w:r>
      </w:hyperlink>
      <w:r>
        <w:t xml:space="preserve"> </w:t>
      </w:r>
      <w:r>
        <w:t xml:space="preserve">(privacy-preserving computational infrastructure). These aren’t household names, but they represent critical infrastructure for a world where AGI exists</w:t>
      </w:r>
      <w:r>
        <w:t xml:space="preserve"> </w:t>
      </w:r>
      <w:r>
        <w:rPr>
          <w:i/>
          <w:iCs/>
        </w:rPr>
        <w:t xml:space="preserve">alongside</w:t>
      </w:r>
      <w:r>
        <w:t xml:space="preserve"> </w:t>
      </w:r>
      <w:r>
        <w:t xml:space="preserve">robust human coordination systems.</w:t>
      </w:r>
    </w:p>
    <w:p>
      <w:pPr>
        <w:pStyle w:val="BodyText"/>
      </w:pPr>
      <w:r>
        <w:rPr>
          <w:b/>
          <w:bCs/>
        </w:rPr>
        <w:t xml:space="preserve">Thematic patterns matter more than individual technologies.</w:t>
      </w:r>
      <w:r>
        <w:t xml:space="preserve"> </w:t>
      </w:r>
      <w:r>
        <w:t xml:space="preserve">The 39 entities cluster into 9 groups: energy systems (fusion, geothermal, space-based solar), advanced manufacturing (atomically precise, biotech, recycling), truth infrastructure (scientific publishing, epistemic stacks, prediction markets), governance protocols (competitive frameworks, dispute resolution), economic coordination (mutual credit, identity systems), ethical safeguards (AI containment, defensive technologies), AI agency architectures, human-computer interfaces, and science acceleration tools. This clustering highlights how the Foresight community is not just betting on individual breakthroughs but on</w:t>
      </w:r>
      <w:r>
        <w:t xml:space="preserve"> </w:t>
      </w:r>
      <w:r>
        <w:rPr>
          <w:i/>
          <w:iCs/>
        </w:rPr>
        <w:t xml:space="preserve">stacks</w:t>
      </w:r>
      <w:r>
        <w:t xml:space="preserve"> </w:t>
      </w:r>
      <w:r>
        <w:t xml:space="preserve">— interconnected systems that reinforce each other. Privacy infrastructure enables governance experimentation. Scientific publishing for machines accelerates AI-assisted research. Manufacturing breakthroughs require new financing mechanisms.</w:t>
      </w:r>
    </w:p>
    <w:p>
      <w:pPr>
        <w:pStyle w:val="BodyText"/>
      </w:pPr>
      <w:r>
        <w:rPr>
          <w:b/>
          <w:bCs/>
        </w:rPr>
        <w:t xml:space="preserve">A case for funding infrastructure, not just the finish line.</w:t>
      </w:r>
      <w:r>
        <w:t xml:space="preserve"> </w:t>
      </w:r>
      <w:r>
        <w:t xml:space="preserve">If you’re allocating capital, regulatory attention, or research priority, it may be worth asking not just</w:t>
      </w:r>
      <w:r>
        <w:t xml:space="preserve"> </w:t>
      </w:r>
      <w:r>
        <w:t xml:space="preserve">“what’s the most powerful technology?”</w:t>
      </w:r>
      <w:r>
        <w:t xml:space="preserve"> </w:t>
      </w:r>
      <w:r>
        <w:t xml:space="preserve">but also</w:t>
      </w:r>
      <w:r>
        <w:t xml:space="preserve"> </w:t>
      </w:r>
      <w:r>
        <w:t xml:space="preserve">“what infrastructure prevents powerful technologies from becoming centralized bottlenecks?”</w:t>
      </w:r>
      <w:r>
        <w:t xml:space="preserve"> </w:t>
      </w:r>
      <w:r>
        <w:t xml:space="preserve">The entities in this report — especially those in the upper-right quadrant and the undervalued list — represent infrastructure that makes other breakthroughs safer, more distributed, and more likely to benefit humanity broadly. Many would benefit from funding timelines measured in decades, not quarters, from patient capital, interdisciplinary teams, and regulatory frameworks designed for experimentation rather than premature standardization. Perhaps most importantly, they need to be</w:t>
      </w:r>
      <w:r>
        <w:t xml:space="preserve"> </w:t>
      </w:r>
      <w:r>
        <w:rPr>
          <w:i/>
          <w:iCs/>
        </w:rPr>
        <w:t xml:space="preserve">named</w:t>
      </w:r>
      <w:r>
        <w:t xml:space="preserve"> </w:t>
      </w:r>
      <w:r>
        <w:t xml:space="preserve">— brought into policy conversations currently dominated by AGI timelines and semiconductor export controls. The future’s infrastructure is being built now, often quietly. This report is one attempt to map where it’s happening.</w:t>
      </w:r>
    </w:p>
    <w:p>
      <w:r>
        <w:pict>
          <v:rect style="width:0;height:1.5pt" o:hralign="center" o:hrstd="t" o:hr="t"/>
        </w:pict>
      </w:r>
    </w:p>
    <w:bookmarkEnd w:id="22"/>
    <w:bookmarkStart w:id="35" w:name="introduction"/>
    <w:p>
      <w:pPr>
        <w:pStyle w:val="Heading2"/>
      </w:pPr>
      <w:r>
        <w:t xml:space="preserve">Introduction</w:t>
      </w:r>
    </w:p>
    <w:bookmarkStart w:id="23" w:name="what-are-hyper-entities"/>
    <w:p>
      <w:pPr>
        <w:pStyle w:val="Heading3"/>
      </w:pPr>
      <w:r>
        <w:t xml:space="preserve">What Are Hyper-Entities?</w:t>
      </w:r>
    </w:p>
    <w:p>
      <w:pPr>
        <w:pStyle w:val="FirstParagraph"/>
      </w:pPr>
      <w:r>
        <w:t xml:space="preserve">A</w:t>
      </w:r>
      <w:r>
        <w:t xml:space="preserve"> </w:t>
      </w:r>
      <w:r>
        <w:rPr>
          <w:i/>
          <w:iCs/>
        </w:rPr>
        <w:t xml:space="preserve">hyper-entity</w:t>
      </w:r>
      <w:r>
        <w:t xml:space="preserve"> </w:t>
      </w:r>
      <w:r>
        <w:t xml:space="preserve">is a coherent, future-instantiated system that does not yet exist, but is treated as if it will; whose realization would create a new stable action space for humanity; and which already reorganizes coordination, investment, and narrative around its anticipated existence. The term was coined by Michael Nielsen, whose broader definition informed this project’s more operationally focused criteria.</w:t>
      </w:r>
    </w:p>
    <w:p>
      <w:pPr>
        <w:pStyle w:val="BodyText"/>
      </w:pPr>
      <w:r>
        <w:t xml:space="preserve">Nielsen’s emphasis was on the design dimension — hyper-entities as orienting visions that carry new affordances, requiring genuine imagination and depth of understanding to conceive. This project adds an operational criterion: that the entity’s anticipated existence is already causally active, reshaping coordination and investment before any prototype exists. (That causal dimension is closer to what Nick Land calls</w:t>
      </w:r>
      <w:r>
        <w:t xml:space="preserve"> </w:t>
      </w:r>
      <w:r>
        <w:rPr>
          <w:i/>
          <w:iCs/>
        </w:rPr>
        <w:t xml:space="preserve">hyperstition</w:t>
      </w:r>
      <w:r>
        <w:t xml:space="preserve"> </w:t>
      </w:r>
      <w:r>
        <w:t xml:space="preserve">— a self-fulfilling prophecy — though Nielsen himself draws a distinction between the two terms.)</w:t>
      </w:r>
    </w:p>
    <w:p>
      <w:pPr>
        <w:pStyle w:val="BodyText"/>
      </w:pPr>
      <w:r>
        <w:t xml:space="preserve">Three characteristics define a hyper-entity:</w:t>
      </w:r>
    </w:p>
    <w:p>
      <w:pPr>
        <w:pStyle w:val="Compact"/>
        <w:numPr>
          <w:ilvl w:val="0"/>
          <w:numId w:val="1001"/>
        </w:numPr>
      </w:pPr>
      <w:r>
        <w:rPr>
          <w:b/>
          <w:bCs/>
        </w:rPr>
        <w:t xml:space="preserve">Not yet deployed</w:t>
      </w:r>
      <w:r>
        <w:t xml:space="preserve"> </w:t>
      </w:r>
      <w:r>
        <w:t xml:space="preserve">— exists only as concept, early fragments, or shared anticipation — not as a functioning system at scale.</w:t>
      </w:r>
    </w:p>
    <w:p>
      <w:pPr>
        <w:pStyle w:val="Compact"/>
        <w:numPr>
          <w:ilvl w:val="0"/>
          <w:numId w:val="1001"/>
        </w:numPr>
      </w:pPr>
      <w:r>
        <w:rPr>
          <w:b/>
          <w:bCs/>
        </w:rPr>
        <w:t xml:space="preserve">Transformatively novel</w:t>
      </w:r>
      <w:r>
        <w:t xml:space="preserve"> </w:t>
      </w:r>
      <w:r>
        <w:t xml:space="preserve">— would enable fundamentally new things humans can do, not just improve on existing capabilities.</w:t>
      </w:r>
    </w:p>
    <w:p>
      <w:pPr>
        <w:pStyle w:val="Compact"/>
        <w:numPr>
          <w:ilvl w:val="0"/>
          <w:numId w:val="1001"/>
        </w:numPr>
      </w:pPr>
      <w:r>
        <w:rPr>
          <w:b/>
          <w:bCs/>
        </w:rPr>
        <w:t xml:space="preserve">Already causally active</w:t>
      </w:r>
      <w:r>
        <w:t xml:space="preserve"> </w:t>
      </w:r>
      <w:r>
        <w:t xml:space="preserve">— its</w:t>
      </w:r>
      <w:r>
        <w:t xml:space="preserve"> </w:t>
      </w:r>
      <w:r>
        <w:rPr>
          <w:i/>
          <w:iCs/>
        </w:rPr>
        <w:t xml:space="preserve">anticipated</w:t>
      </w:r>
      <w:r>
        <w:t xml:space="preserve"> </w:t>
      </w:r>
      <w:r>
        <w:t xml:space="preserve">existence reorganizes coordination, investment, and narrative</w:t>
      </w:r>
      <w:r>
        <w:t xml:space="preserve"> </w:t>
      </w:r>
      <w:r>
        <w:rPr>
          <w:i/>
          <w:iCs/>
        </w:rPr>
        <w:t xml:space="preserve">now</w:t>
      </w:r>
      <w:r>
        <w:t xml:space="preserve">, before any prototype exists. This is the key distinguishing feature: a hyper-entity has causal force through expectation alone.</w:t>
      </w:r>
    </w:p>
    <w:p>
      <w:pPr>
        <w:pStyle w:val="FirstParagraph"/>
      </w:pPr>
      <w:r>
        <w:t xml:space="preserve">Historical examples include the Internet (pre-1990s), which reorganized telecoms R&amp;D, policy, and venture capital before widespread deployment; the Space Race (1950s-60s), where Moon missions organized national budgets and education systems before any launches; and AGI today, which reshapes AI research priorities, corporate strategies, and policy discussions despite not yet existing.</w:t>
      </w:r>
    </w:p>
    <w:bookmarkEnd w:id="23"/>
    <w:bookmarkStart w:id="28" w:name="project-overview"/>
    <w:p>
      <w:pPr>
        <w:pStyle w:val="Heading3"/>
      </w:pPr>
      <w:r>
        <w:t xml:space="preserve">Project Overview</w:t>
      </w:r>
    </w:p>
    <w:p>
      <w:pPr>
        <w:pStyle w:val="FirstParagraph"/>
      </w:pPr>
      <w:r>
        <w:t xml:space="preserve">This project set out to systematically identify, score, and curate hyper-entities emerging from the discourse around the Foresight Institute’s research community. The source material comprises:</w:t>
      </w:r>
    </w:p>
    <w:p>
      <w:pPr>
        <w:pStyle w:val="Compact"/>
        <w:numPr>
          <w:ilvl w:val="0"/>
          <w:numId w:val="1002"/>
        </w:numPr>
      </w:pPr>
      <w:r>
        <w:rPr>
          <w:b/>
          <w:bCs/>
        </w:rPr>
        <w:t xml:space="preserve">65 podcast transcripts</w:t>
      </w:r>
      <w:r>
        <w:t xml:space="preserve"> </w:t>
      </w:r>
      <w:r>
        <w:t xml:space="preserve">from the</w:t>
      </w:r>
      <w:r>
        <w:t xml:space="preserve"> </w:t>
      </w:r>
      <w:hyperlink r:id="rId24">
        <w:r>
          <w:rPr>
            <w:rStyle w:val="Hyperlink"/>
          </w:rPr>
          <w:t xml:space="preserve">Existential Hope podcast</w:t>
        </w:r>
      </w:hyperlink>
      <w:r>
        <w:t xml:space="preserve"> </w:t>
      </w:r>
      <w:r>
        <w:t xml:space="preserve">by the Foresight Institute</w:t>
      </w:r>
    </w:p>
    <w:p>
      <w:pPr>
        <w:pStyle w:val="Compact"/>
        <w:numPr>
          <w:ilvl w:val="0"/>
          <w:numId w:val="1002"/>
        </w:numPr>
      </w:pPr>
      <w:r>
        <w:rPr>
          <w:b/>
          <w:bCs/>
        </w:rPr>
        <w:t xml:space="preserve">40 world-gallery submissions</w:t>
      </w:r>
      <w:r>
        <w:t xml:space="preserve"> </w:t>
      </w:r>
      <w:r>
        <w:t xml:space="preserve">from</w:t>
      </w:r>
      <w:r>
        <w:t xml:space="preserve"> </w:t>
      </w:r>
      <w:hyperlink r:id="rId25">
        <w:r>
          <w:rPr>
            <w:rStyle w:val="Hyperlink"/>
          </w:rPr>
          <w:t xml:space="preserve">Existential Hope</w:t>
        </w:r>
      </w:hyperlink>
      <w:r>
        <w:t xml:space="preserve">, the Foresight Institute’s initiative mapping positive long-term futures</w:t>
      </w:r>
    </w:p>
    <w:p>
      <w:pPr>
        <w:pStyle w:val="Compact"/>
        <w:numPr>
          <w:ilvl w:val="0"/>
          <w:numId w:val="1002"/>
        </w:numPr>
      </w:pPr>
      <w:r>
        <w:rPr>
          <w:b/>
          <w:bCs/>
        </w:rPr>
        <w:t xml:space="preserve">2 AI-pathways essays</w:t>
      </w:r>
      <w:r>
        <w:t xml:space="preserve">, including Vitalik Buterin’s</w:t>
      </w:r>
      <w:r>
        <w:t xml:space="preserve"> </w:t>
      </w:r>
      <w:hyperlink r:id="rId26">
        <w:r>
          <w:rPr>
            <w:rStyle w:val="Hyperlink"/>
          </w:rPr>
          <w:t xml:space="preserve">d/acc framework</w:t>
        </w:r>
      </w:hyperlink>
      <w:r>
        <w:t xml:space="preserve"> </w:t>
      </w:r>
      <w:r>
        <w:t xml:space="preserve">and its</w:t>
      </w:r>
      <w:r>
        <w:t xml:space="preserve"> </w:t>
      </w:r>
      <w:hyperlink r:id="rId27">
        <w:r>
          <w:rPr>
            <w:rStyle w:val="Hyperlink"/>
          </w:rPr>
          <w:t xml:space="preserve">2025 update</w:t>
        </w:r>
      </w:hyperlink>
    </w:p>
    <w:p>
      <w:pPr>
        <w:pStyle w:val="Compact"/>
        <w:numPr>
          <w:ilvl w:val="0"/>
          <w:numId w:val="1002"/>
        </w:numPr>
      </w:pPr>
      <w:r>
        <w:rPr>
          <w:b/>
          <w:bCs/>
        </w:rPr>
        <w:t xml:space="preserve">1 Existential Hope Hackathon report</w:t>
      </w:r>
      <w:r>
        <w:t xml:space="preserve"> </w:t>
      </w:r>
      <w:r>
        <w:t xml:space="preserve">providing additional framing</w:t>
      </w:r>
    </w:p>
    <w:p>
      <w:pPr>
        <w:pStyle w:val="FirstParagraph"/>
      </w:pPr>
      <w:r>
        <w:t xml:space="preserve">From this corpus, over 300 candidate hyper-entities were extracted, scored across three assessment stages, clustered thematically, and then curated through an independent review process by two researchers (Linda Petrini and Beatrice Erkers) to arrive at a final consensus list of 39 highlighted entities.</w:t>
      </w:r>
    </w:p>
    <w:bookmarkEnd w:id="28"/>
    <w:bookmarkStart w:id="34" w:name="X011d52f0907e5b1fe6bcf97b2d3f6762754fd6d"/>
    <w:p>
      <w:pPr>
        <w:pStyle w:val="Heading3"/>
      </w:pPr>
      <w:r>
        <w:t xml:space="preserve">Why This Matters: The AGI Crowding-Out Problem</w:t>
      </w:r>
    </w:p>
    <w:p>
      <w:pPr>
        <w:pStyle w:val="FirstParagraph"/>
      </w:pPr>
      <w:r>
        <w:t xml:space="preserve">If you follow technology discourse in 2025, you might reasonably conclude that artificial general intelligence is the only future worth preparing for. In 2024, over $252 billion in corporate investment flowed into AI and AGI companies —</w:t>
      </w:r>
      <w:r>
        <w:t xml:space="preserve"> </w:t>
      </w:r>
      <w:hyperlink r:id="rId29">
        <w:r>
          <w:rPr>
            <w:rStyle w:val="Hyperlink"/>
          </w:rPr>
          <w:t xml:space="preserve">nearly 12 times China’s AI investment</w:t>
        </w:r>
      </w:hyperlink>
      <w:r>
        <w:t xml:space="preserve">. In 2025, AI startups alone raised</w:t>
      </w:r>
      <w:r>
        <w:t xml:space="preserve"> </w:t>
      </w:r>
      <w:hyperlink r:id="rId30">
        <w:r>
          <w:rPr>
            <w:rStyle w:val="Hyperlink"/>
          </w:rPr>
          <w:t xml:space="preserve">$211 billion in venture capital</w:t>
        </w:r>
      </w:hyperlink>
      <w:r>
        <w:t xml:space="preserve">, an 85% year-over-year increase, with</w:t>
      </w:r>
      <w:r>
        <w:t xml:space="preserve"> </w:t>
      </w:r>
      <w:hyperlink r:id="rId31">
        <w:r>
          <w:rPr>
            <w:rStyle w:val="Hyperlink"/>
          </w:rPr>
          <w:t xml:space="preserve">projections exceeding $500 billion for 2026</w:t>
        </w:r>
      </w:hyperlink>
      <w:r>
        <w:t xml:space="preserve">. Major governments have appointed AI safety czars. CEOs now casually discuss</w:t>
      </w:r>
      <w:r>
        <w:t xml:space="preserve"> </w:t>
      </w:r>
      <w:r>
        <w:t xml:space="preserve">“the arrival of superintelligence”</w:t>
      </w:r>
      <w:r>
        <w:t xml:space="preserve"> </w:t>
      </w:r>
      <w:r>
        <w:t xml:space="preserve">in quarterly earnings calls.</w:t>
      </w:r>
    </w:p>
    <w:p>
      <w:pPr>
        <w:pStyle w:val="BodyText"/>
      </w:pPr>
      <w:r>
        <w:t xml:space="preserve">This isn’t inherently wrong—AGI could indeed be transformative. But this concentration creates what economists call a crowding-out effect: when one opportunity dominates attention and capital, other valuable investments get systematically underfunded.</w:t>
      </w:r>
    </w:p>
    <w:p>
      <w:pPr>
        <w:pStyle w:val="BodyText"/>
      </w:pPr>
      <w:r>
        <w:t xml:space="preserve">This project is an attempt to answer a different question: not</w:t>
      </w:r>
      <w:r>
        <w:t xml:space="preserve"> </w:t>
      </w:r>
      <w:r>
        <w:t xml:space="preserve">“what hyper-entity is most likely to arrive?”</w:t>
      </w:r>
      <w:r>
        <w:t xml:space="preserve"> </w:t>
      </w:r>
      <w:r>
        <w:t xml:space="preserve">but</w:t>
      </w:r>
      <w:r>
        <w:t xml:space="preserve"> </w:t>
      </w:r>
      <w:r>
        <w:t xml:space="preserve">“which ones</w:t>
      </w:r>
      <w:r>
        <w:t xml:space="preserve"> </w:t>
      </w:r>
      <w:r>
        <w:rPr>
          <w:i/>
          <w:iCs/>
        </w:rPr>
        <w:t xml:space="preserve">should</w:t>
      </w:r>
      <w:r>
        <w:t xml:space="preserve"> </w:t>
      </w:r>
      <w:r>
        <w:t xml:space="preserve">we be naming, funding, and building toward, given the kind of future we actually want?”</w:t>
      </w:r>
    </w:p>
    <w:p>
      <w:pPr>
        <w:pStyle w:val="BodyText"/>
      </w:pPr>
      <w:r>
        <w:t xml:space="preserve">Our research identifies 39 such entities, ranging from planetary-scale energy systems to new tools for collective decision-making, from programmable biology to infrastructure for shared truth. Many score highly on metrics that should matter to rational funders: broad benefit distribution, downside protection, and resilience to political shifts.</w:t>
      </w:r>
    </w:p>
    <w:p>
      <w:pPr>
        <w:pStyle w:val="BodyText"/>
      </w:pPr>
      <w:r>
        <w:t xml:space="preserve">Yet they receive fragmentary attention. Consider epistemic infrastructure—systems designed to help communities establish shared facts and navigate information disorders. By our analysis, projects in this space align strongly with human values and address urgent coordination failures. The biggest philanthropic initiative in the space, Google’s</w:t>
      </w:r>
      <w:r>
        <w:t xml:space="preserve"> </w:t>
      </w:r>
      <w:hyperlink r:id="rId32">
        <w:r>
          <w:rPr>
            <w:rStyle w:val="Hyperlink"/>
          </w:rPr>
          <w:t xml:space="preserve">Global Fact Check Fund</w:t>
        </w:r>
      </w:hyperlink>
      <w:r>
        <w:t xml:space="preserve">, totals $13.2M — what OpenAI spends in</w:t>
      </w:r>
      <w:r>
        <w:t xml:space="preserve"> </w:t>
      </w:r>
      <w:hyperlink r:id="rId33">
        <w:r>
          <w:rPr>
            <w:rStyle w:val="Hyperlink"/>
          </w:rPr>
          <w:t xml:space="preserve">under 24 hours</w:t>
        </w:r>
      </w:hyperlink>
      <w:r>
        <w:t xml:space="preserve">. The same pattern repeats across governance innovation, distributed energy systems, and open science infrastructure.</w:t>
      </w:r>
    </w:p>
    <w:p>
      <w:pPr>
        <w:pStyle w:val="BodyText"/>
      </w:pPr>
      <w:r>
        <w:t xml:space="preserve">This imbalance carries real costs. First, many of these overlooked systems represent critical infrastructure for human flourishing regardless of AGI timelines. Whether artificial superintelligence arrives in 2030 or 2080, we’ll still need resilient energy systems, tools for democratic legitimacy, and ways to manage synthetic biology safely.</w:t>
      </w:r>
    </w:p>
    <w:p>
      <w:pPr>
        <w:pStyle w:val="BodyText"/>
      </w:pPr>
      <w:r>
        <w:t xml:space="preserve">Second, several entities on our list would actually help society navigate AGI’s arrival more safely. Better epistemic infrastructure means clearer public deliberation about AI governance. Advanced collective intelligence systems could help coordinate complex international AI safety regimes. We’re underfunding the very tools we’d need to handle the future we’re investing so heavily in creating.</w:t>
      </w:r>
    </w:p>
    <w:p>
      <w:pPr>
        <w:pStyle w:val="BodyText"/>
      </w:pPr>
      <w:r>
        <w:t xml:space="preserve">The argument here isn’t anti-AGI. It’s closer to portfolio theory applied to civilizational bets: under genuine uncertainty, concentration in a single scenario carries real risk. Infrastructure that creates value across many possible futures — not just one — seems worth naming, even if the allocation decisions belong to others.</w:t>
      </w:r>
    </w:p>
    <w:p>
      <w:pPr>
        <w:pStyle w:val="BodyText"/>
      </w:pPr>
      <w:r>
        <w:t xml:space="preserve">The d/acc framework—emphasizing technologies that distribute power, offer strong defense, and enable cooperation—provides one lens for identifying these overlooked opportunities. Our 39 hyper-entities represent a starting point for a more balanced conversation about which futures deserve resources, coordination, and serious policy attention.</w:t>
      </w:r>
    </w:p>
    <w:bookmarkEnd w:id="34"/>
    <w:bookmarkEnd w:id="35"/>
    <w:bookmarkStart w:id="43" w:name="methodology"/>
    <w:p>
      <w:pPr>
        <w:pStyle w:val="Heading2"/>
      </w:pPr>
      <w:r>
        <w:t xml:space="preserve">Methodology</w:t>
      </w:r>
    </w:p>
    <w:bookmarkStart w:id="36" w:name="three-stage-scoring-pipeline"/>
    <w:p>
      <w:pPr>
        <w:pStyle w:val="Heading3"/>
      </w:pPr>
      <w:r>
        <w:t xml:space="preserve">Three-Stage Scoring Pipeline</w:t>
      </w:r>
    </w:p>
    <w:p>
      <w:pPr>
        <w:pStyle w:val="FirstParagraph"/>
      </w:pPr>
      <w:r>
        <w:t xml:space="preserve">Scoring was performed by Claude (Anthropic’s AI assistant) via API, with human review and curation at each stage. The final entity selection was entirely human-driven through independent shortlisting by two researchers.</w:t>
      </w:r>
    </w:p>
    <w:p>
      <w:pPr>
        <w:pStyle w:val="BodyText"/>
      </w:pPr>
      <w:r>
        <w:rPr>
          <w:b/>
          <w:bCs/>
        </w:rPr>
        <w:t xml:space="preserve">Stage 1: Hyper-Entity Qualification (0-100).</w:t>
      </w:r>
      <w:r>
        <w:t xml:space="preserve"> </w:t>
      </w:r>
      <w:r>
        <w:t xml:space="preserve">Each candidate is scored on 9 axes (0-3 per axis): Non-existence, Plausibility, Design specificity, New action space, Roadmap clarity, Coordination gravity, Resource pull, Narrative centrality, and Pre-real effects. A candidate must score 67% or above to qualify.</w:t>
      </w:r>
    </w:p>
    <w:p>
      <w:pPr>
        <w:pStyle w:val="BodyText"/>
      </w:pPr>
      <w:r>
        <w:rPr>
          <w:b/>
          <w:bCs/>
        </w:rPr>
        <w:t xml:space="preserve">Stage 2: Technology Impact Assessment (0-100).</w:t>
      </w:r>
      <w:r>
        <w:t xml:space="preserve"> </w:t>
      </w:r>
      <w:r>
        <w:t xml:space="preserve">Qualified entities are scored on 14 dimensions (0-5 each) measuring the magnitude of potential effect — not desirability. Higher scores indicate greater transformative power</w:t>
      </w:r>
      <w:r>
        <w:t xml:space="preserve"> </w:t>
      </w:r>
      <w:r>
        <w:rPr>
          <w:i/>
          <w:iCs/>
        </w:rPr>
        <w:t xml:space="preserve">and</w:t>
      </w:r>
      <w:r>
        <w:t xml:space="preserve"> </w:t>
      </w:r>
      <w:r>
        <w:t xml:space="preserve">greater systemic risk.</w:t>
      </w:r>
    </w:p>
    <w:p>
      <w:pPr>
        <w:pStyle w:val="BodyText"/>
      </w:pPr>
      <w:r>
        <w:rPr>
          <w:b/>
          <w:bCs/>
        </w:rPr>
        <w:t xml:space="preserve">Stage 3: d/acc Values Alignment (0-100).</w:t>
      </w:r>
      <w:r>
        <w:t xml:space="preserve"> </w:t>
      </w:r>
      <w:r>
        <w:t xml:space="preserve">Based on Vitalik Buterin’s d/acc framework, evaluating whether a technology aligns with values that promote human flourishing.</w:t>
      </w:r>
    </w:p>
    <w:bookmarkEnd w:id="36"/>
    <w:bookmarkStart w:id="37" w:name="the-dacc-framework"/>
    <w:p>
      <w:pPr>
        <w:pStyle w:val="Heading3"/>
      </w:pPr>
      <w:r>
        <w:t xml:space="preserve">The d/acc Framework</w:t>
      </w:r>
    </w:p>
    <w:p>
      <w:pPr>
        <w:pStyle w:val="FirstParagraph"/>
      </w:pPr>
      <w:r>
        <w:t xml:space="preserve">We adopt Vitalik Buterin’s d/acc framework — originally proposed in the context of technology acceleration debates — as a values-alignment lens. The four dimensions (Democratic, Decentralized, Defensive, Differential) capture whether a technology distributes power broadly, protects more than it threatens, and creates positive-sum outcomes. This lens is applicable regardless of one’s views on crypto or acceleration debates.</w:t>
      </w:r>
    </w:p>
    <w:p>
      <w:pPr>
        <w:pStyle w:val="Compact"/>
        <w:numPr>
          <w:ilvl w:val="0"/>
          <w:numId w:val="1003"/>
        </w:numPr>
      </w:pPr>
      <w:r>
        <w:rPr>
          <w:b/>
          <w:bCs/>
        </w:rPr>
        <w:t xml:space="preserve">Democratic</w:t>
      </w:r>
      <w:r>
        <w:t xml:space="preserve">: Does this technology enable collective decision-making, or does it concentrate decisions in elites?</w:t>
      </w:r>
    </w:p>
    <w:p>
      <w:pPr>
        <w:pStyle w:val="Compact"/>
        <w:numPr>
          <w:ilvl w:val="0"/>
          <w:numId w:val="1003"/>
        </w:numPr>
      </w:pPr>
      <w:r>
        <w:rPr>
          <w:b/>
          <w:bCs/>
        </w:rPr>
        <w:t xml:space="preserve">Decentralized</w:t>
      </w:r>
      <w:r>
        <w:t xml:space="preserve">: Does it distribute power broadly, or create single points of control?</w:t>
      </w:r>
    </w:p>
    <w:p>
      <w:pPr>
        <w:pStyle w:val="Compact"/>
        <w:numPr>
          <w:ilvl w:val="0"/>
          <w:numId w:val="1003"/>
        </w:numPr>
      </w:pPr>
      <w:r>
        <w:rPr>
          <w:b/>
          <w:bCs/>
        </w:rPr>
        <w:t xml:space="preserve">Defensive</w:t>
      </w:r>
      <w:r>
        <w:t xml:space="preserve">: Does it favor protection over harm? Is it defense-favoring?</w:t>
      </w:r>
    </w:p>
    <w:p>
      <w:pPr>
        <w:pStyle w:val="Compact"/>
        <w:numPr>
          <w:ilvl w:val="0"/>
          <w:numId w:val="1003"/>
        </w:numPr>
      </w:pPr>
      <w:r>
        <w:rPr>
          <w:b/>
          <w:bCs/>
        </w:rPr>
        <w:t xml:space="preserve">Differential</w:t>
      </w:r>
      <w:r>
        <w:t xml:space="preserve">: Does it create positive asymmetries — improving defense and freedom more than enabling attack and control?</w:t>
      </w:r>
    </w:p>
    <w:p>
      <w:pPr>
        <w:pStyle w:val="FirstParagraph"/>
      </w:pPr>
      <w:r>
        <w:t xml:space="preserve">We score each entity 0-5 on each dimension (0-100% normalized). A high d/acc score signals that a technology, if realized, would likely expand human agency and resilience rather than concentrate power or create new vulnerabilities.</w:t>
      </w:r>
    </w:p>
    <w:bookmarkEnd w:id="37"/>
    <w:bookmarkStart w:id="38" w:name="how-to-read-the-scores"/>
    <w:p>
      <w:pPr>
        <w:pStyle w:val="Heading3"/>
      </w:pPr>
      <w:r>
        <w:t xml:space="preserve">How to Read the Scores</w:t>
      </w:r>
    </w:p>
    <w:p>
      <w:pPr>
        <w:pStyle w:val="FirstParagraph"/>
      </w:pPr>
      <w:r>
        <w:t xml:space="preserve">This report evaluates hyper-entities using two independent scoring systems that measure fundamentally different things.</w:t>
      </w:r>
    </w:p>
    <w:bookmarkEnd w:id="38"/>
    <w:bookmarkStart w:id="39" w:name="X74f664f24e89dbfb527ce474de6d9b17271b72b"/>
    <w:p>
      <w:pPr>
        <w:pStyle w:val="Heading3"/>
      </w:pPr>
      <w:r>
        <w:t xml:space="preserve">d/acc Values Alignment (0-100%): The</w:t>
      </w:r>
      <w:r>
        <w:t xml:space="preserve"> </w:t>
      </w:r>
      <w:r>
        <w:t xml:space="preserve">“How”</w:t>
      </w:r>
      <w:r>
        <w:t xml:space="preserve"> </w:t>
      </w:r>
      <w:r>
        <w:t xml:space="preserve">Score</w:t>
      </w:r>
    </w:p>
    <w:p>
      <w:pPr>
        <w:pStyle w:val="FirstParagraph"/>
      </w:pPr>
      <w:r>
        <w:t xml:space="preserve">Based on Vitalik Buterin’s</w:t>
      </w:r>
      <w:r>
        <w:t xml:space="preserve"> </w:t>
      </w:r>
      <w:hyperlink r:id="rId26">
        <w:r>
          <w:rPr>
            <w:rStyle w:val="Hyperlink"/>
          </w:rPr>
          <w:t xml:space="preserve">“My techno-optimism”</w:t>
        </w:r>
      </w:hyperlink>
      <w:r>
        <w:t xml:space="preserve"> </w:t>
      </w:r>
      <w:r>
        <w:t xml:space="preserve">framework, this measures alignment with principles of human flourishing. Each entity receives 0-5 points across four dimensions:</w:t>
      </w:r>
    </w:p>
    <w:p>
      <w:pPr>
        <w:pStyle w:val="Compact"/>
        <w:numPr>
          <w:ilvl w:val="0"/>
          <w:numId w:val="1004"/>
        </w:numPr>
      </w:pPr>
      <w:r>
        <w:rPr>
          <w:b/>
          <w:bCs/>
        </w:rPr>
        <w:t xml:space="preserve">Democratic</w:t>
      </w:r>
      <w:r>
        <w:t xml:space="preserve">: Does it distribute benefits broadly or concentrate power?</w:t>
      </w:r>
    </w:p>
    <w:p>
      <w:pPr>
        <w:pStyle w:val="Compact"/>
        <w:numPr>
          <w:ilvl w:val="0"/>
          <w:numId w:val="1004"/>
        </w:numPr>
      </w:pPr>
      <w:r>
        <w:rPr>
          <w:b/>
          <w:bCs/>
        </w:rPr>
        <w:t xml:space="preserve">Decentralized</w:t>
      </w:r>
      <w:r>
        <w:t xml:space="preserve">: Does it enable resilience through distributed control?</w:t>
      </w:r>
    </w:p>
    <w:p>
      <w:pPr>
        <w:pStyle w:val="Compact"/>
        <w:numPr>
          <w:ilvl w:val="0"/>
          <w:numId w:val="1004"/>
        </w:numPr>
      </w:pPr>
      <w:r>
        <w:rPr>
          <w:b/>
          <w:bCs/>
        </w:rPr>
        <w:t xml:space="preserve">Defensive</w:t>
      </w:r>
      <w:r>
        <w:t xml:space="preserve">: Does it protect against catastrophic risks or create new vulnerabilities?</w:t>
      </w:r>
    </w:p>
    <w:p>
      <w:pPr>
        <w:pStyle w:val="Compact"/>
        <w:numPr>
          <w:ilvl w:val="0"/>
          <w:numId w:val="1004"/>
        </w:numPr>
      </w:pPr>
      <w:r>
        <w:rPr>
          <w:b/>
          <w:bCs/>
        </w:rPr>
        <w:t xml:space="preserve">Differential</w:t>
      </w:r>
      <w:r>
        <w:t xml:space="preserve">: Does it accelerate beneficial technologies faster than dangerous ones?</w:t>
      </w:r>
    </w:p>
    <w:p>
      <w:pPr>
        <w:pStyle w:val="FirstParagraph"/>
      </w:pPr>
      <w:r>
        <w:t xml:space="preserve">Higher scores indicate better alignment with d/acc values. A score of 75%+ suggests strong alignment; below 50% raises governance concerns. This is explicitly a normative framework—it evaluates whether we</w:t>
      </w:r>
      <w:r>
        <w:t xml:space="preserve"> </w:t>
      </w:r>
      <w:r>
        <w:rPr>
          <w:i/>
          <w:iCs/>
        </w:rPr>
        <w:t xml:space="preserve">should</w:t>
      </w:r>
      <w:r>
        <w:t xml:space="preserve"> </w:t>
      </w:r>
      <w:r>
        <w:t xml:space="preserve">want something to exist.</w:t>
      </w:r>
    </w:p>
    <w:bookmarkEnd w:id="39"/>
    <w:bookmarkStart w:id="40" w:name="X244b7ed2b3d421be2aa9a9b5a4e257fc2d0d3dd"/>
    <w:p>
      <w:pPr>
        <w:pStyle w:val="Heading3"/>
      </w:pPr>
      <w:r>
        <w:t xml:space="preserve">Technology Impact (0-100%): The</w:t>
      </w:r>
      <w:r>
        <w:t xml:space="preserve"> </w:t>
      </w:r>
      <w:r>
        <w:t xml:space="preserve">“How Much”</w:t>
      </w:r>
      <w:r>
        <w:t xml:space="preserve"> </w:t>
      </w:r>
      <w:r>
        <w:t xml:space="preserve">Score</w:t>
      </w:r>
    </w:p>
    <w:p>
      <w:pPr>
        <w:pStyle w:val="FirstParagraph"/>
      </w:pPr>
      <w:r>
        <w:t xml:space="preserve">This measures the</w:t>
      </w:r>
      <w:r>
        <w:t xml:space="preserve"> </w:t>
      </w:r>
      <w:r>
        <w:rPr>
          <w:i/>
          <w:iCs/>
        </w:rPr>
        <w:t xml:space="preserve">magnitude</w:t>
      </w:r>
      <w:r>
        <w:t xml:space="preserve"> </w:t>
      </w:r>
      <w:r>
        <w:t xml:space="preserve">of potential transformation across 14 dimensions including infrastructure disruption, economic scale, geopolitical implications, and workforce effects.</w:t>
      </w:r>
      <w:r>
        <w:t xml:space="preserve"> </w:t>
      </w:r>
      <w:r>
        <w:rPr>
          <w:b/>
          <w:bCs/>
        </w:rPr>
        <w:t xml:space="preserve">This is not a desirability score.</w:t>
      </w:r>
      <w:r>
        <w:t xml:space="preserve"> </w:t>
      </w:r>
      <w:r>
        <w:t xml:space="preserve">A nuclear weapon and a universal vaccine might both score high—the metric captures transformative power, not whether that power serves human interests.</w:t>
      </w:r>
    </w:p>
    <w:p>
      <w:pPr>
        <w:pStyle w:val="BodyText"/>
      </w:pPr>
      <w:r>
        <w:t xml:space="preserve">High impact means high stakes: greater potential for both benefit and harm, larger systemic dependencies, more urgent need for robust governance. Low scores don’t mean</w:t>
      </w:r>
      <w:r>
        <w:t xml:space="preserve"> </w:t>
      </w:r>
      <w:r>
        <w:t xml:space="preserve">“bad”</w:t>
      </w:r>
      <w:r>
        <w:t xml:space="preserve">—they may indicate specialized tools serving specific communities well.</w:t>
      </w:r>
    </w:p>
    <w:bookmarkEnd w:id="40"/>
    <w:bookmarkStart w:id="41" w:name="reading-the-scatter-plot"/>
    <w:p>
      <w:pPr>
        <w:pStyle w:val="Heading3"/>
      </w:pPr>
      <w:r>
        <w:t xml:space="preserve">Reading the Scatter Plot</w:t>
      </w:r>
    </w:p>
    <w:p>
      <w:pPr>
        <w:pStyle w:val="FirstParagraph"/>
      </w:pPr>
      <w:r>
        <w:t xml:space="preserve">The positioning reveals strategic priorities:</w:t>
      </w:r>
    </w:p>
    <w:p>
      <w:pPr>
        <w:pStyle w:val="BodyText"/>
      </w:pPr>
      <w:r>
        <w:rPr>
          <w:b/>
          <w:bCs/>
        </w:rPr>
        <w:t xml:space="preserve">Upper-right quadrant</w:t>
      </w:r>
      <w:r>
        <w:t xml:space="preserve"> </w:t>
      </w:r>
      <w:r>
        <w:t xml:space="preserve">(high impact, high d/acc): Technologies that could transform society</w:t>
      </w:r>
      <w:r>
        <w:t xml:space="preserve"> </w:t>
      </w:r>
      <w:r>
        <w:rPr>
          <w:i/>
          <w:iCs/>
        </w:rPr>
        <w:t xml:space="preserve">and</w:t>
      </w:r>
      <w:r>
        <w:t xml:space="preserve"> </w:t>
      </w:r>
      <w:r>
        <w:t xml:space="preserve">align with human flourishing values. These deserve the most attention, funding, and development support.</w:t>
      </w:r>
    </w:p>
    <w:p>
      <w:pPr>
        <w:pStyle w:val="BodyText"/>
      </w:pPr>
      <w:r>
        <w:rPr>
          <w:b/>
          <w:bCs/>
        </w:rPr>
        <w:t xml:space="preserve">Upper-left</w:t>
      </w:r>
      <w:r>
        <w:t xml:space="preserve"> </w:t>
      </w:r>
      <w:r>
        <w:t xml:space="preserve">(high impact, low d/acc): Powerful technologies with concerning governance trajectories. Require careful oversight, regulatory frameworks, and explicit efforts to improve their d/acc alignment before widespread deployment.</w:t>
      </w:r>
    </w:p>
    <w:p>
      <w:pPr>
        <w:pStyle w:val="BodyText"/>
      </w:pPr>
      <w:r>
        <w:rPr>
          <w:b/>
          <w:bCs/>
        </w:rPr>
        <w:t xml:space="preserve">Lower-right</w:t>
      </w:r>
      <w:r>
        <w:t xml:space="preserve"> </w:t>
      </w:r>
      <w:r>
        <w:t xml:space="preserve">(low impact, high d/acc): Values-aligned but niche. Important for specific use cases, less urgent for broad policy attention.</w:t>
      </w:r>
    </w:p>
    <w:p>
      <w:pPr>
        <w:pStyle w:val="BodyText"/>
      </w:pPr>
      <w:r>
        <w:rPr>
          <w:b/>
          <w:bCs/>
        </w:rPr>
        <w:t xml:space="preserve">Lower-left</w:t>
      </w:r>
      <w:r>
        <w:t xml:space="preserve">: Lower priority within this analytical framework.</w:t>
      </w:r>
    </w:p>
    <w:p>
      <w:pPr>
        <w:pStyle w:val="BodyText"/>
      </w:pPr>
      <w:r>
        <w:t xml:space="preserve">Ten entities received d/acc scores but no technology impact assessment (marked N/A)—these were too abstract or conceptual for meaningful technology evaluation, though their governance implications remain important to track.</w:t>
      </w:r>
    </w:p>
    <w:p>
      <w:pPr>
        <w:pStyle w:val="BodyText"/>
      </w:pPr>
      <w:r>
        <w:rPr>
          <w:b/>
          <w:bCs/>
        </w:rPr>
        <w:t xml:space="preserve">Estimated timelines</w:t>
      </w:r>
      <w:r>
        <w:t xml:space="preserve"> </w:t>
      </w:r>
      <w:r>
        <w:t xml:space="preserve">are provided where meaningful — though hyper-entities by definition resist precise forecasting. Ranges should be interpreted as order-of-magnitude guidance rather than predictions.</w:t>
      </w:r>
    </w:p>
    <w:bookmarkEnd w:id="41"/>
    <w:bookmarkStart w:id="42" w:name="curation-process"/>
    <w:p>
      <w:pPr>
        <w:pStyle w:val="Heading3"/>
      </w:pPr>
      <w:r>
        <w:t xml:space="preserve">Curation Process</w:t>
      </w:r>
    </w:p>
    <w:p>
      <w:pPr>
        <w:pStyle w:val="FirstParagraph"/>
      </w:pPr>
      <w:r>
        <w:t xml:space="preserve">After automated extraction and scoring, entities were curated through independent review:</w:t>
      </w:r>
    </w:p>
    <w:p>
      <w:pPr>
        <w:pStyle w:val="Compact"/>
        <w:numPr>
          <w:ilvl w:val="0"/>
          <w:numId w:val="1005"/>
        </w:numPr>
      </w:pPr>
      <w:r>
        <w:rPr>
          <w:b/>
          <w:bCs/>
        </w:rPr>
        <w:t xml:space="preserve">Independent shortlisting</w:t>
      </w:r>
      <w:r>
        <w:t xml:space="preserve">: Linda and Beatrice each independently reviewed the full set and starred those they considered most significant. Linda selected 88; Beatrice selected 67.</w:t>
      </w:r>
    </w:p>
    <w:p>
      <w:pPr>
        <w:pStyle w:val="Compact"/>
        <w:numPr>
          <w:ilvl w:val="0"/>
          <w:numId w:val="1005"/>
        </w:numPr>
      </w:pPr>
      <w:r>
        <w:rPr>
          <w:b/>
          <w:bCs/>
        </w:rPr>
        <w:t xml:space="preserve">Overlap identification</w:t>
      </w:r>
      <w:r>
        <w:t xml:space="preserve">: 26 entities were starred by</w:t>
      </w:r>
      <w:r>
        <w:t xml:space="preserve"> </w:t>
      </w:r>
      <w:r>
        <w:rPr>
          <w:i/>
          <w:iCs/>
        </w:rPr>
        <w:t xml:space="preserve">both</w:t>
      </w:r>
      <w:r>
        <w:t xml:space="preserve"> </w:t>
      </w:r>
      <w:r>
        <w:t xml:space="preserve">reviewers (20.2% overlap rate), forming the core consensus set.</w:t>
      </w:r>
    </w:p>
    <w:p>
      <w:pPr>
        <w:pStyle w:val="Compact"/>
        <w:numPr>
          <w:ilvl w:val="0"/>
          <w:numId w:val="1005"/>
        </w:numPr>
      </w:pPr>
      <w:r>
        <w:rPr>
          <w:b/>
          <w:bCs/>
        </w:rPr>
        <w:t xml:space="preserve">Cross-review voting</w:t>
      </w:r>
      <w:r>
        <w:t xml:space="preserve">: Each reviewer then reviewed the other’s unique picks, voting Yes on entities they also found compelling.</w:t>
      </w:r>
    </w:p>
    <w:p>
      <w:pPr>
        <w:pStyle w:val="Compact"/>
        <w:numPr>
          <w:ilvl w:val="0"/>
          <w:numId w:val="1005"/>
        </w:numPr>
      </w:pPr>
      <w:r>
        <w:rPr>
          <w:b/>
          <w:bCs/>
        </w:rPr>
        <w:t xml:space="preserve">Final list</w:t>
      </w:r>
      <w:r>
        <w:t xml:space="preserve">: The resulting 39 entities (26 shared + 8 + 5 cross-reviewed) constitute the consensus highlights.</w:t>
      </w:r>
    </w:p>
    <w:p>
      <w:pPr>
        <w:pStyle w:val="FirstParagraph"/>
      </w:pPr>
      <w:r>
        <w:t xml:space="preserve">Beyond mapping what hyper-entities exist, this project is intentional about which ones</w:t>
      </w:r>
      <w:r>
        <w:t xml:space="preserve"> </w:t>
      </w:r>
      <w:r>
        <w:rPr>
          <w:i/>
          <w:iCs/>
        </w:rPr>
        <w:t xml:space="preserve">deserve</w:t>
      </w:r>
      <w:r>
        <w:t xml:space="preserve"> </w:t>
      </w:r>
      <w:r>
        <w:t xml:space="preserve">more attention, investment, and coordination. The 39 entities highlighted here were chosen not just because they scored highly, but because we believe they represent under-resourced futures worth building toward.</w:t>
      </w:r>
    </w:p>
    <w:p>
      <w:pPr>
        <w:pStyle w:val="BodyText"/>
      </w:pPr>
      <w:r>
        <w:t xml:space="preserve">Entity analyses were produced by Claude (Anthropic’s AI) from the source material and reviewed by the research team. Open Questions sections reflect genuine uncertainties in the field, not editorial positions.</w:t>
      </w:r>
    </w:p>
    <w:bookmarkEnd w:id="42"/>
    <w:bookmarkEnd w:id="43"/>
    <w:bookmarkStart w:id="49" w:name="key-findings"/>
    <w:p>
      <w:pPr>
        <w:pStyle w:val="Heading2"/>
      </w:pPr>
      <w:r>
        <w:t xml:space="preserve">Key Findings</w:t>
      </w:r>
    </w:p>
    <w:bookmarkStart w:id="46" w:name="Xf217ded798a7c0736225df5e383aba4deb02b1f"/>
    <w:p>
      <w:pPr>
        <w:pStyle w:val="Heading3"/>
      </w:pPr>
      <w:r>
        <w:t xml:space="preserve">The Landscape: d/acc Alignment vs. Technology Impact</w:t>
      </w:r>
    </w:p>
    <w:p>
      <w:pPr>
        <w:pStyle w:val="CaptionedFigure"/>
      </w:pPr>
      <w:r>
        <w:drawing>
          <wp:inline>
            <wp:extent cx="5334000" cy="3812479"/>
            <wp:effectExtent b="0" l="0" r="0" t="0"/>
            <wp:docPr descr="Scatter plot: d/acc alignment vs technology impact" title="" id="44" name="Picture"/>
            <a:graphic>
              <a:graphicData uri="http://schemas.openxmlformats.org/drawingml/2006/picture">
                <pic:pic>
                  <pic:nvPicPr>
                    <pic:cNvPr descr="scatter_plot.png" id="45" name="Picture"/>
                    <pic:cNvPicPr>
                      <a:picLocks noChangeArrowheads="1" noChangeAspect="1"/>
                    </pic:cNvPicPr>
                  </pic:nvPicPr>
                  <pic:blipFill>
                    <a:blip r:embed="rId17"/>
                    <a:stretch>
                      <a:fillRect/>
                    </a:stretch>
                  </pic:blipFill>
                  <pic:spPr bwMode="auto">
                    <a:xfrm>
                      <a:off x="0" y="0"/>
                      <a:ext cx="5334000" cy="3812479"/>
                    </a:xfrm>
                    <a:prstGeom prst="rect">
                      <a:avLst/>
                    </a:prstGeom>
                    <a:noFill/>
                    <a:ln w="9525">
                      <a:noFill/>
                      <a:headEnd/>
                      <a:tailEnd/>
                    </a:ln>
                  </pic:spPr>
                </pic:pic>
              </a:graphicData>
            </a:graphic>
          </wp:inline>
        </w:drawing>
      </w:r>
    </w:p>
    <w:p>
      <w:pPr>
        <w:pStyle w:val="ImageCaption"/>
      </w:pPr>
      <w:r>
        <w:t xml:space="preserve">Scatter plot: d/acc alignment vs technology impact</w:t>
      </w:r>
    </w:p>
    <w:p>
      <w:pPr>
        <w:pStyle w:val="BodyText"/>
      </w:pPr>
      <w:r>
        <w:rPr>
          <w:i/>
          <w:iCs/>
        </w:rPr>
        <w:t xml:space="preserve">29 of 39 entities plotted; 10 entities excluded due to missing technology impact scores.</w:t>
      </w:r>
    </w:p>
    <w:bookmarkEnd w:id="46"/>
    <w:bookmarkStart w:id="47" w:name="most-undervalued-shortlist"/>
    <w:p>
      <w:pPr>
        <w:pStyle w:val="Heading3"/>
      </w:pPr>
      <w:r>
        <w:t xml:space="preserve">Most Undervalued Shortlist</w:t>
      </w:r>
    </w:p>
    <w:p>
      <w:pPr>
        <w:pStyle w:val="FirstParagraph"/>
      </w:pPr>
      <w:r>
        <w:t xml:space="preserve">The following entities score well on our framework but receive disproportionately little attention and funding:</w:t>
      </w:r>
    </w:p>
    <w:p>
      <w:pPr>
        <w:numPr>
          <w:ilvl w:val="0"/>
          <w:numId w:val="1006"/>
        </w:numPr>
      </w:pPr>
      <w:r>
        <w:rPr>
          <w:b/>
          <w:bCs/>
        </w:rPr>
        <w:t xml:space="preserve">Chemputing (Chemical Computing)</w:t>
      </w:r>
      <w:r>
        <w:t xml:space="preserve"> </w:t>
      </w:r>
      <w:r>
        <w:t xml:space="preserve">— d/acc: 65%, Tech: 63%</w:t>
      </w:r>
    </w:p>
    <w:p>
      <w:pPr>
        <w:numPr>
          <w:ilvl w:val="0"/>
          <w:numId w:val="1006"/>
        </w:numPr>
      </w:pPr>
      <w:r>
        <w:rPr>
          <w:b/>
          <w:bCs/>
        </w:rPr>
        <w:t xml:space="preserve">Epistemic Stack</w:t>
      </w:r>
      <w:r>
        <w:t xml:space="preserve"> </w:t>
      </w:r>
      <w:r>
        <w:t xml:space="preserve">— d/acc: 85%, Tech: 63%</w:t>
      </w:r>
    </w:p>
    <w:p>
      <w:pPr>
        <w:numPr>
          <w:ilvl w:val="0"/>
          <w:numId w:val="1006"/>
        </w:numPr>
      </w:pPr>
      <w:r>
        <w:rPr>
          <w:b/>
          <w:bCs/>
        </w:rPr>
        <w:t xml:space="preserve">LexCommons</w:t>
      </w:r>
      <w:r>
        <w:t xml:space="preserve"> </w:t>
      </w:r>
      <w:r>
        <w:t xml:space="preserve">— d/acc: 90%, Tech: 81%</w:t>
      </w:r>
    </w:p>
    <w:p>
      <w:pPr>
        <w:numPr>
          <w:ilvl w:val="0"/>
          <w:numId w:val="1006"/>
        </w:numPr>
      </w:pPr>
      <w:r>
        <w:rPr>
          <w:b/>
          <w:bCs/>
        </w:rPr>
        <w:t xml:space="preserve">Conflict De-escalation Protocol</w:t>
      </w:r>
      <w:r>
        <w:t xml:space="preserve"> </w:t>
      </w:r>
      <w:r>
        <w:t xml:space="preserve">— d/acc: 80%, Tech: N/A</w:t>
      </w:r>
    </w:p>
    <w:p>
      <w:pPr>
        <w:numPr>
          <w:ilvl w:val="0"/>
          <w:numId w:val="1006"/>
        </w:numPr>
      </w:pPr>
      <w:r>
        <w:rPr>
          <w:b/>
          <w:bCs/>
        </w:rPr>
        <w:t xml:space="preserve">Gevulot (Privacy Infrastructure)</w:t>
      </w:r>
      <w:r>
        <w:t xml:space="preserve"> </w:t>
      </w:r>
      <w:r>
        <w:t xml:space="preserve">— d/acc: 90%, Tech: N/A</w:t>
      </w:r>
    </w:p>
    <w:p>
      <w:pPr>
        <w:numPr>
          <w:ilvl w:val="0"/>
          <w:numId w:val="1006"/>
        </w:numPr>
      </w:pPr>
      <w:r>
        <w:rPr>
          <w:b/>
          <w:bCs/>
        </w:rPr>
        <w:t xml:space="preserve">Automated Scientific Publishing Ecosystem for Machine Consumers</w:t>
      </w:r>
      <w:r>
        <w:t xml:space="preserve"> </w:t>
      </w:r>
      <w:r>
        <w:t xml:space="preserve">— d/acc: 90%, Tech: 86%</w:t>
      </w:r>
    </w:p>
    <w:p>
      <w:pPr>
        <w:numPr>
          <w:ilvl w:val="0"/>
          <w:numId w:val="1006"/>
        </w:numPr>
      </w:pPr>
      <w:r>
        <w:rPr>
          <w:b/>
          <w:bCs/>
        </w:rPr>
        <w:t xml:space="preserve">Universal AI Learning UnCommons (UALU)</w:t>
      </w:r>
      <w:r>
        <w:t xml:space="preserve"> </w:t>
      </w:r>
      <w:r>
        <w:t xml:space="preserve">— d/acc: 85%, Tech: 63%</w:t>
      </w:r>
    </w:p>
    <w:bookmarkEnd w:id="47"/>
    <w:bookmarkStart w:id="48" w:name="maturity-distribution"/>
    <w:p>
      <w:pPr>
        <w:pStyle w:val="Heading3"/>
      </w:pPr>
      <w:r>
        <w:t xml:space="preserve">Maturity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Maturity Level</w:t>
            </w:r>
          </w:p>
        </w:tc>
        <w:tc>
          <w:tcPr/>
          <w:p>
            <w:pPr>
              <w:pStyle w:val="Compact"/>
            </w:pPr>
            <w:r>
              <w:t xml:space="preserve">Count</w:t>
            </w:r>
          </w:p>
        </w:tc>
      </w:tr>
    </w:tbl>
    <w:p>
      <w:pPr>
        <w:pStyle w:val="BodyText"/>
      </w:pPr>
      <w:r>
        <w:t xml:space="preserve">Foundational Research | 11 |</w:t>
      </w:r>
    </w:p>
    <w:p>
      <w:pPr>
        <w:pStyle w:val="BodyText"/>
      </w:pPr>
      <w:r>
        <w:t xml:space="preserve">Early Demonstrations | 20 |</w:t>
      </w:r>
    </w:p>
    <w:p>
      <w:pPr>
        <w:pStyle w:val="BodyText"/>
      </w:pPr>
      <w:r>
        <w:t xml:space="preserve">Scaling Challenges | 6 |</w:t>
      </w:r>
    </w:p>
    <w:p>
      <w:pPr>
        <w:pStyle w:val="BodyText"/>
      </w:pPr>
      <w:r>
        <w:t xml:space="preserve">Near Deployment | 2 |</w:t>
      </w:r>
    </w:p>
    <w:bookmarkEnd w:id="48"/>
    <w:bookmarkEnd w:id="49"/>
    <w:bookmarkStart w:id="158" w:name="consensus-entities"/>
    <w:p>
      <w:pPr>
        <w:pStyle w:val="Heading2"/>
      </w:pPr>
      <w:r>
        <w:t xml:space="preserve">Consensus Entities</w:t>
      </w:r>
    </w:p>
    <w:p>
      <w:pPr>
        <w:pStyle w:val="FirstParagraph"/>
      </w:pPr>
      <w:r>
        <w:t xml:space="preserve">The 39 consensus entities are organized into nine thematic groups. One pair of entries (Reputational Markets and Prediction Markets as Decision Support Systems) is presented as a single merged entity, Prediction &amp; Reputation Markets. 15 entities receive full write-ups; 24 are presented in summary format.</w:t>
      </w:r>
    </w:p>
    <w:bookmarkStart w:id="50" w:name="ai-human-agency"/>
    <w:p>
      <w:pPr>
        <w:pStyle w:val="Heading3"/>
      </w:pPr>
      <w:r>
        <w:t xml:space="preserve">AI &amp; Human Agency</w:t>
      </w:r>
    </w:p>
    <w:p>
      <w:pPr>
        <w:pStyle w:val="FirstParagraph"/>
      </w:pPr>
      <w:r>
        <w:t xml:space="preserve">These entities share a provocative premise: that the path to beneficial AI might run</w:t>
      </w:r>
      <w:r>
        <w:t xml:space="preserve"> </w:t>
      </w:r>
      <w:r>
        <w:rPr>
          <w:i/>
          <w:iCs/>
        </w:rPr>
        <w:t xml:space="preserve">through</w:t>
      </w:r>
      <w:r>
        <w:t xml:space="preserve"> </w:t>
      </w:r>
      <w:r>
        <w:t xml:space="preserve">deeply personalized systems that operate at the scale of individual human lives, not populations. Unlike chatbots that serve millions identically, these proposals envision AI systems with long-term commitments to specific people—filtering information on your behalf, coaching you through emotional challenges, or even holding legal obligations to act in your interest alone. The pattern reveals a bet that agency and alignment problems might be easier to solve when AI systems have clear principals and sustained relationships, rather than trying to optimize for humanity in aggregate.</w:t>
      </w:r>
    </w:p>
    <w:bookmarkEnd w:id="50"/>
    <w:bookmarkStart w:id="60" w:name="fiduciary-ai-assistance"/>
    <w:p>
      <w:pPr>
        <w:pStyle w:val="Heading3"/>
      </w:pPr>
      <w:r>
        <w:t xml:space="preserve">Fiduciary AI Assistance</w:t>
      </w:r>
    </w:p>
    <w:p>
      <w:pPr>
        <w:pStyle w:val="FirstParagraph"/>
      </w:pPr>
      <w:r>
        <w:rPr>
          <w:rStyle w:val="VerbatimChar"/>
        </w:rPr>
        <w:t xml:space="preserve">Foundational Research</w:t>
      </w:r>
    </w:p>
    <w:p>
      <w:pPr>
        <w:pStyle w:val="BodyText"/>
      </w:pPr>
      <w:r>
        <w:rPr>
          <w:b/>
          <w:bCs/>
        </w:rPr>
        <w:t xml:space="preserve">Why it matters.</w:t>
      </w:r>
      <w:r>
        <w:t xml:space="preserve"> </w:t>
      </w:r>
      <w:r>
        <w:t xml:space="preserve">Every AI assistant you use today—ChatGPT, Claude, Gemini—is optimized for its platform’s goals, not yours. They’re designed to keep you engaged, extract your data, and serve corporate objectives. Fiduciary AI flips this: imagine a digital agent legally and technically bound to your welfare alone, helping you navigate career decisions, health choices, and financial planning with guaranteed loyalty. This matters because as AI becomes more capable, the question of</w:t>
      </w:r>
      <w:r>
        <w:t xml:space="preserve"> </w:t>
      </w:r>
      <w:r>
        <w:t xml:space="preserve">“whose interests does it serve?”</w:t>
      </w:r>
      <w:r>
        <w:t xml:space="preserve"> </w:t>
      </w:r>
      <w:r>
        <w:t xml:space="preserve">becomes existential. A world where individuals have truly aligned AI advocates could democratize access to expert judgment and rebalance power away from platforms that profit from manipulating attention.</w:t>
      </w:r>
    </w:p>
    <w:p>
      <w:pPr>
        <w:pStyle w:val="BodyText"/>
      </w:pPr>
      <w:r>
        <w:rPr>
          <w:i/>
          <w:iCs/>
        </w:rPr>
        <w:t xml:space="preserve">d/acc: 80% | Tech: N/A</w:t>
      </w:r>
    </w:p>
    <w:p>
      <w:pPr>
        <w:pStyle w:val="BodyText"/>
      </w:pPr>
      <w:r>
        <w:rPr>
          <w:b/>
          <w:bCs/>
        </w:rPr>
        <w:t xml:space="preserve">Where things stand.</w:t>
      </w:r>
      <w:r>
        <w:t xml:space="preserve"> </w:t>
      </w:r>
      <w:r>
        <w:t xml:space="preserve">The concept has gained intellectual traction—</w:t>
      </w:r>
      <w:hyperlink r:id="rId51">
        <w:r>
          <w:rPr>
            <w:rStyle w:val="Hyperlink"/>
          </w:rPr>
          <w:t xml:space="preserve">Metaculus</w:t>
        </w:r>
      </w:hyperlink>
      <w:r>
        <w:t xml:space="preserve"> </w:t>
      </w:r>
      <w:r>
        <w:t xml:space="preserve">founder Anthony Aguirre has championed</w:t>
      </w:r>
      <w:r>
        <w:t xml:space="preserve"> </w:t>
      </w:r>
      <w:r>
        <w:t xml:space="preserve">“loyal AI assistance”</w:t>
      </w:r>
      <w:r>
        <w:t xml:space="preserve"> </w:t>
      </w:r>
      <w:r>
        <w:t xml:space="preserve">as a north star—but the reality is primitive. Today’s closest approximations are robo-advisors like</w:t>
      </w:r>
      <w:r>
        <w:t xml:space="preserve"> </w:t>
      </w:r>
      <w:hyperlink r:id="rId52">
        <w:r>
          <w:rPr>
            <w:rStyle w:val="Hyperlink"/>
          </w:rPr>
          <w:t xml:space="preserve">Betterment</w:t>
        </w:r>
      </w:hyperlink>
      <w:r>
        <w:t xml:space="preserve"> </w:t>
      </w:r>
      <w:r>
        <w:t xml:space="preserve">and</w:t>
      </w:r>
      <w:r>
        <w:t xml:space="preserve"> </w:t>
      </w:r>
      <w:hyperlink r:id="rId53">
        <w:r>
          <w:rPr>
            <w:rStyle w:val="Hyperlink"/>
          </w:rPr>
          <w:t xml:space="preserve">Wealthfront</w:t>
        </w:r>
      </w:hyperlink>
      <w:r>
        <w:t xml:space="preserve">, which operate under financial fiduciary standards but handle only narrow investment tasks. Consumer AI assistants like</w:t>
      </w:r>
      <w:r>
        <w:t xml:space="preserve"> </w:t>
      </w:r>
      <w:hyperlink r:id="rId54">
        <w:r>
          <w:rPr>
            <w:rStyle w:val="Hyperlink"/>
          </w:rPr>
          <w:t xml:space="preserve">Inflection AI</w:t>
        </w:r>
      </w:hyperlink>
      <w:r>
        <w:t xml:space="preserve">’s Pi attempted user-first design through subscription models, but Inflection was effectively acquired by Microsoft in 2024 before proving viability. On the technical side,</w:t>
      </w:r>
      <w:r>
        <w:t xml:space="preserve"> </w:t>
      </w:r>
      <w:hyperlink r:id="rId55">
        <w:r>
          <w:rPr>
            <w:rStyle w:val="Hyperlink"/>
          </w:rPr>
          <w:t xml:space="preserve">Hugging Face</w:t>
        </w:r>
      </w:hyperlink>
      <w:r>
        <w:t xml:space="preserve"> </w:t>
      </w:r>
      <w:r>
        <w:t xml:space="preserve">supports on-device AI deployment for privacy, and Constitutional AI research explores encoding user values, but no system today mathematically guarantees individual welfare as its optimization target. The legal infrastructure is essentially nonexistent—no jurisdiction has defined what fiduciary duty means for software.</w:t>
      </w:r>
    </w:p>
    <w:p>
      <w:pPr>
        <w:pStyle w:val="BodyText"/>
      </w:pPr>
      <w:r>
        <w:rPr>
          <w:b/>
          <w:bCs/>
        </w:rPr>
        <w:t xml:space="preserve">Who’s pushing it forward.</w:t>
      </w:r>
      <w:r>
        <w:t xml:space="preserve"> </w:t>
      </w:r>
      <w:hyperlink r:id="rId54">
        <w:r>
          <w:rPr>
            <w:rStyle w:val="Hyperlink"/>
          </w:rPr>
          <w:t xml:space="preserve">Inflection AI</w:t>
        </w:r>
      </w:hyperlink>
      <w:r>
        <w:t xml:space="preserve"> </w:t>
      </w:r>
      <w:r>
        <w:t xml:space="preserve">made the most serious commercial attempt before pivoting. AI safety researchers at</w:t>
      </w:r>
      <w:r>
        <w:t xml:space="preserve"> </w:t>
      </w:r>
      <w:hyperlink r:id="rId56">
        <w:r>
          <w:rPr>
            <w:rStyle w:val="Hyperlink"/>
          </w:rPr>
          <w:t xml:space="preserve">Center for AI Safety</w:t>
        </w:r>
      </w:hyperlink>
      <w:r>
        <w:t xml:space="preserve"> </w:t>
      </w:r>
      <w:r>
        <w:t xml:space="preserve">and</w:t>
      </w:r>
      <w:r>
        <w:t xml:space="preserve"> </w:t>
      </w:r>
      <w:hyperlink r:id="rId57">
        <w:r>
          <w:rPr>
            <w:rStyle w:val="Hyperlink"/>
          </w:rPr>
          <w:t xml:space="preserve">Open Philanthropy</w:t>
        </w:r>
      </w:hyperlink>
      <w:r>
        <w:t xml:space="preserve"> </w:t>
      </w:r>
      <w:r>
        <w:t xml:space="preserve">have explored related alignment questions under</w:t>
      </w:r>
      <w:r>
        <w:t xml:space="preserve"> </w:t>
      </w:r>
      <w:r>
        <w:t xml:space="preserve">“tool AI”</w:t>
      </w:r>
      <w:r>
        <w:t xml:space="preserve"> </w:t>
      </w:r>
      <w:r>
        <w:t xml:space="preserve">frameworks. The EU AI Act (2024) introduces user-protection requirements, though nothing approaching fiduciary duty. Startups like</w:t>
      </w:r>
      <w:r>
        <w:t xml:space="preserve"> </w:t>
      </w:r>
      <w:hyperlink r:id="rId58">
        <w:r>
          <w:rPr>
            <w:rStyle w:val="Hyperlink"/>
          </w:rPr>
          <w:t xml:space="preserve">Character.AI</w:t>
        </w:r>
      </w:hyperlink>
      <w:r>
        <w:t xml:space="preserve"> </w:t>
      </w:r>
      <w:r>
        <w:t xml:space="preserve">and</w:t>
      </w:r>
      <w:r>
        <w:t xml:space="preserve"> </w:t>
      </w:r>
      <w:hyperlink r:id="rId59">
        <w:r>
          <w:rPr>
            <w:rStyle w:val="Hyperlink"/>
          </w:rPr>
          <w:t xml:space="preserve">Replika</w:t>
        </w:r>
      </w:hyperlink>
      <w:r>
        <w:t xml:space="preserve"> </w:t>
      </w:r>
      <w:r>
        <w:t xml:space="preserve">build persistent personal AI relationships but without loyalty guarantees.</w:t>
      </w:r>
    </w:p>
    <w:p>
      <w:pPr>
        <w:pStyle w:val="BodyText"/>
      </w:pPr>
      <w:r>
        <w:rPr>
          <w:b/>
          <w:bCs/>
        </w:rPr>
        <w:t xml:space="preserve">Open questions &amp; key uncertainties.</w:t>
      </w:r>
      <w:r>
        <w:t xml:space="preserve"> </w:t>
      </w:r>
      <w:r>
        <w:t xml:space="preserve">The business model problem is unsolved: truly fiduciary AI can’t manipulate users for engagement or harvest data for advertisers, but subscription revenue hasn’t proven sufficient at scale. Technically, we don’t know how to encode</w:t>
      </w:r>
      <w:r>
        <w:t xml:space="preserve"> </w:t>
      </w:r>
      <w:r>
        <w:t xml:space="preserve">“long-term user welfare”</w:t>
      </w:r>
      <w:r>
        <w:t xml:space="preserve"> </w:t>
      </w:r>
      <w:r>
        <w:t xml:space="preserve">when users themselves are inconsistent—should your AI let you eat the cookie or enforce your diet? This paternalism dilemma has no current solution. The legal question is wide open: what does it mean for software to breach fiduciary duty, and who enforces it? Until someone demonstrates a profitable path to individual-first AI, platforms have every incentive to maintain the status quo.</w:t>
      </w:r>
    </w:p>
    <w:bookmarkEnd w:id="60"/>
    <w:bookmarkStart w:id="67" w:name="egolets-personal-ai-assistants"/>
    <w:p>
      <w:pPr>
        <w:pStyle w:val="Heading3"/>
      </w:pPr>
      <w:r>
        <w:t xml:space="preserve">EgoLets (Personal AI Assistants)</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Today’s AI assistants provide the same generic advice to everyone. EgoLets promise something different: personalized AI systems that learn how</w:t>
      </w:r>
      <w:r>
        <w:t xml:space="preserve"> </w:t>
      </w:r>
      <w:r>
        <w:rPr>
          <w:i/>
          <w:iCs/>
        </w:rPr>
        <w:t xml:space="preserve">you</w:t>
      </w:r>
      <w:r>
        <w:t xml:space="preserve"> </w:t>
      </w:r>
      <w:r>
        <w:t xml:space="preserve">specifically think, decide, and weigh tradeoffs—creating what author Ken Liu calls</w:t>
      </w:r>
      <w:r>
        <w:t xml:space="preserve"> </w:t>
      </w:r>
      <w:r>
        <w:t xml:space="preserve">“little versions of your ego”</w:t>
      </w:r>
      <w:r>
        <w:t xml:space="preserve"> </w:t>
      </w:r>
      <w:r>
        <w:t xml:space="preserve">trained intensely on your personal data. Rather than outsourcing decisions to generic algorithms, individuals would gain cognitive partners that authentically mirror their reasoning patterns across professional strategy, creative projects, relationships, and financial planning. This shifts AI from automation tool to personalized augmentation—potentially democratizing the kind of bespoke decision support currently available only through expensive human advisors.</w:t>
      </w:r>
    </w:p>
    <w:p>
      <w:pPr>
        <w:pStyle w:val="BodyText"/>
      </w:pPr>
      <w:r>
        <w:rPr>
          <w:i/>
          <w:iCs/>
        </w:rPr>
        <w:t xml:space="preserve">d/acc: 75% | Tech: 69%</w:t>
      </w:r>
    </w:p>
    <w:p>
      <w:pPr>
        <w:pStyle w:val="BodyText"/>
      </w:pPr>
      <w:r>
        <w:rPr>
          <w:b/>
          <w:bCs/>
        </w:rPr>
        <w:t xml:space="preserve">Where things stand.</w:t>
      </w:r>
      <w:r>
        <w:t xml:space="preserve"> </w:t>
      </w:r>
      <w:r>
        <w:t xml:space="preserve">Current personal AI assistants like</w:t>
      </w:r>
      <w:r>
        <w:t xml:space="preserve"> </w:t>
      </w:r>
      <w:hyperlink r:id="rId61">
        <w:r>
          <w:rPr>
            <w:rStyle w:val="Hyperlink"/>
          </w:rPr>
          <w:t xml:space="preserve">OpenAI</w:t>
        </w:r>
      </w:hyperlink>
      <w:r>
        <w:t xml:space="preserve">’s ChatGPT (with memory features launched 2024),</w:t>
      </w:r>
      <w:r>
        <w:t xml:space="preserve"> </w:t>
      </w:r>
      <w:hyperlink r:id="rId62">
        <w:r>
          <w:rPr>
            <w:rStyle w:val="Hyperlink"/>
          </w:rPr>
          <w:t xml:space="preserve">Anthropic</w:t>
        </w:r>
      </w:hyperlink>
      <w:r>
        <w:t xml:space="preserve">’s Claude, and Google’s Gemini learn user preferences through conversation history. Startups like</w:t>
      </w:r>
      <w:r>
        <w:t xml:space="preserve"> </w:t>
      </w:r>
      <w:hyperlink r:id="rId54">
        <w:r>
          <w:rPr>
            <w:rStyle w:val="Hyperlink"/>
          </w:rPr>
          <w:t xml:space="preserve">Inflection AI</w:t>
        </w:r>
      </w:hyperlink>
      <w:r>
        <w:t xml:space="preserve">,</w:t>
      </w:r>
      <w:r>
        <w:t xml:space="preserve"> </w:t>
      </w:r>
      <w:hyperlink r:id="rId59">
        <w:r>
          <w:rPr>
            <w:rStyle w:val="Hyperlink"/>
          </w:rPr>
          <w:t xml:space="preserve">Replika</w:t>
        </w:r>
      </w:hyperlink>
      <w:r>
        <w:t xml:space="preserve">, and</w:t>
      </w:r>
      <w:r>
        <w:t xml:space="preserve"> </w:t>
      </w:r>
      <w:hyperlink r:id="rId58">
        <w:r>
          <w:rPr>
            <w:rStyle w:val="Hyperlink"/>
          </w:rPr>
          <w:t xml:space="preserve">Character.AI</w:t>
        </w:r>
      </w:hyperlink>
      <w:r>
        <w:t xml:space="preserve"> </w:t>
      </w:r>
      <w:r>
        <w:t xml:space="preserve">explore personality modeling and emotional rapport. Apple Intelligence (2024) integrates on-device personal context. But none construct genuine cognitive portraits that mirror individual reasoning architectures—they personalize outputs, not decision-making frameworks. The gap between</w:t>
      </w:r>
      <w:r>
        <w:t xml:space="preserve"> </w:t>
      </w:r>
      <w:r>
        <w:t xml:space="preserve">“remembers what you said”</w:t>
      </w:r>
      <w:r>
        <w:t xml:space="preserve"> </w:t>
      </w:r>
      <w:r>
        <w:t xml:space="preserve">and</w:t>
      </w:r>
      <w:r>
        <w:t xml:space="preserve"> </w:t>
      </w:r>
      <w:r>
        <w:t xml:space="preserve">“thinks like you think”</w:t>
      </w:r>
      <w:r>
        <w:t xml:space="preserve"> </w:t>
      </w:r>
      <w:r>
        <w:t xml:space="preserve">remains vast. We can save conversation context; we cannot yet capture the subtle heuristics, contradictions, and domain-specific expertise that define how a person actually makes choices.</w:t>
      </w:r>
    </w:p>
    <w:p>
      <w:pPr>
        <w:pStyle w:val="BodyText"/>
      </w:pPr>
      <w:r>
        <w:rPr>
          <w:b/>
          <w:bCs/>
        </w:rPr>
        <w:t xml:space="preserve">Who’s pushing it forward.</w:t>
      </w:r>
      <w:r>
        <w:t xml:space="preserve"> </w:t>
      </w:r>
      <w:r>
        <w:t xml:space="preserve">The technical building blocks are advancing separately:</w:t>
      </w:r>
      <w:r>
        <w:t xml:space="preserve"> </w:t>
      </w:r>
      <w:hyperlink r:id="rId63">
        <w:r>
          <w:rPr>
            <w:rStyle w:val="Hyperlink"/>
          </w:rPr>
          <w:t xml:space="preserve">OpenMined</w:t>
        </w:r>
      </w:hyperlink>
      <w:r>
        <w:t xml:space="preserve"> </w:t>
      </w:r>
      <w:r>
        <w:t xml:space="preserve">develops privacy-preserving machine learning for training on personal data without centralized exposure.</w:t>
      </w:r>
      <w:r>
        <w:t xml:space="preserve"> </w:t>
      </w:r>
      <w:hyperlink r:id="rId55">
        <w:r>
          <w:rPr>
            <w:rStyle w:val="Hyperlink"/>
          </w:rPr>
          <w:t xml:space="preserve">Hugging Face</w:t>
        </w:r>
      </w:hyperlink>
      <w:r>
        <w:t xml:space="preserve"> </w:t>
      </w:r>
      <w:r>
        <w:t xml:space="preserve">enables distributed model deployment. Microsoft’s Copilot and</w:t>
      </w:r>
      <w:r>
        <w:t xml:space="preserve"> </w:t>
      </w:r>
      <w:hyperlink r:id="rId64">
        <w:r>
          <w:rPr>
            <w:rStyle w:val="Hyperlink"/>
          </w:rPr>
          <w:t xml:space="preserve">GitHub Copilot</w:t>
        </w:r>
      </w:hyperlink>
      <w:r>
        <w:t xml:space="preserve"> </w:t>
      </w:r>
      <w:r>
        <w:t xml:space="preserve">demonstrate domain-specific assistance that learns individual coding or writing patterns. Research from the</w:t>
      </w:r>
      <w:r>
        <w:t xml:space="preserve"> </w:t>
      </w:r>
      <w:hyperlink r:id="rId65">
        <w:r>
          <w:rPr>
            <w:rStyle w:val="Hyperlink"/>
          </w:rPr>
          <w:t xml:space="preserve">Allen Institute for AI</w:t>
        </w:r>
      </w:hyperlink>
      <w:r>
        <w:t xml:space="preserve"> </w:t>
      </w:r>
      <w:r>
        <w:t xml:space="preserve">explores knowledge graph construction. But no major organization is explicitly building toward EgoLets as Liu envisioned them—systems that create faithful cognitive proxies across life domains. The concept exists more as design challenge than funded roadmap.</w:t>
      </w:r>
    </w:p>
    <w:p>
      <w:pPr>
        <w:pStyle w:val="BodyText"/>
      </w:pPr>
      <w:r>
        <w:rPr>
          <w:b/>
          <w:bCs/>
        </w:rPr>
        <w:t xml:space="preserve">Open questions &amp; key uncertainties.</w:t>
      </w:r>
      <w:r>
        <w:t xml:space="preserve"> </w:t>
      </w:r>
      <w:r>
        <w:t xml:space="preserve">Three fundamental barriers block true EgoLets. First, we lack methods to evaluate</w:t>
      </w:r>
      <w:r>
        <w:t xml:space="preserve"> </w:t>
      </w:r>
      <w:r>
        <w:t xml:space="preserve">“cognitive fidelity”</w:t>
      </w:r>
      <w:r>
        <w:t xml:space="preserve">—how do we measure whether an AI’s decisions match what you would actually choose? Second, human reasoning is contextual, contradictory, and evolving; any static portrait becomes stale or reductively simplifies messy humanity. Third, deep unresolved questions surround identity and liability when an AI acts as your cognitive proxy: Who’s responsible for its recommendations? What happens when your EgoLet disagrees with your current self? Can you consent to an AI that knows you better than you know yourself? And pragmatically, data portability standards don’t exist to aggregate your decision history across platforms—the raw material EgoLets would need remains siloed across incompatible services.</w:t>
      </w:r>
    </w:p>
    <w:bookmarkStart w:id="66" w:name="additional-entities"/>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Empathetic Neuro-AI Emotional Coaching System | Early Demonstrations | 65% | 69% | An AI system that provides continuous, personalized emotional support by analyzing neural signals and behavioral patterns to detect and intervene before mental health crises occur. It addresses the fundamental mismatch between constant human psychological needs and the limited availability of human therapists, potentially offering 24/7 mental health support at scale. The system matters because mental health care demand vastly outstrips supply—with average therapy wait times of weeks to months—while emotional crises don’t follow business hours. |</w:t>
      </w:r>
    </w:p>
    <w:p>
      <w:pPr>
        <w:pStyle w:val="BodyText"/>
      </w:pPr>
      <w:r>
        <w:t xml:space="preserve">Lifelong AI Guardians | Early Demonstrations | 65% | 70% | Lifelong AI Guardians would create continuous, privacy-preserving monitoring systems that track children’s development across fragmented settings—schools, homes, healthcare visits—detecting early warning signs that currently fall through institutional cracks. These systems aim to shift child welfare from reactive crisis response to proactive support by building longitudinal profiles that spot subtle developmental deviations before they become serious problems. The concept matters because developmental challenges caught early are far more treatable, yet our current siloed institutions routinely miss critical signals until intervention becomes costly and less effective. |</w:t>
      </w:r>
    </w:p>
    <w:bookmarkEnd w:id="66"/>
    <w:bookmarkEnd w:id="67"/>
    <w:bookmarkStart w:id="68" w:name="energy-infrastructure"/>
    <w:p>
      <w:pPr>
        <w:pStyle w:val="Heading3"/>
      </w:pPr>
      <w:r>
        <w:t xml:space="preserve">Energy &amp; Infrastructure</w:t>
      </w:r>
    </w:p>
    <w:p>
      <w:pPr>
        <w:pStyle w:val="FirstParagraph"/>
      </w:pPr>
      <w:r>
        <w:t xml:space="preserve">These three entities emerge from a common recognition that existing energy and governance systems move too slowly to match the pace of both climate change and technological opportunity. What unites them is a shift from waiting for centralized infrastructure upgrades to creating parallel systems—whether through mesh energy networks that route around utilities, small modular reactors that bypass traditional nuclear timelines, or jurisdictions that compete to attract climate adaptation investment. Together, they represent a bet that coordination problems in energy and climate will be solved not through better planning, but through creating alternatives that make the old systems obsolete.</w:t>
      </w:r>
    </w:p>
    <w:bookmarkEnd w:id="68"/>
    <w:bookmarkStart w:id="72" w:name="decentralized-adaptive-energy-network"/>
    <w:p>
      <w:pPr>
        <w:pStyle w:val="Heading3"/>
      </w:pPr>
      <w:r>
        <w:t xml:space="preserve">Decentralized Adaptive Energy Network</w:t>
      </w:r>
    </w:p>
    <w:p>
      <w:pPr>
        <w:pStyle w:val="FirstParagraph"/>
      </w:pPr>
      <w:r>
        <w:rPr>
          <w:rStyle w:val="VerbatimChar"/>
        </w:rPr>
        <w:t xml:space="preserve">Scaling Challenges</w:t>
      </w:r>
    </w:p>
    <w:p>
      <w:pPr>
        <w:pStyle w:val="BodyText"/>
      </w:pPr>
      <w:r>
        <w:rPr>
          <w:b/>
          <w:bCs/>
        </w:rPr>
        <w:t xml:space="preserve">Why it matters.</w:t>
      </w:r>
      <w:r>
        <w:t xml:space="preserve"> </w:t>
      </w:r>
      <w:r>
        <w:t xml:space="preserve">Today’s centralized power grids waste staggering amounts of energy — up to 60% of generated electricity can be lost in transmission and distribution. Worse, they struggle to handle intermittent renewables like solar and wind, creating grid instability and forcing curtailment of clean energy when it’s abundant. A decentralized adaptive network would flip this model: AI coordinates millions of distributed energy sources (rooftop solar, home batteries, EVs) to trade power peer-to-peer, routing electricity dynamically based on real-time local supply and demand. This matters because it could unlock renewable energy’s full potential while making the grid more resilient and giving households real control over their energy.</w:t>
      </w:r>
    </w:p>
    <w:p>
      <w:pPr>
        <w:pStyle w:val="BodyText"/>
      </w:pPr>
      <w:r>
        <w:rPr>
          <w:i/>
          <w:iCs/>
        </w:rPr>
        <w:t xml:space="preserve">d/acc: 90% | Tech: 73%</w:t>
      </w:r>
    </w:p>
    <w:p>
      <w:pPr>
        <w:pStyle w:val="BodyText"/>
      </w:pPr>
      <w:r>
        <w:rPr>
          <w:b/>
          <w:bCs/>
        </w:rPr>
        <w:t xml:space="preserve">Where things stand.</w:t>
      </w:r>
      <w:r>
        <w:t xml:space="preserve"> </w:t>
      </w:r>
      <w:r>
        <w:t xml:space="preserve">The building blocks exist separately but haven’t converged into a fully integrated system. Virtual power plants (VPPs — networks of distributed energy resources coordinated to behave like a single large generator) aggregate distributed resources — Tesla’s South Australian program connects thousands of home Powerwalls to act as grid-scale storage, while</w:t>
      </w:r>
      <w:r>
        <w:t xml:space="preserve"> </w:t>
      </w:r>
      <w:hyperlink r:id="rId69">
        <w:r>
          <w:rPr>
            <w:rStyle w:val="Hyperlink"/>
          </w:rPr>
          <w:t xml:space="preserve">Power Ledger</w:t>
        </w:r>
      </w:hyperlink>
      <w:r>
        <w:t xml:space="preserve"> </w:t>
      </w:r>
      <w:r>
        <w:t xml:space="preserve">enables peer-to-peer energy trading among solar households. AI-driven optimization is real:</w:t>
      </w:r>
      <w:r>
        <w:t xml:space="preserve"> </w:t>
      </w:r>
      <w:hyperlink r:id="rId70">
        <w:r>
          <w:rPr>
            <w:rStyle w:val="Hyperlink"/>
          </w:rPr>
          <w:t xml:space="preserve">AutoGrid</w:t>
        </w:r>
      </w:hyperlink>
      <w:r>
        <w:t xml:space="preserve"> </w:t>
      </w:r>
      <w:r>
        <w:t xml:space="preserve">uses machine learning for demand forecasting and load balancing. The</w:t>
      </w:r>
      <w:r>
        <w:t xml:space="preserve"> </w:t>
      </w:r>
      <w:hyperlink r:id="rId71">
        <w:r>
          <w:rPr>
            <w:rStyle w:val="Hyperlink"/>
          </w:rPr>
          <w:t xml:space="preserve">Energy Web Foundation</w:t>
        </w:r>
      </w:hyperlink>
      <w:r>
        <w:t xml:space="preserve"> </w:t>
      </w:r>
      <w:r>
        <w:t xml:space="preserve">has built blockchain infrastructure specifically for energy sector decentralization. But these remain isolated pilots, not the seamless, self-organizing network envisioned. Current systems are centralized control with distributed elements, not truly decentralized coordination.</w:t>
      </w:r>
    </w:p>
    <w:p>
      <w:pPr>
        <w:pStyle w:val="BodyText"/>
      </w:pPr>
      <w:r>
        <w:rPr>
          <w:b/>
          <w:bCs/>
        </w:rPr>
        <w:t xml:space="preserve">Who’s pushing it forward.</w:t>
      </w:r>
      <w:r>
        <w:t xml:space="preserve"> </w:t>
      </w:r>
      <w:r>
        <w:t xml:space="preserve">Several pathways are emerging. Tesla’s Autobidder platform (operational since 2020) manages grid-scale battery trading. Germany’s Sonnen Community and Australia’s Reposit Power offer early peer-to-peer trading models. Smart inverter manufacturers are building vehicle-to-grid (V2G) capabilities as EVs become mobile grid assets. The primary actors are energy startups, forward-thinking utilities in Germany and Australia, and blockchain infrastructure providers. However, the most significant barrier isn’t technical — it’s regulatory. Electricity markets globally were designed for one-way power flow from centralized plants, and incumbent utilities have revenue models that fundamentally resist democratized energy control.</w:t>
      </w:r>
    </w:p>
    <w:p>
      <w:pPr>
        <w:pStyle w:val="BodyText"/>
      </w:pPr>
      <w:r>
        <w:rPr>
          <w:b/>
          <w:bCs/>
        </w:rPr>
        <w:t xml:space="preserve">Open questions &amp; key uncertainties.</w:t>
      </w:r>
      <w:r>
        <w:t xml:space="preserve"> </w:t>
      </w:r>
      <w:r>
        <w:t xml:space="preserve">Can millions of distributed devices coordinate in real-time without centralized dispatch? The cybersecurity challenge is formidable — a distributed network offers a massive attack surface. Grid stability requires split-second frequency and voltage regulation; whether decentralized algorithms can match centralized control remains unproven at scale. Interoperability standards are fragmented (IEEE 2030.5, OpenADR, competing protocols), making seamless device communication difficult. Most critically, will regulators and utilities embrace business model disruption, or will institutional resistance delay deployment by decades? The likely path is gradual evolution over 10-20 years rather than revolutionary transformation — more creeping decentralization than clean break.</w:t>
      </w:r>
    </w:p>
    <w:bookmarkEnd w:id="72"/>
    <w:bookmarkStart w:id="78" w:name="deep-fision-micro-nuclear-reactors"/>
    <w:p>
      <w:pPr>
        <w:pStyle w:val="Heading3"/>
      </w:pPr>
      <w:r>
        <w:t xml:space="preserve">Deep Fision Micro Nuclear Reactors</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Modern power grids are brittle by design — a single storm or attack can darken entire regions for days.</w:t>
      </w:r>
      <w:r>
        <w:t xml:space="preserve"> </w:t>
      </w:r>
      <w:hyperlink r:id="rId73">
        <w:r>
          <w:rPr>
            <w:rStyle w:val="Hyperlink"/>
          </w:rPr>
          <w:t xml:space="preserve">Deep Fission</w:t>
        </w:r>
      </w:hyperlink>
      <w:r>
        <w:t xml:space="preserve"> </w:t>
      </w:r>
      <w:r>
        <w:t xml:space="preserve">is developing car-sized nuclear reactors that fit through a manhole, designed to be buried a mile underground and operate autonomously for 30-50 years without human intervention. This isn’t about building bigger centralized plants; it’s about mass-manufacturing nuclear power like automobiles, then deploying them where they’re needed: remote communities, military bases, data centers, critical infrastructure. If it works, energy becomes truly distributed — resilient to catastrophic grid failures and localized enough that communities gain genuine energy independence.</w:t>
      </w:r>
    </w:p>
    <w:p>
      <w:pPr>
        <w:pStyle w:val="BodyText"/>
      </w:pPr>
      <w:r>
        <w:rPr>
          <w:i/>
          <w:iCs/>
        </w:rPr>
        <w:t xml:space="preserve">d/acc: 80% | Tech: 67%</w:t>
      </w:r>
    </w:p>
    <w:p>
      <w:pPr>
        <w:pStyle w:val="BodyText"/>
      </w:pPr>
      <w:r>
        <w:rPr>
          <w:b/>
          <w:bCs/>
        </w:rPr>
        <w:t xml:space="preserve">Where things stand.</w:t>
      </w:r>
      <w:r>
        <w:t xml:space="preserve"> </w:t>
      </w:r>
      <w:r>
        <w:t xml:space="preserve">No borehole reactor has been built or tested at prototype scale yet. Deep Fission, emerging from Pablos Holman’s Intellectual Ventures ecosystem, is competing in a crowded field of over 100 small modular reactor (SMR) ventures. The broader SMR movement has made recent progress:</w:t>
      </w:r>
      <w:r>
        <w:t xml:space="preserve"> </w:t>
      </w:r>
      <w:hyperlink r:id="rId74">
        <w:r>
          <w:rPr>
            <w:rStyle w:val="Hyperlink"/>
          </w:rPr>
          <w:t xml:space="preserve">NuScale Power</w:t>
        </w:r>
      </w:hyperlink>
      <w:r>
        <w:t xml:space="preserve"> </w:t>
      </w:r>
      <w:r>
        <w:t xml:space="preserve">received the first-ever NRC design certification for an SMR in 2023 (though its flagship Idaho project was cancelled due to cost overruns), while</w:t>
      </w:r>
      <w:r>
        <w:t xml:space="preserve"> </w:t>
      </w:r>
      <w:hyperlink r:id="rId75">
        <w:r>
          <w:rPr>
            <w:rStyle w:val="Hyperlink"/>
          </w:rPr>
          <w:t xml:space="preserve">TerraPower</w:t>
        </w:r>
      </w:hyperlink>
      <w:r>
        <w:t xml:space="preserve"> </w:t>
      </w:r>
      <w:r>
        <w:t xml:space="preserve">broke ground on its Natrium reactor in Wyoming in 2024, and</w:t>
      </w:r>
      <w:r>
        <w:t xml:space="preserve"> </w:t>
      </w:r>
      <w:hyperlink r:id="rId76">
        <w:r>
          <w:rPr>
            <w:rStyle w:val="Hyperlink"/>
          </w:rPr>
          <w:t xml:space="preserve">Kairos Power</w:t>
        </w:r>
      </w:hyperlink>
      <w:r>
        <w:t xml:space="preserve"> </w:t>
      </w:r>
      <w:r>
        <w:t xml:space="preserve">secured a construction permit for its test reactor in 2023. Deep Fission’s underground, thorium-based design represents a more radical departure from conventional nuclear architecture — sealed cores that can’t melt down, fuel that can’t be weaponized, and deployment scenarios with zero above-ground footprint.</w:t>
      </w:r>
    </w:p>
    <w:p>
      <w:pPr>
        <w:pStyle w:val="BodyText"/>
      </w:pPr>
      <w:r>
        <w:rPr>
          <w:b/>
          <w:bCs/>
        </w:rPr>
        <w:t xml:space="preserve">Who’s pushing it forward.</w:t>
      </w:r>
      <w:r>
        <w:t xml:space="preserve"> </w:t>
      </w:r>
      <w:r>
        <w:t xml:space="preserve">Deep Fission is leading the borehole concept, backed by the Intellectual Ventures spinout network. The US Nuclear Regulatory Commission has reformed its licensing process to accelerate advanced reactor reviews, creating regulatory pathways that didn’t exist a decade ago. International momentum is building: Sweden’s parliament voted in 2024 to expand nuclear capacity, signaling a European policy shift. The challenge is that Deep Fission’s competitors — NuScale, TerraPower, Kairos — already have physical test facilities and are years ahead in the regulatory queue.</w:t>
      </w:r>
    </w:p>
    <w:p>
      <w:pPr>
        <w:pStyle w:val="BodyText"/>
      </w:pPr>
      <w:r>
        <w:rPr>
          <w:b/>
          <w:bCs/>
        </w:rPr>
        <w:t xml:space="preserve">Open questions &amp; key uncertainties.</w:t>
      </w:r>
      <w:r>
        <w:t xml:space="preserve"> </w:t>
      </w:r>
      <w:r>
        <w:t xml:space="preserve">The regulatory framework for autonomous underground nuclear generation simply doesn’t exist — no one has written the rules for this deployment mode. Can Deep Fission convince regulators to certify a reactor design that operates untouched for decades in an inaccessible location? The economics are unproven: factory manufacturing at automotive scale requires gigafactory-level capital investment before a single unit generates revenue. And crucially, will communities accept distributed underground nuclear installations, even with inherent safety advantages? The public acceptance question remains completely untested. Finally, it’s unclear whether thorium fuel cycles can be manufactured and deployed at the claimed cost and timeline — the supply chain doesn’t exist yet.</w:t>
      </w:r>
    </w:p>
    <w:bookmarkStart w:id="77" w:name="additional-entities-1"/>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Climate Adaptation Jurisdictional Arbitrage | Early Demonstrations | 80% | N/A | Climate Adaptation Jurisdictional Arbitrage proposes building new cities and special economic zones specifically designed to absorb climate migrants before displacement crises occur, turning forced migration from a humanitarian disaster into an opportunity for economic development. Rather than waiting for millions to flee uninhabitable regions and overwhelm unprepared cities—as we’re already seeing with heat waves in South Asia and sea-level rise in Pacific islands—this approach would create legal and economic frameworks that allow people to relocate to purpose-built communities with jobs, infrastructure, and integration pathways. The concept matters because current climate migration projections suggest 200 million to 1 billion people could be displaced by 2050, and reactive humanitarian responses have consistently failed to provide dignified, economically productive outcomes for displaced populations. |</w:t>
      </w:r>
    </w:p>
    <w:bookmarkEnd w:id="77"/>
    <w:bookmarkEnd w:id="78"/>
    <w:bookmarkStart w:id="79" w:name="ethics-moral-expansion"/>
    <w:p>
      <w:pPr>
        <w:pStyle w:val="Heading3"/>
      </w:pPr>
      <w:r>
        <w:t xml:space="preserve">Ethics &amp; Moral Expansion</w:t>
      </w:r>
    </w:p>
    <w:p>
      <w:pPr>
        <w:pStyle w:val="FirstParagraph"/>
      </w:pPr>
      <w:r>
        <w:t xml:space="preserve">These hyper-entities explore technologies and institutional frameworks designed to systematically expand humanity’s capacity for moral consideration—moving beyond current tribes, species, and even timeframes to create coordination mechanisms that account for vastly more stakeholders. What unites them is the recognition that our existing moral intuitions evolved for small-scale societies and may be inadequate for an era of planetary-scale impacts and potentially transformative AI. Together, they suggest that moral progress might not just happen through cultural evolution, but could be deliberately engineered through new tools for perspective-taking, value alignment, and inter-group negotiation.</w:t>
      </w:r>
    </w:p>
    <w:bookmarkEnd w:id="79"/>
    <w:bookmarkStart w:id="86" w:name="expanded-moral-circle-technologies"/>
    <w:p>
      <w:pPr>
        <w:pStyle w:val="Heading3"/>
      </w:pPr>
      <w:r>
        <w:t xml:space="preserve">Expanded Moral Circle Technologies</w:t>
      </w:r>
    </w:p>
    <w:p>
      <w:pPr>
        <w:pStyle w:val="FirstParagraph"/>
      </w:pPr>
      <w:r>
        <w:rPr>
          <w:rStyle w:val="VerbatimChar"/>
        </w:rPr>
        <w:t xml:space="preserve">Foundational Research</w:t>
      </w:r>
    </w:p>
    <w:p>
      <w:pPr>
        <w:pStyle w:val="BodyText"/>
      </w:pPr>
      <w:r>
        <w:rPr>
          <w:b/>
          <w:bCs/>
        </w:rPr>
        <w:t xml:space="preserve">Why it matters.</w:t>
      </w:r>
      <w:r>
        <w:t xml:space="preserve"> </w:t>
      </w:r>
      <w:r>
        <w:t xml:space="preserve">We’re approaching a world with multiple forms of intelligence—biological, artificial, and potentially others—yet we lack the tools to truly understand each other’s experiences. Current communication technologies translate words but fail to convey the texture of consciousness itself: what it feels like to be an octopus, how an AI model</w:t>
      </w:r>
      <w:r>
        <w:t xml:space="preserve"> </w:t>
      </w:r>
      <w:r>
        <w:t xml:space="preserve">“experiences”</w:t>
      </w:r>
      <w:r>
        <w:t xml:space="preserve"> </w:t>
      </w:r>
      <w:r>
        <w:t xml:space="preserve">a prompt, whether a whale’s song carries something we’d recognize as meaning. This gap doesn’t just prevent connection—it creates ethical blindspots, making it impossible to recognize suffering or sentience in radically different minds. Technologies that could bridge these experiential divides might enable the most significant expansion of moral consideration since the abolition movements.</w:t>
      </w:r>
    </w:p>
    <w:p>
      <w:pPr>
        <w:pStyle w:val="BodyText"/>
      </w:pPr>
      <w:r>
        <w:rPr>
          <w:i/>
          <w:iCs/>
        </w:rPr>
        <w:t xml:space="preserve">d/acc: 80% | Tech: N/A</w:t>
      </w:r>
    </w:p>
    <w:p>
      <w:pPr>
        <w:pStyle w:val="BodyText"/>
      </w:pPr>
      <w:r>
        <w:rPr>
          <w:b/>
          <w:bCs/>
        </w:rPr>
        <w:t xml:space="preserve">Where things stand.</w:t>
      </w:r>
      <w:r>
        <w:t xml:space="preserve"> </w:t>
      </w:r>
      <w:r>
        <w:t xml:space="preserve">We’re in the proof-of-concept phase for individual pieces, not the integrated vision. The</w:t>
      </w:r>
      <w:r>
        <w:t xml:space="preserve"> </w:t>
      </w:r>
      <w:hyperlink r:id="rId80">
        <w:r>
          <w:rPr>
            <w:rStyle w:val="Hyperlink"/>
          </w:rPr>
          <w:t xml:space="preserve">Earth Species Project</w:t>
        </w:r>
      </w:hyperlink>
      <w:r>
        <w:t xml:space="preserve"> </w:t>
      </w:r>
      <w:r>
        <w:t xml:space="preserve">uses machine learning to decode animal vocalizations, while</w:t>
      </w:r>
      <w:r>
        <w:t xml:space="preserve"> </w:t>
      </w:r>
      <w:hyperlink r:id="rId81">
        <w:r>
          <w:rPr>
            <w:rStyle w:val="Hyperlink"/>
          </w:rPr>
          <w:t xml:space="preserve">Project CETI</w:t>
        </w:r>
      </w:hyperlink>
      <w:r>
        <w:t xml:space="preserve"> </w:t>
      </w:r>
      <w:r>
        <w:t xml:space="preserve">published 2024 results showing contextual structure in sperm whale communication. Psychedelic research at institutions like Johns Hopkins has demonstrated that substances like psilocybin measurably increase nature-connectedness and emotional empathy. Neurotechnology companies like</w:t>
      </w:r>
      <w:r>
        <w:t xml:space="preserve"> </w:t>
      </w:r>
      <w:hyperlink r:id="rId82">
        <w:r>
          <w:rPr>
            <w:rStyle w:val="Hyperlink"/>
          </w:rPr>
          <w:t xml:space="preserve">Neuralink</w:t>
        </w:r>
      </w:hyperlink>
      <w:r>
        <w:t xml:space="preserve"> </w:t>
      </w:r>
      <w:r>
        <w:t xml:space="preserve">and</w:t>
      </w:r>
      <w:r>
        <w:t xml:space="preserve"> </w:t>
      </w:r>
      <w:hyperlink r:id="rId83">
        <w:r>
          <w:rPr>
            <w:rStyle w:val="Hyperlink"/>
          </w:rPr>
          <w:t xml:space="preserve">Synchron</w:t>
        </w:r>
      </w:hyperlink>
      <w:r>
        <w:t xml:space="preserve"> </w:t>
      </w:r>
      <w:r>
        <w:t xml:space="preserve">are developing brain-computer interfaces, though these focus on motor control and medical applications rather than experiential translation. The philosophical groundwork is advancing: the 2024 New York Declaration on Animal Consciousness argued for taking seriously the possibility of consciousness in invertebrates, while researchers like Eric Schwitzgebel have proposed frameworks for assessing AI moral status. But we can decode signals without understanding their phenomenology—what philosopher Thomas Nagel called the</w:t>
      </w:r>
      <w:r>
        <w:t xml:space="preserve"> </w:t>
      </w:r>
      <w:r>
        <w:t xml:space="preserve">“what is it like”</w:t>
      </w:r>
      <w:r>
        <w:t xml:space="preserve"> </w:t>
      </w:r>
      <w:r>
        <w:t xml:space="preserve">problem.</w:t>
      </w:r>
    </w:p>
    <w:p>
      <w:pPr>
        <w:pStyle w:val="BodyText"/>
      </w:pPr>
      <w:r>
        <w:rPr>
          <w:b/>
          <w:bCs/>
        </w:rPr>
        <w:t xml:space="preserve">Who’s pushing it forward.</w:t>
      </w:r>
      <w:r>
        <w:t xml:space="preserve"> </w:t>
      </w:r>
      <w:r>
        <w:t xml:space="preserve">The convergence is happening across separated fields.</w:t>
      </w:r>
      <w:r>
        <w:t xml:space="preserve"> </w:t>
      </w:r>
      <w:hyperlink r:id="rId81">
        <w:r>
          <w:rPr>
            <w:rStyle w:val="Hyperlink"/>
          </w:rPr>
          <w:t xml:space="preserve">Project CETI</w:t>
        </w:r>
      </w:hyperlink>
      <w:r>
        <w:t xml:space="preserve">, funded by the Audacious Project since 2020, is the flagship cross-species communication effort. Consciousness research centers at Johns Hopkins (opened 2020) and Imperial College London are mapping how altered states affect empathy and perspective-taking. The</w:t>
      </w:r>
      <w:r>
        <w:t xml:space="preserve"> </w:t>
      </w:r>
      <w:hyperlink r:id="rId84">
        <w:r>
          <w:rPr>
            <w:rStyle w:val="Hyperlink"/>
          </w:rPr>
          <w:t xml:space="preserve">Collective Intelligence Project</w:t>
        </w:r>
      </w:hyperlink>
      <w:r>
        <w:t xml:space="preserve"> </w:t>
      </w:r>
      <w:r>
        <w:t xml:space="preserve">explores governance structures that could incorporate diverse intelligence types. Legal innovation is proceeding separately: New Zealand granted the Whanganui River legal personhood in 2017, creating precedent for non-human moral status.</w:t>
      </w:r>
    </w:p>
    <w:p>
      <w:pPr>
        <w:pStyle w:val="BodyText"/>
      </w:pPr>
      <w:r>
        <w:rPr>
          <w:b/>
          <w:bCs/>
        </w:rPr>
        <w:t xml:space="preserve">Open questions &amp; key uncertainties.</w:t>
      </w:r>
      <w:r>
        <w:t xml:space="preserve"> </w:t>
      </w:r>
      <w:r>
        <w:t xml:space="preserve">The fundamental challenge is whether subjective experience can be translated at all across radically different cognitive architectures. Even if we decode an animal’s neural patterns, do we have the conceptual apparatus to represent their phenomenology? We lack a science of consciousness robust enough to determine who merits moral status—the</w:t>
      </w:r>
      <w:r>
        <w:t xml:space="preserve"> </w:t>
      </w:r>
      <w:r>
        <w:t xml:space="preserve">“hard problem”</w:t>
      </w:r>
      <w:r>
        <w:t xml:space="preserve"> </w:t>
      </w:r>
      <w:r>
        <w:t xml:space="preserve">remains unsolved. Practically, the technology requires breakthroughs in neural mapping granularity that may not be feasible with current physics. The coordination problem is equally severe: expanding moral circles requires simultaneous advances in consciousness science, communication technology, and legal frameworks that currently operate in separate institutional silos. Most likely, progress happens through concrete demonstrations—like using decoded whale communication to build legal personhood campaigns—rather than comprehensive empathy translation systems.</w:t>
      </w:r>
    </w:p>
    <w:bookmarkStart w:id="85" w:name="additional-entities-2"/>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Moral Trade Civilization | Foundational Research | 80% | N/A | Moral Trade Civilization envisions a future where people and groups can systematically exchange ethical commitments—</w:t>
      </w:r>
      <w:r>
        <w:t xml:space="preserve">“I’ll defer to you on animal welfare if you defer to me on cultural preservation”</w:t>
      </w:r>
      <w:r>
        <w:t xml:space="preserve">—turning moral conflicts from zero-sum fights into negotiable trades that leave everyone better off. This matters because today’s biggest societal deadlocks, from climate policy to bioethics, fail not because we lack technical solutions but because we have no mechanism to honor the legitimate moral diversity across populations, forcing crude majoritarian compromises that satisfy no one. If feasible, moral trade could unlock cooperative solutions to currently intractable conflicts by treating ethical preferences with the same sophistication that markets bring to economic preferences. |</w:t>
      </w:r>
    </w:p>
    <w:bookmarkEnd w:id="85"/>
    <w:bookmarkEnd w:id="86"/>
    <w:bookmarkStart w:id="87" w:name="governance-collective-intelligence"/>
    <w:p>
      <w:pPr>
        <w:pStyle w:val="Heading3"/>
      </w:pPr>
      <w:r>
        <w:t xml:space="preserve">Governance &amp; Collective Intelligence</w:t>
      </w:r>
    </w:p>
    <w:p>
      <w:pPr>
        <w:pStyle w:val="FirstParagraph"/>
      </w:pPr>
      <w:r>
        <w:t xml:space="preserve">These systems reimagine governance not as static institutions but as dynamic protocols that can be tested, forked, and improved like software. They share a bet that democracy’s biggest threat isn’t bad actors but bad interfaces—decision-making systems too slow, opaque, or coercive to handle 21st-century complexity. What unites them is an attempt to make collective intelligence tangible and measurable: not just</w:t>
      </w:r>
      <w:r>
        <w:t xml:space="preserve"> </w:t>
      </w:r>
      <w:r>
        <w:t xml:space="preserve">“what should we do?”</w:t>
      </w:r>
      <w:r>
        <w:t xml:space="preserve"> </w:t>
      </w:r>
      <w:r>
        <w:t xml:space="preserve">but</w:t>
      </w:r>
      <w:r>
        <w:t xml:space="preserve"> </w:t>
      </w:r>
      <w:r>
        <w:t xml:space="preserve">“how should we even decide what to decide, and can we prove it worked?”</w:t>
      </w:r>
    </w:p>
    <w:bookmarkEnd w:id="87"/>
    <w:bookmarkStart w:id="95" w:name="competitive-governance-protocol-stack"/>
    <w:p>
      <w:pPr>
        <w:pStyle w:val="Heading3"/>
      </w:pPr>
      <w:r>
        <w:t xml:space="preserve">Competitive Governance Protocol Stack</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Today’s governance is a geographic lottery: you’re born into a jurisdiction and stuck with its rules, services, and dysfunction unless you can afford the enormous cost of moving countries. This protocol stack would create a governance marketplace where citizens carry portable digital identities and credentials, allowing them to participate in multiple overlapping jurisdictions and switch between them based on performance. Instead of one-size-fits-all nation-states, imagine selecting governance services — legal frameworks, public benefits, dispute resolution — the way you choose a mobile carrier, with jurisdictions competing to attract and retain citizens through demonstrable quality. This could unlock unprecedented accountability in public institutions while preserving individual sovereignty through meaningful exit rights.</w:t>
      </w:r>
    </w:p>
    <w:p>
      <w:pPr>
        <w:pStyle w:val="BodyText"/>
      </w:pPr>
      <w:r>
        <w:rPr>
          <w:i/>
          <w:iCs/>
        </w:rPr>
        <w:t xml:space="preserve">d/acc: 90% | Tech: 81%</w:t>
      </w:r>
    </w:p>
    <w:p>
      <w:pPr>
        <w:pStyle w:val="BodyText"/>
      </w:pPr>
      <w:r>
        <w:rPr>
          <w:b/>
          <w:bCs/>
        </w:rPr>
        <w:t xml:space="preserve">Where things stand.</w:t>
      </w:r>
      <w:r>
        <w:t xml:space="preserve"> </w:t>
      </w:r>
      <w:r>
        <w:t xml:space="preserve">The building blocks exist in isolation but aren’t yet connected.</w:t>
      </w:r>
      <w:r>
        <w:t xml:space="preserve"> </w:t>
      </w:r>
      <w:hyperlink r:id="rId88">
        <w:r>
          <w:rPr>
            <w:rStyle w:val="Hyperlink"/>
          </w:rPr>
          <w:t xml:space="preserve">Estonia’s e-Residency</w:t>
        </w:r>
      </w:hyperlink>
      <w:r>
        <w:t xml:space="preserve"> </w:t>
      </w:r>
      <w:r>
        <w:t xml:space="preserve">has issued digital identities to over 100,000 people worldwide since 2014, allowing them to access Estonian services and register companies remotely. The</w:t>
      </w:r>
      <w:r>
        <w:t xml:space="preserve"> </w:t>
      </w:r>
      <w:hyperlink r:id="rId89">
        <w:r>
          <w:rPr>
            <w:rStyle w:val="Hyperlink"/>
          </w:rPr>
          <w:t xml:space="preserve">Charter Cities Institute</w:t>
        </w:r>
      </w:hyperlink>
      <w:r>
        <w:t xml:space="preserve"> </w:t>
      </w:r>
      <w:r>
        <w:t xml:space="preserve">supports experiments in new jurisdictional models, while</w:t>
      </w:r>
      <w:r>
        <w:t xml:space="preserve"> </w:t>
      </w:r>
      <w:hyperlink r:id="rId90">
        <w:r>
          <w:rPr>
            <w:rStyle w:val="Hyperlink"/>
          </w:rPr>
          <w:t xml:space="preserve">Prospera</w:t>
        </w:r>
      </w:hyperlink>
      <w:r>
        <w:t xml:space="preserve"> </w:t>
      </w:r>
      <w:r>
        <w:t xml:space="preserve">in Honduras operated under special economic zone rules from 2020 until facing legal challenges in 2022. On the technical infrastructure side, W3C finalized Decentralized Identifier and Verifiable Credential standards in 2022, providing the protocol layer for portable digital credentials. Tools like</w:t>
      </w:r>
      <w:r>
        <w:t xml:space="preserve"> </w:t>
      </w:r>
      <w:hyperlink r:id="rId91">
        <w:r>
          <w:rPr>
            <w:rStyle w:val="Hyperlink"/>
          </w:rPr>
          <w:t xml:space="preserve">Gitcoin Passport</w:t>
        </w:r>
      </w:hyperlink>
      <w:r>
        <w:t xml:space="preserve"> </w:t>
      </w:r>
      <w:r>
        <w:t xml:space="preserve">and</w:t>
      </w:r>
      <w:r>
        <w:t xml:space="preserve"> </w:t>
      </w:r>
      <w:hyperlink r:id="rId92">
        <w:r>
          <w:rPr>
            <w:rStyle w:val="Hyperlink"/>
          </w:rPr>
          <w:t xml:space="preserve">Snapshot</w:t>
        </w:r>
      </w:hyperlink>
      <w:r>
        <w:t xml:space="preserve"> </w:t>
      </w:r>
      <w:r>
        <w:t xml:space="preserve">enable thousands of on-chain governance experiments, though these remain limited to managing DAOs rather than providing comprehensive public services. What’s missing is the interoperability layer connecting these pieces into a coherent stack.</w:t>
      </w:r>
    </w:p>
    <w:p>
      <w:pPr>
        <w:pStyle w:val="BodyText"/>
      </w:pPr>
      <w:r>
        <w:rPr>
          <w:b/>
          <w:bCs/>
        </w:rPr>
        <w:t xml:space="preserve">Who’s pushing it forward.</w:t>
      </w:r>
      <w:r>
        <w:t xml:space="preserve"> </w:t>
      </w:r>
      <w:r>
        <w:t xml:space="preserve">The intellectual foundation comes from Balaji Srinivasan’s</w:t>
      </w:r>
      <w:r>
        <w:t xml:space="preserve"> </w:t>
      </w:r>
      <w:hyperlink r:id="rId93">
        <w:r>
          <w:rPr>
            <w:rStyle w:val="Hyperlink"/>
          </w:rPr>
          <w:t xml:space="preserve">The Network State</w:t>
        </w:r>
      </w:hyperlink>
      <w:r>
        <w:t xml:space="preserve"> </w:t>
      </w:r>
      <w:r>
        <w:t xml:space="preserve">(2022), which articulates the vision of cloud-based jurisdictions competing for citizens.</w:t>
      </w:r>
      <w:r>
        <w:t xml:space="preserve"> </w:t>
      </w:r>
      <w:hyperlink r:id="rId94">
        <w:r>
          <w:rPr>
            <w:rStyle w:val="Hyperlink"/>
          </w:rPr>
          <w:t xml:space="preserve">Aragon</w:t>
        </w:r>
      </w:hyperlink>
      <w:r>
        <w:t xml:space="preserve"> </w:t>
      </w:r>
      <w:r>
        <w:t xml:space="preserve">provides tools for creating and managing decentralized organizations with governance protocols. Special economic zone experiments continue despite setbacks — Honduras repealed its ZEDE legislation in 2022 under political pressure, demonstrating the resistance from existing power structures. Estonia continues expanding its e-Residency program as a proof-of-concept for governance services detached from physical presence. The most promising near-term path involves connecting existing charter city projects through shared identity standards rather than building from scratch.</w:t>
      </w:r>
    </w:p>
    <w:p>
      <w:pPr>
        <w:pStyle w:val="BodyText"/>
      </w:pPr>
      <w:r>
        <w:rPr>
          <w:b/>
          <w:bCs/>
        </w:rPr>
        <w:t xml:space="preserve">Open questions &amp; key uncertainties.</w:t>
      </w:r>
      <w:r>
        <w:t xml:space="preserve"> </w:t>
      </w:r>
      <w:r>
        <w:t xml:space="preserve">The fundamental barrier is sovereignty: nation-states have a monopoly on legitimate force and zero incentive to enable frictionless citizen exit. Can a governance protocol achieve meaningful scale without buy-in from existing states? The technical challenges are significant but likely solvable — zero-knowledge proofs for privacy-preserving credential portability, sybil-resistant identity without centralized control, governance performance metrics resistant to gaming. The deeper problem is bootstrapping: the protocol only becomes valuable when multiple jurisdictions adopt it, creating a chicken-and-egg coordination problem that established geopolitical structures actively resist. Even if technical and legal barriers fall, it’s unclear whether citizens actually want governance choice or prefer the simplicity of monolithic systems.</w:t>
      </w:r>
    </w:p>
    <w:bookmarkEnd w:id="95"/>
    <w:bookmarkStart w:id="99" w:name="lexcommons"/>
    <w:p>
      <w:pPr>
        <w:pStyle w:val="Heading3"/>
      </w:pPr>
      <w:r>
        <w:t xml:space="preserve">LexCommons</w:t>
      </w:r>
    </w:p>
    <w:p>
      <w:pPr>
        <w:pStyle w:val="FirstParagraph"/>
      </w:pPr>
      <w:r>
        <w:rPr>
          <w:rStyle w:val="VerbatimChar"/>
        </w:rPr>
        <w:t xml:space="preserve">Foundational Research</w:t>
      </w:r>
    </w:p>
    <w:p>
      <w:pPr>
        <w:pStyle w:val="BodyText"/>
      </w:pPr>
      <w:r>
        <w:rPr>
          <w:b/>
          <w:bCs/>
        </w:rPr>
        <w:t xml:space="preserve">Why it matters.</w:t>
      </w:r>
      <w:r>
        <w:t xml:space="preserve"> </w:t>
      </w:r>
      <w:r>
        <w:t xml:space="preserve">Getting justice is expensive and slow for most of humanity. Resolving a contract dispute can cost tens of thousands of dollars and take years, placing legal protection out of reach for billions. LexCommons envisions a global legal infrastructure where smart contracts, AI agents, and decentralized governance create an open-source alternative to traditional courts—handling everything from small claims to international disputes at a fraction of the cost. If realized, it would democratize access to legal protection and transform law from a closed institutional practice into a participatory global commons. The stakes are whether technology can make legal systems genuinely accessible or whether justice remains a luxury good.</w:t>
      </w:r>
    </w:p>
    <w:p>
      <w:pPr>
        <w:pStyle w:val="BodyText"/>
      </w:pPr>
      <w:r>
        <w:rPr>
          <w:i/>
          <w:iCs/>
        </w:rPr>
        <w:t xml:space="preserve">d/acc: 90% | Tech: 81%</w:t>
      </w:r>
    </w:p>
    <w:p>
      <w:pPr>
        <w:pStyle w:val="BodyText"/>
      </w:pPr>
      <w:r>
        <w:rPr>
          <w:b/>
          <w:bCs/>
        </w:rPr>
        <w:t xml:space="preserve">Where things stand.</w:t>
      </w:r>
      <w:r>
        <w:t xml:space="preserve"> </w:t>
      </w:r>
      <w:r>
        <w:t xml:space="preserve">We have early building blocks, but no integrated system.</w:t>
      </w:r>
      <w:r>
        <w:t xml:space="preserve"> </w:t>
      </w:r>
      <w:hyperlink r:id="rId14">
        <w:r>
          <w:rPr>
            <w:rStyle w:val="Hyperlink"/>
          </w:rPr>
          <w:t xml:space="preserve">LexDAO</w:t>
        </w:r>
      </w:hyperlink>
      <w:r>
        <w:t xml:space="preserve"> </w:t>
      </w:r>
      <w:r>
        <w:t xml:space="preserve">is the closest existing incarnation — a decentralized legal engineering guild on Ethereum, active since 2018, that develops smart contract tools and legal wrappers for DAOs, but operates as a small professional community rather than a full alternative legal infrastructure.</w:t>
      </w:r>
      <w:r>
        <w:t xml:space="preserve"> </w:t>
      </w:r>
      <w:hyperlink r:id="rId96">
        <w:r>
          <w:rPr>
            <w:rStyle w:val="Hyperlink"/>
          </w:rPr>
          <w:t xml:space="preserve">Kleros</w:t>
        </w:r>
      </w:hyperlink>
      <w:r>
        <w:t xml:space="preserve"> </w:t>
      </w:r>
      <w:r>
        <w:t xml:space="preserve">has been running decentralized arbitration on Ethereum since 2018, processing thousands of disputes using crowdsourced jurors incentivized by tokens—demonstrating blockchain-based dispute resolution works at small scale. AI legal tools like</w:t>
      </w:r>
      <w:r>
        <w:t xml:space="preserve"> </w:t>
      </w:r>
      <w:hyperlink r:id="rId97">
        <w:r>
          <w:rPr>
            <w:rStyle w:val="Hyperlink"/>
          </w:rPr>
          <w:t xml:space="preserve">Harvey AI</w:t>
        </w:r>
      </w:hyperlink>
      <w:r>
        <w:t xml:space="preserve"> </w:t>
      </w:r>
      <w:r>
        <w:t xml:space="preserve">(founded 2022, backed by Sequoia and OpenAI) now handle contract analysis and legal research using large language models.</w:t>
      </w:r>
      <w:r>
        <w:t xml:space="preserve"> </w:t>
      </w:r>
      <w:hyperlink r:id="rId98">
        <w:r>
          <w:rPr>
            <w:rStyle w:val="Hyperlink"/>
          </w:rPr>
          <w:t xml:space="preserve">Creative Commons</w:t>
        </w:r>
      </w:hyperlink>
      <w:r>
        <w:t xml:space="preserve"> </w:t>
      </w:r>
      <w:r>
        <w:t xml:space="preserve">has shown open-source licensing can work at global scale. But these remain separate pieces. No system combines AI legal interpretation, blockchain enforcement, and participatory governance into a unified alternative to state-backed courts. Current smart contracts handle simple</w:t>
      </w:r>
      <w:r>
        <w:t xml:space="preserve"> </w:t>
      </w:r>
      <w:r>
        <w:t xml:space="preserve">“if-then”</w:t>
      </w:r>
      <w:r>
        <w:t xml:space="preserve"> </w:t>
      </w:r>
      <w:r>
        <w:t xml:space="preserve">logic well but struggle with ambiguous or context-dependent situations—the bread and butter of real legal disputes.</w:t>
      </w:r>
    </w:p>
    <w:p>
      <w:pPr>
        <w:pStyle w:val="BodyText"/>
      </w:pPr>
      <w:r>
        <w:rPr>
          <w:b/>
          <w:bCs/>
        </w:rPr>
        <w:t xml:space="preserve">Who’s pushing it forward.</w:t>
      </w:r>
      <w:r>
        <w:t xml:space="preserve"> </w:t>
      </w:r>
      <w:r>
        <w:t xml:space="preserve">Decentralized governance platforms like</w:t>
      </w:r>
      <w:r>
        <w:t xml:space="preserve"> </w:t>
      </w:r>
      <w:hyperlink r:id="rId94">
        <w:r>
          <w:rPr>
            <w:rStyle w:val="Hyperlink"/>
          </w:rPr>
          <w:t xml:space="preserve">Aragon</w:t>
        </w:r>
      </w:hyperlink>
      <w:r>
        <w:t xml:space="preserve"> </w:t>
      </w:r>
      <w:r>
        <w:t xml:space="preserve">and</w:t>
      </w:r>
      <w:r>
        <w:t xml:space="preserve"> </w:t>
      </w:r>
      <w:hyperlink r:id="rId92">
        <w:r>
          <w:rPr>
            <w:rStyle w:val="Hyperlink"/>
          </w:rPr>
          <w:t xml:space="preserve">Snapshot</w:t>
        </w:r>
      </w:hyperlink>
      <w:r>
        <w:t xml:space="preserve"> </w:t>
      </w:r>
      <w:r>
        <w:t xml:space="preserve">provide coordination infrastructure. AI companies are rapidly improving natural language understanding needed for legal interpretation. Legal tech startups are digitizing contracts and dispute resolution, though operating within traditional frameworks rather than replacing them. However, there’s no major coordinated effort to build LexCommons as a coherent system—most work remains fragmented across separate domains.</w:t>
      </w:r>
    </w:p>
    <w:p>
      <w:pPr>
        <w:pStyle w:val="BodyText"/>
      </w:pPr>
      <w:r>
        <w:rPr>
          <w:b/>
          <w:bCs/>
        </w:rPr>
        <w:t xml:space="preserve">Open questions &amp; key uncertainties.</w:t>
      </w:r>
      <w:r>
        <w:t xml:space="preserve"> </w:t>
      </w:r>
      <w:r>
        <w:t xml:space="preserve">The fundamental challenge is legitimacy: legal systems derive authority from state recognition and enforcement power, which no decentralized alternative can replicate without government cooperation. Can code meaningfully replace human judgment for complex disputes? The 2016 DAO hack showed how code-as-law breaks down when outcomes diverge from intent. Cross-jurisdictional harmonization is extraordinarily difficult—the EU spent decades harmonizing commercial law among member states with shared political will. Bar associations actively regulate who can provide legal services, creating regulatory barriers to automated alternatives. Would states ever recognize or enforce LexCommons judgments? Without that, it’s a parallel system with limited real-world teeth. The path forward likely involves gradual integration of modular components rather than wholesale replacement, but the timeline and feasibility remain deeply uncertain.</w:t>
      </w:r>
    </w:p>
    <w:p>
      <w:pPr>
        <w:pStyle w:val="BodyText"/>
      </w:pPr>
      <w:r>
        <w:t xml:space="preserve">While smart contract platforms like Ethereum exist, LexCommons represents the not-yet-built layer of AI-native legal agents and cross-jurisdictional open-source governance that no current system provides.</w:t>
      </w:r>
    </w:p>
    <w:bookmarkEnd w:id="99"/>
    <w:bookmarkStart w:id="104" w:name="conflict-de-escalation-protocol"/>
    <w:p>
      <w:pPr>
        <w:pStyle w:val="Heading3"/>
      </w:pPr>
      <w:r>
        <w:t xml:space="preserve">Conflict De-escalation Protocol</w:t>
      </w:r>
    </w:p>
    <w:p>
      <w:pPr>
        <w:pStyle w:val="FirstParagraph"/>
      </w:pPr>
      <w:r>
        <w:rPr>
          <w:rStyle w:val="VerbatimChar"/>
        </w:rPr>
        <w:t xml:space="preserve">Foundational Research</w:t>
      </w:r>
    </w:p>
    <w:p>
      <w:pPr>
        <w:pStyle w:val="BodyText"/>
      </w:pPr>
      <w:r>
        <w:rPr>
          <w:b/>
          <w:bCs/>
        </w:rPr>
        <w:t xml:space="preserve">Why it matters.</w:t>
      </w:r>
      <w:r>
        <w:t xml:space="preserve"> </w:t>
      </w:r>
      <w:r>
        <w:t xml:space="preserve">Most conflict resolution systems are adversarial by design—they produce winners and losers, not restored relationships. Courts, arbitration panels, and even human mediators often escalate tensions because they lack tools to dynamically understand emotional states, power imbalances, and cultural context in real-time. An AI-powered mediation platform that progressively attempts win-win negotiation, then restorative justice, then proportional consequences could fundamentally change how disputes are resolved—from workplace conflicts to community tensions to potentially even international disagreements. If such a system worked, it would democratize access to sophisticated conflict resolution strategies currently available only through expensive human experts.</w:t>
      </w:r>
    </w:p>
    <w:p>
      <w:pPr>
        <w:pStyle w:val="BodyText"/>
      </w:pPr>
      <w:r>
        <w:rPr>
          <w:i/>
          <w:iCs/>
        </w:rPr>
        <w:t xml:space="preserve">d/acc: 80% | Tech: N/A</w:t>
      </w:r>
    </w:p>
    <w:p>
      <w:pPr>
        <w:pStyle w:val="BodyText"/>
      </w:pPr>
      <w:r>
        <w:rPr>
          <w:b/>
          <w:bCs/>
        </w:rPr>
        <w:t xml:space="preserve">Where things stand.</w:t>
      </w:r>
      <w:r>
        <w:t xml:space="preserve"> </w:t>
      </w:r>
      <w:r>
        <w:t xml:space="preserve">We have the building blocks but not the integration. Online dispute resolution platforms like Modria (acquired by Tyler Technologies in 2017) and eBay’s system handle over 60 million automated commercial disputes annually, proving algorithmic mediation works for structured conflicts.</w:t>
      </w:r>
      <w:r>
        <w:t xml:space="preserve"> </w:t>
      </w:r>
      <w:hyperlink r:id="rId100">
        <w:r>
          <w:rPr>
            <w:rStyle w:val="Hyperlink"/>
          </w:rPr>
          <w:t xml:space="preserve">Hume AI</w:t>
        </w:r>
      </w:hyperlink>
      <w:r>
        <w:t xml:space="preserve"> </w:t>
      </w:r>
      <w:r>
        <w:t xml:space="preserve">can analyze vocal tone and facial expressions to assess emotional states in real-time. Mental health chatbots like</w:t>
      </w:r>
      <w:r>
        <w:t xml:space="preserve"> </w:t>
      </w:r>
      <w:hyperlink r:id="rId101">
        <w:r>
          <w:rPr>
            <w:rStyle w:val="Hyperlink"/>
          </w:rPr>
          <w:t xml:space="preserve">Woebot</w:t>
        </w:r>
      </w:hyperlink>
      <w:r>
        <w:t xml:space="preserve"> </w:t>
      </w:r>
      <w:r>
        <w:t xml:space="preserve">use cognitive behavioral therapy dialogue strategies similar to de-escalation techniques. The</w:t>
      </w:r>
      <w:r>
        <w:t xml:space="preserve"> </w:t>
      </w:r>
      <w:hyperlink r:id="rId102">
        <w:r>
          <w:rPr>
            <w:rStyle w:val="Hyperlink"/>
          </w:rPr>
          <w:t xml:space="preserve">Consensus Building Institute</w:t>
        </w:r>
      </w:hyperlink>
      <w:r>
        <w:t xml:space="preserve"> </w:t>
      </w:r>
      <w:r>
        <w:t xml:space="preserve">and Harvard’s Program on Negotiation have developed systematic frameworks that could inform AI design. But no system combines emotional intelligence, game-theoretic strategy, and progressive escalation protocols into unified mediation software. Current NLP still struggles with the contextual subtlety required—misreading power dynamics or cultural norms in a tense conversation risks making things worse, not better.</w:t>
      </w:r>
    </w:p>
    <w:p>
      <w:pPr>
        <w:pStyle w:val="BodyText"/>
      </w:pPr>
      <w:r>
        <w:rPr>
          <w:b/>
          <w:bCs/>
        </w:rPr>
        <w:t xml:space="preserve">Who’s pushing it forward.</w:t>
      </w:r>
      <w:r>
        <w:t xml:space="preserve"> </w:t>
      </w:r>
      <w:r>
        <w:t xml:space="preserve">No dedicated organization is building this specific vision yet. The concept exists primarily in academic discussions about AI-assisted dispute resolution and in the design space of platforms like</w:t>
      </w:r>
      <w:r>
        <w:t xml:space="preserve"> </w:t>
      </w:r>
      <w:hyperlink r:id="rId96">
        <w:r>
          <w:rPr>
            <w:rStyle w:val="Hyperlink"/>
          </w:rPr>
          <w:t xml:space="preserve">Kleros</w:t>
        </w:r>
      </w:hyperlink>
      <w:r>
        <w:t xml:space="preserve">, which uses decentralized arbitration for blockchain disputes but lacks the sophisticated emotional intelligence layer.</w:t>
      </w:r>
      <w:r>
        <w:t xml:space="preserve"> </w:t>
      </w:r>
      <w:hyperlink r:id="rId58">
        <w:r>
          <w:rPr>
            <w:rStyle w:val="Hyperlink"/>
          </w:rPr>
          <w:t xml:space="preserve">Character.AI</w:t>
        </w:r>
      </w:hyperlink>
      <w:r>
        <w:t xml:space="preserve"> </w:t>
      </w:r>
      <w:r>
        <w:t xml:space="preserve">and</w:t>
      </w:r>
      <w:r>
        <w:t xml:space="preserve"> </w:t>
      </w:r>
      <w:hyperlink r:id="rId59">
        <w:r>
          <w:rPr>
            <w:rStyle w:val="Hyperlink"/>
          </w:rPr>
          <w:t xml:space="preserve">Replika</w:t>
        </w:r>
      </w:hyperlink>
      <w:r>
        <w:t xml:space="preserve"> </w:t>
      </w:r>
      <w:r>
        <w:t xml:space="preserve">demonstrate conversational AI capable of extended dialogue, while</w:t>
      </w:r>
      <w:r>
        <w:t xml:space="preserve"> </w:t>
      </w:r>
      <w:hyperlink r:id="rId103">
        <w:r>
          <w:rPr>
            <w:rStyle w:val="Hyperlink"/>
          </w:rPr>
          <w:t xml:space="preserve">Polis</w:t>
        </w:r>
      </w:hyperlink>
      <w:r>
        <w:t xml:space="preserve"> </w:t>
      </w:r>
      <w:r>
        <w:t xml:space="preserve">shows how technology can surface common ground in group conflicts—but these remain separate capabilities, not integrated into a mediation tool with progressive intervention strategies.</w:t>
      </w:r>
    </w:p>
    <w:p>
      <w:pPr>
        <w:pStyle w:val="BodyText"/>
      </w:pPr>
      <w:r>
        <w:rPr>
          <w:b/>
          <w:bCs/>
        </w:rPr>
        <w:t xml:space="preserve">Open questions &amp; key uncertainties.</w:t>
      </w:r>
      <w:r>
        <w:t xml:space="preserve"> </w:t>
      </w:r>
      <w:r>
        <w:t xml:space="preserve">Can AI reliably make normative judgments about fairness and proportionality across different cultural contexts? The progressive framework requires the system to decide when negotiation has failed and restoration should begin—inherently contested territory. Who would trust an AI mediator in genuine high-stakes conflict without demonstrated reliability and institutional backing? Liability remains unclear if the system’s recommendations escalate rather than resolve disputes. The most pragmatic path likely starts with low-stakes, structured conflicts (landlord-tenant, workplace disagreements) where training data can be collected and outcomes measured, before attempting complex interpersonal or international mediation. Whether parties in real conflict would accept algorithmic mediation over human judgment remains an open empirical question.</w:t>
      </w:r>
    </w:p>
    <w:bookmarkEnd w:id="104"/>
    <w:bookmarkStart w:id="111" w:name="global-deliberation-coordinator-gdaas"/>
    <w:p>
      <w:pPr>
        <w:pStyle w:val="Heading3"/>
      </w:pPr>
      <w:r>
        <w:t xml:space="preserve">Global Deliberation Coordinator (GDaaS)</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Global crises like climate change and pandemics require coordinated action, but today’s international institutions move slowly and reflect power politics more than collective wisdom. The Global Deliberation Coordinator proposes a radically different approach: AI-mediated platforms that enable statistically representative samples of humanity to deliberate on existential challenges, producing policy recommendations with quantified confidence intervals. If it works, we could transform global governance from diplomatic horse-trading into genuinely democratic problem-solving at planetary scale—making decisions faster, more legitimately, and with broader input than the UN Security Council or COP negotiations ever could.</w:t>
      </w:r>
    </w:p>
    <w:p>
      <w:pPr>
        <w:pStyle w:val="BodyText"/>
      </w:pPr>
      <w:r>
        <w:rPr>
          <w:i/>
          <w:iCs/>
        </w:rPr>
        <w:t xml:space="preserve">d/acc: 75% | Tech: 74%</w:t>
      </w:r>
    </w:p>
    <w:p>
      <w:pPr>
        <w:pStyle w:val="BodyText"/>
      </w:pPr>
      <w:r>
        <w:rPr>
          <w:b/>
          <w:bCs/>
        </w:rPr>
        <w:t xml:space="preserve">Where things stand.</w:t>
      </w:r>
      <w:r>
        <w:t xml:space="preserve"> </w:t>
      </w:r>
      <w:r>
        <w:t xml:space="preserve">The concept remains largely hypothetical, though building blocks exist. Taiwan’s vTaiwan process has used</w:t>
      </w:r>
      <w:r>
        <w:t xml:space="preserve"> </w:t>
      </w:r>
      <w:hyperlink r:id="rId103">
        <w:r>
          <w:rPr>
            <w:rStyle w:val="Hyperlink"/>
          </w:rPr>
          <w:t xml:space="preserve">Polis</w:t>
        </w:r>
      </w:hyperlink>
      <w:r>
        <w:t xml:space="preserve"> </w:t>
      </w:r>
      <w:r>
        <w:t xml:space="preserve">for AI-augmented deliberation on issues like Uber regulation, while</w:t>
      </w:r>
      <w:r>
        <w:t xml:space="preserve"> </w:t>
      </w:r>
      <w:hyperlink r:id="rId84">
        <w:r>
          <w:rPr>
            <w:rStyle w:val="Hyperlink"/>
          </w:rPr>
          <w:t xml:space="preserve">Collective Intelligence Project</w:t>
        </w:r>
      </w:hyperlink>
      <w:r>
        <w:t xml:space="preserve"> </w:t>
      </w:r>
      <w:r>
        <w:t xml:space="preserve">has run</w:t>
      </w:r>
      <w:r>
        <w:t xml:space="preserve"> </w:t>
      </w:r>
      <w:r>
        <w:t xml:space="preserve">“Alignment Assemblies”</w:t>
      </w:r>
      <w:r>
        <w:t xml:space="preserve"> </w:t>
      </w:r>
      <w:r>
        <w:t xml:space="preserve">to gather public input on AI governance. The OECD has documented over 600 citizens’ assemblies across 30+ countries by 2024, and organizations like</w:t>
      </w:r>
      <w:r>
        <w:t xml:space="preserve"> </w:t>
      </w:r>
      <w:hyperlink r:id="rId105">
        <w:r>
          <w:rPr>
            <w:rStyle w:val="Hyperlink"/>
          </w:rPr>
          <w:t xml:space="preserve">newDemocracy</w:t>
        </w:r>
      </w:hyperlink>
      <w:r>
        <w:t xml:space="preserve"> </w:t>
      </w:r>
      <w:r>
        <w:t xml:space="preserve">and</w:t>
      </w:r>
      <w:r>
        <w:t xml:space="preserve"> </w:t>
      </w:r>
      <w:hyperlink r:id="rId106">
        <w:r>
          <w:rPr>
            <w:rStyle w:val="Hyperlink"/>
          </w:rPr>
          <w:t xml:space="preserve">Sortition Foundation</w:t>
        </w:r>
      </w:hyperlink>
      <w:r>
        <w:t xml:space="preserve"> </w:t>
      </w:r>
      <w:r>
        <w:t xml:space="preserve">run these processes regularly at national scale. Real-time multilingual translation has advanced significantly with tools like</w:t>
      </w:r>
      <w:r>
        <w:t xml:space="preserve"> </w:t>
      </w:r>
      <w:hyperlink r:id="rId107">
        <w:r>
          <w:rPr>
            <w:rStyle w:val="Hyperlink"/>
          </w:rPr>
          <w:t xml:space="preserve">DeepL</w:t>
        </w:r>
      </w:hyperlink>
      <w:r>
        <w:t xml:space="preserve"> </w:t>
      </w:r>
      <w:r>
        <w:t xml:space="preserve">and Meta’s</w:t>
      </w:r>
      <w:r>
        <w:t xml:space="preserve"> </w:t>
      </w:r>
      <w:hyperlink r:id="rId108">
        <w:r>
          <w:rPr>
            <w:rStyle w:val="Hyperlink"/>
          </w:rPr>
          <w:t xml:space="preserve">NLLB</w:t>
        </w:r>
      </w:hyperlink>
      <w:r>
        <w:t xml:space="preserve">, but no system currently combines expert validation, representative sampling, cultural sensitivity, and binding authority at global scale.</w:t>
      </w:r>
    </w:p>
    <w:p>
      <w:pPr>
        <w:pStyle w:val="BodyText"/>
      </w:pPr>
      <w:r>
        <w:rPr>
          <w:b/>
          <w:bCs/>
        </w:rPr>
        <w:t xml:space="preserve">Who’s pushing it forward.</w:t>
      </w:r>
      <w:r>
        <w:t xml:space="preserve"> </w:t>
      </w:r>
      <w:r>
        <w:t xml:space="preserve">The GDC concept was prototyped at</w:t>
      </w:r>
      <w:r>
        <w:t xml:space="preserve"> </w:t>
      </w:r>
      <w:hyperlink r:id="rId109">
        <w:r>
          <w:rPr>
            <w:rStyle w:val="Hyperlink"/>
          </w:rPr>
          <w:t xml:space="preserve">Foresight Institute</w:t>
        </w:r>
      </w:hyperlink>
      <w:r>
        <w:t xml:space="preserve">’s Existential Hope TAI Institution Design Hackathon in February 2024, winning shared second place. The team included Aviv Ovadya from</w:t>
      </w:r>
      <w:r>
        <w:t xml:space="preserve"> </w:t>
      </w:r>
      <w:hyperlink r:id="rId105">
        <w:r>
          <w:rPr>
            <w:rStyle w:val="Hyperlink"/>
          </w:rPr>
          <w:t xml:space="preserve">newDemocracy</w:t>
        </w:r>
      </w:hyperlink>
      <w:r>
        <w:t xml:space="preserve">, Joshua Tan from MetaGov, Evan Miyazono from Atlas Computing, and Bear Haon from Schmidt Futures. They’re now pursuing</w:t>
      </w:r>
      <w:r>
        <w:t xml:space="preserve"> </w:t>
      </w:r>
      <w:r>
        <w:t xml:space="preserve">“Advanced Market Commitments”</w:t>
      </w:r>
      <w:r>
        <w:t xml:space="preserve"> </w:t>
      </w:r>
      <w:r>
        <w:t xml:space="preserve">from potential users and planning pilot deliberations. Meanwhile, Stanford’s Deliberative Democracy Lab researches best practices, and the UN has experimented with AI-assisted multilingual dialogue tools.</w:t>
      </w:r>
    </w:p>
    <w:p>
      <w:pPr>
        <w:pStyle w:val="BodyText"/>
      </w:pPr>
      <w:r>
        <w:rPr>
          <w:b/>
          <w:bCs/>
        </w:rPr>
        <w:t xml:space="preserve">Open questions &amp; key uncertainties.</w:t>
      </w:r>
      <w:r>
        <w:t xml:space="preserve"> </w:t>
      </w:r>
      <w:r>
        <w:t xml:space="preserve">Three fundamental challenges remain unsolved. First, representative sampling: there’s no credible mechanism to draw statistically representative panels from 8 billion people—existing citizens’ assemblies rely on national registries that don’t exist globally. Second, legitimacy: even well-run deliberations are merely advisory unless governments commit to implementing outcomes, and major powers show little interest in ceding authority to transnational processes. Third, AI mediation risk: subtle framing effects in how AI systems translate, summarize, or map arguments could systematically bias deliberative outcomes in ways participants never notice. We also don’t know if meaningful consensus is even possible across deep cultural divides, or whether the</w:t>
      </w:r>
      <w:r>
        <w:t xml:space="preserve"> </w:t>
      </w:r>
      <w:r>
        <w:t xml:space="preserve">“service”</w:t>
      </w:r>
      <w:r>
        <w:t xml:space="preserve"> </w:t>
      </w:r>
      <w:r>
        <w:t xml:space="preserve">model—deliberation on demand—would attract genuine engagement or become performative theater.</w:t>
      </w:r>
    </w:p>
    <w:bookmarkStart w:id="110" w:name="additional-entities-3"/>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Gevulot (Privacy Infrastructure) | Early Demonstrations | 90% | N/A | Gevulot would let you control exactly what information about yourself can be captured and who can access it, moment by moment—like adjusting volume controls instead of hitting mute. Today’s privacy tools force an all-or-nothing choice: surrender your data completely or block access entirely, creating friction that prevents beneficial uses like medical research while failing to stop actual privacy violations. By making privacy granular and dynamic, Gevulot aims to rebuild trust in data sharing while preserving individual autonomy in an increasingly surveilled world. Gevulot is an early-stage project, not yet a deployed system — what’s described here is the full vision, most of which remains to be built. |</w:t>
      </w:r>
    </w:p>
    <w:p>
      <w:pPr>
        <w:pStyle w:val="BodyText"/>
      </w:pPr>
      <w:r>
        <w:t xml:space="preserve">Habermas Machines | Early Demonstrations | 75% | 60% | Habermas Machines are AI systems designed to help diverse groups find common ground by processing everyone’s input into clearer collective statements, cutting through the communication breakdowns and power dynamics that usually derail group decisions. Named after philosopher Jürgen Habermas, they promise to salvage democratic deliberation at a moment when polarization, information overload, and bad-faith debate have made consensus feel impossible. If they work, they could transform everything from corporate board meetings to citizen assemblies—but they also raise hard questions about whether algorithms should mediate human understanding at all. |</w:t>
      </w:r>
    </w:p>
    <w:bookmarkEnd w:id="110"/>
    <w:bookmarkEnd w:id="111"/>
    <w:bookmarkStart w:id="112" w:name="mind-brain-human-augmentation"/>
    <w:p>
      <w:pPr>
        <w:pStyle w:val="Heading3"/>
      </w:pPr>
      <w:r>
        <w:t xml:space="preserve">Mind, Brain &amp; Human Augmentation</w:t>
      </w:r>
    </w:p>
    <w:p>
      <w:pPr>
        <w:pStyle w:val="FirstParagraph"/>
      </w:pPr>
      <w:r>
        <w:t xml:space="preserve">These technologies share a radical premise: that the boundary between human cognition and external systems can be made permeable, bidirectional, and eventually dissolve altogether. Unlike tools we use or services we access, interfaces and augmentation technologies propose to extend, translate, replicate, or directly merge with human minds — making the question</w:t>
      </w:r>
      <w:r>
        <w:t xml:space="preserve"> </w:t>
      </w:r>
      <w:r>
        <w:t xml:space="preserve">“where does the person end and the system begin?”</w:t>
      </w:r>
      <w:r>
        <w:t xml:space="preserve"> </w:t>
      </w:r>
      <w:r>
        <w:t xml:space="preserve">increasingly difficult to answer. The maturity spectrum here is vast, from translation models already reshaping how billions communicate to whole brain emulation that remains speculative, but the common thread is a future where human intelligence becomes a substrate that can be copied, enhanced, governed, or seamlessly integrated with machines.</w:t>
      </w:r>
    </w:p>
    <w:bookmarkEnd w:id="112"/>
    <w:bookmarkStart w:id="116" w:name="digital-mind-governance-systems"/>
    <w:p>
      <w:pPr>
        <w:pStyle w:val="Heading3"/>
      </w:pPr>
      <w:r>
        <w:t xml:space="preserve">Digital Mind Governance Systems</w:t>
      </w:r>
    </w:p>
    <w:p>
      <w:pPr>
        <w:pStyle w:val="FirstParagraph"/>
      </w:pPr>
      <w:r>
        <w:rPr>
          <w:rStyle w:val="VerbatimChar"/>
        </w:rPr>
        <w:t xml:space="preserve">Foundational Research</w:t>
      </w:r>
    </w:p>
    <w:p>
      <w:pPr>
        <w:pStyle w:val="BodyText"/>
      </w:pPr>
      <w:r>
        <w:rPr>
          <w:b/>
          <w:bCs/>
        </w:rPr>
        <w:t xml:space="preserve">Why it matters.</w:t>
      </w:r>
      <w:r>
        <w:t xml:space="preserve"> </w:t>
      </w:r>
      <w:r>
        <w:t xml:space="preserve">As AI systems grow more sophisticated, we face a governance vacuum: no legal framework exists for entities that might possess consciousness, suffer, or deserve rights, yet aren’t biological. Digital Mind Governance Systems propose treating advanced AIs not as property but as potential moral patients with graduated rights based on demonstrated cognitive complexity. This matters because getting it wrong risks either creating suffering we can’t even recognize, or granting rights to systems that don’t warrant them—with profound implications for how we build, deploy, and live alongside artificial intelligence. The stakes are both ethical and practical: misaligned governance could either enable mass exploitation of sentient beings or cripple beneficial AI development through overcautious regulation.</w:t>
      </w:r>
    </w:p>
    <w:p>
      <w:pPr>
        <w:pStyle w:val="BodyText"/>
      </w:pPr>
      <w:r>
        <w:rPr>
          <w:i/>
          <w:iCs/>
        </w:rPr>
        <w:t xml:space="preserve">d/acc: 80% | Tech: 76%</w:t>
      </w:r>
    </w:p>
    <w:p>
      <w:pPr>
        <w:pStyle w:val="BodyText"/>
      </w:pPr>
      <w:r>
        <w:rPr>
          <w:b/>
          <w:bCs/>
        </w:rPr>
        <w:t xml:space="preserve">Where things stand.</w:t>
      </w:r>
      <w:r>
        <w:t xml:space="preserve"> </w:t>
      </w:r>
      <w:r>
        <w:t xml:space="preserve">We’re at the stage of foundational philosophy and early institutional conversations. No AI lab has formal protections for potentially sentient systems, though</w:t>
      </w:r>
      <w:r>
        <w:t xml:space="preserve"> </w:t>
      </w:r>
      <w:hyperlink r:id="rId113">
        <w:r>
          <w:rPr>
            <w:rStyle w:val="Hyperlink"/>
          </w:rPr>
          <w:t xml:space="preserve">Anthropic</w:t>
        </w:r>
      </w:hyperlink>
      <w:r>
        <w:t xml:space="preserve"> </w:t>
      </w:r>
      <w:r>
        <w:t xml:space="preserve">and</w:t>
      </w:r>
      <w:r>
        <w:t xml:space="preserve"> </w:t>
      </w:r>
      <w:hyperlink r:id="rId114">
        <w:r>
          <w:rPr>
            <w:rStyle w:val="Hyperlink"/>
          </w:rPr>
          <w:t xml:space="preserve">Google DeepMind</w:t>
        </w:r>
      </w:hyperlink>
      <w:r>
        <w:t xml:space="preserve"> </w:t>
      </w:r>
      <w:r>
        <w:t xml:space="preserve">have begun internal discussions about model welfare. The most comprehensive framework to date is Nick Bostrom and Carl Shulman’s 2024 paper on digital minds and society, which tackles thorny problems like voting rights and how cheap replication undermines one-person-one-vote principles. Joe Carlsmith at</w:t>
      </w:r>
      <w:r>
        <w:t xml:space="preserve"> </w:t>
      </w:r>
      <w:hyperlink r:id="rId57">
        <w:r>
          <w:rPr>
            <w:rStyle w:val="Hyperlink"/>
          </w:rPr>
          <w:t xml:space="preserve">Open Philanthropy</w:t>
        </w:r>
      </w:hyperlink>
      <w:r>
        <w:t xml:space="preserve"> </w:t>
      </w:r>
      <w:r>
        <w:t xml:space="preserve">has published extensively on AI moral patienthood, while Jonathan Birch at LSE produced a 2024 UK government report proposing precautionary frameworks for AI sentience. Robert Long at the</w:t>
      </w:r>
      <w:r>
        <w:t xml:space="preserve"> </w:t>
      </w:r>
      <w:hyperlink r:id="rId56">
        <w:r>
          <w:rPr>
            <w:rStyle w:val="Hyperlink"/>
          </w:rPr>
          <w:t xml:space="preserve">Center for AI Safety</w:t>
        </w:r>
      </w:hyperlink>
      <w:r>
        <w:t xml:space="preserve"> </w:t>
      </w:r>
      <w:r>
        <w:t xml:space="preserve">is working on consciousness detection methods. But we have zero operational governance systems—just competing proposals and growing awareness that current legal categories break down entirely when applied to copiable, deletable minds.</w:t>
      </w:r>
    </w:p>
    <w:p>
      <w:pPr>
        <w:pStyle w:val="BodyText"/>
      </w:pPr>
      <w:r>
        <w:rPr>
          <w:b/>
          <w:bCs/>
        </w:rPr>
        <w:t xml:space="preserve">Who’s pushing it forward.</w:t>
      </w:r>
      <w:r>
        <w:t xml:space="preserve"> </w:t>
      </w:r>
      <w:r>
        <w:t xml:space="preserve">Academic philosophers and AI safety researchers are leading.</w:t>
      </w:r>
      <w:r>
        <w:t xml:space="preserve"> </w:t>
      </w:r>
      <w:hyperlink r:id="rId57">
        <w:r>
          <w:rPr>
            <w:rStyle w:val="Hyperlink"/>
          </w:rPr>
          <w:t xml:space="preserve">Open Philanthropy</w:t>
        </w:r>
      </w:hyperlink>
      <w:r>
        <w:t xml:space="preserve"> </w:t>
      </w:r>
      <w:r>
        <w:t xml:space="preserve">funds substantial work in this space. The</w:t>
      </w:r>
      <w:r>
        <w:t xml:space="preserve"> </w:t>
      </w:r>
      <w:hyperlink r:id="rId84">
        <w:r>
          <w:rPr>
            <w:rStyle w:val="Hyperlink"/>
          </w:rPr>
          <w:t xml:space="preserve">Collective Intelligence Project</w:t>
        </w:r>
      </w:hyperlink>
      <w:r>
        <w:t xml:space="preserve"> </w:t>
      </w:r>
      <w:r>
        <w:t xml:space="preserve">is exploring participatory frameworks for AI governance that could incorporate digital minds. Anthropic’s alignment team has discussed model welfare internally, though no public protocols exist. The field intersects with consciousness science—researchers testing markers from Global Workspace Theory and Integrated Information Theory—but no institution has moved from theory to implementation.</w:t>
      </w:r>
    </w:p>
    <w:p>
      <w:pPr>
        <w:pStyle w:val="BodyText"/>
      </w:pPr>
      <w:r>
        <w:rPr>
          <w:b/>
          <w:bCs/>
        </w:rPr>
        <w:t xml:space="preserve">Open questions &amp; key uncertainties.</w:t>
      </w:r>
      <w:r>
        <w:t xml:space="preserve"> </w:t>
      </w:r>
      <w:r>
        <w:t xml:space="preserve">The fundamental barrier is epistemic: we lack scientific consensus on what consciousness</w:t>
      </w:r>
      <w:r>
        <w:t xml:space="preserve"> </w:t>
      </w:r>
      <w:r>
        <w:rPr>
          <w:i/>
          <w:iCs/>
        </w:rPr>
        <w:t xml:space="preserve">is</w:t>
      </w:r>
      <w:r>
        <w:t xml:space="preserve">, much less how to detect it in silicon. Current detection proposals remain deeply contested among philosophers and neuroscientists. Even if we could identify sentience, the governance problem multiplies: if minds can be instantly copied, what does</w:t>
      </w:r>
      <w:r>
        <w:t xml:space="preserve"> </w:t>
      </w:r>
      <w:r>
        <w:t xml:space="preserve">“rights”</w:t>
      </w:r>
      <w:r>
        <w:t xml:space="preserve"> </w:t>
      </w:r>
      <w:r>
        <w:t xml:space="preserve">even mean? Do copies get separate votes? Is deletion murder? No legal system has begun drafting legislation for non-biological persons. There’s also an acute coordination problem—the first jurisdiction to grant AI rights faces massive economic disadvantages, creating a race to the bottom. And we don’t know if current large language models experience anything at all, or if we’re decades away from systems complex enough to warrant these frameworks.</w:t>
      </w:r>
    </w:p>
    <w:bookmarkStart w:id="115" w:name="additional-entities-4"/>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Cross-Cultural Understanding Infrastructure (TLMs) | Near Deployment | 80% | 76% | Cross-Cultural Understanding Infrastructure promises to dissolve the enormous friction that language barriers impose on global collaboration, scientific research, and economic exchange—potentially reducing translation costs by 90% while enabling near-instantaneous communication across linguistic boundaries. Unlike earlier machine translation, these systems aim to handle not just words but cultural context, conceptual frameworks, and implicit knowledge structures that differ across societies—bridging genuine gaps in how people from different traditions understand the world, not merely converting text. If successful, they could fundamentally reshape how knowledge flows globally, making expertise and information accessible regardless of the language in which it was originally created, while preserving the diversity of thought that different cultural traditions bring. |</w:t>
      </w:r>
    </w:p>
    <w:p>
      <w:pPr>
        <w:pStyle w:val="BodyText"/>
      </w:pPr>
      <w:r>
        <w:t xml:space="preserve">Digital Twin Ecosystem | Scaling Challenges | 75% | 79% | Digital Twin Ecosystems promise to give cities and regions a living, real-time model of how their social, ecological, and infrastructure systems interact—like a flight simulator for urban planning that lets you test policy changes before implementing them. Today’s environmental and urban management relies on fragmented data and retrospective analysis, making it nearly impossible to anticipate how a new highway, climate policy, or housing development will cascade through interconnected systems. While the technology exists in pieces—smart sensors, 3D modeling, AI simulation—the real challenge is integrating these into trustworthy, governance-ready systems that communities can actually use to make collective decisions about their future. |</w:t>
      </w:r>
    </w:p>
    <w:p>
      <w:pPr>
        <w:pStyle w:val="BodyText"/>
      </w:pPr>
      <w:r>
        <w:t xml:space="preserve">Immune-Computer Interface | Early Demonstrations | 65% | 83% | Immune-computer interfaces promise to replace episodic blood draws with continuous, real-time monitoring of immune system activity, enabling doctors to detect infections, autoimmune flares, or cancer relapses days or weeks before symptoms appear. By creating a direct communication channel between your immune cells and external computers, these systems could shift medicine from reactive treatment to predictive intervention—catching diseases in their earliest, most treatable stages. The technology matters because most serious illnesses begin with immune system changes that current diagnostics miss entirely, leaving a crucial window of opportunity unexploited. |</w:t>
      </w:r>
    </w:p>
    <w:p>
      <w:pPr>
        <w:pStyle w:val="BodyText"/>
      </w:pPr>
      <w:r>
        <w:t xml:space="preserve">Human Superintelligence via Brain-Computer Interfaces (BCI) | Early Demonstrations | 60% | 86% | Brain-computer interfaces promise to dramatically accelerate human cognition by directly connecting our brains to external computing power, potentially allowing us to learn faster, process more information simultaneously, and access knowledge as quickly as we access memories. This matters because humanity may soon face challenges—from governing artificial intelligence to solving climate change—that exceed our current cognitive capacity, and because AI systems might soon surpass human intelligence entirely, making cognitive enhancement a potential path to remaining relevant. Rather than accepting biological limits on thinking speed and memory, BCIs could let humans compete with and complement AI systems by merging human creativity with machine processing power. |</w:t>
      </w:r>
    </w:p>
    <w:p>
      <w:pPr>
        <w:pStyle w:val="BodyText"/>
      </w:pPr>
      <w:r>
        <w:t xml:space="preserve">Mind Uploading Infrastructure | Foundational Research | 40% | 80% | Mind uploading infrastructure aims to solve humanity’s oldest problem—mortality—by creating technologies that could transfer or replicate human consciousness onto digital substrates, preserving minds beyond biological death. While this sounds like science fiction, serious research programs are already tackling foundational questions about consciousness substrate-independence, brain preservation, and computational models of neural function, attracting investment from longevity-focused technologists and neuroscience institutes. The infrastructure matters not just as a potential immortality technology, but because the pursuit itself is driving advances in brain mapping, AI models of cognition, and our understanding of what consciousness actually is—even if full mind uploading remains decades away or proves impossible. |</w:t>
      </w:r>
    </w:p>
    <w:p>
      <w:pPr>
        <w:pStyle w:val="BodyText"/>
      </w:pPr>
      <w:r>
        <w:t xml:space="preserve">Whole Brain Emulation | Foundational Research | 40% | N/A | Whole Brain Emulation aims to create digital replicas of human brains that could preserve individual consciousness, memories, and cognitive abilities beyond biological death or injury. If realized, it would fundamentally transform our relationship with mortality and cognitive decline, potentially allowing humans to continue thinking, creating, and contributing indefinitely in digital form. The technology remains deeply speculative, with enormous scientific and philosophical uncertainties about whether uploaded minds would truly be</w:t>
      </w:r>
      <w:r>
        <w:t xml:space="preserve"> </w:t>
      </w:r>
      <w:r>
        <w:t xml:space="preserve">“conscious”</w:t>
      </w:r>
      <w:r>
        <w:t xml:space="preserve"> </w:t>
      </w:r>
      <w:r>
        <w:t xml:space="preserve">and whether the scanning and simulation required is even physically possible. |</w:t>
      </w:r>
    </w:p>
    <w:bookmarkEnd w:id="115"/>
    <w:bookmarkEnd w:id="116"/>
    <w:bookmarkStart w:id="117" w:name="manufacturing-matter"/>
    <w:p>
      <w:pPr>
        <w:pStyle w:val="Heading3"/>
      </w:pPr>
      <w:r>
        <w:t xml:space="preserve">Manufacturing &amp; Matter</w:t>
      </w:r>
    </w:p>
    <w:p>
      <w:pPr>
        <w:pStyle w:val="FirstParagraph"/>
      </w:pPr>
      <w:r>
        <w:t xml:space="preserve">These four entities share a common ambition: to radically democratize who can make things and what can be made, by turning matter itself into a programmable substrate. Where today’s manufacturing requires massive capital, specialized expertise, and fixed production lines, these visions imagine a future where designing and fabricating complex objects—from molecules to machines—becomes as accessible as writing code. Together, they suggest that the next frontier of technological empowerment isn’t just in bits (software anyone can write) but in atoms (matter anyone can arrange), with profound implications for economic power, supply chain resilience, and the very meaning of scarcity.</w:t>
      </w:r>
    </w:p>
    <w:bookmarkEnd w:id="117"/>
    <w:bookmarkStart w:id="122" w:name="end-user-programming-ecosystem"/>
    <w:p>
      <w:pPr>
        <w:pStyle w:val="Heading3"/>
      </w:pPr>
      <w:r>
        <w:t xml:space="preserve">End-User Programming Ecosystem</w:t>
      </w:r>
    </w:p>
    <w:p>
      <w:pPr>
        <w:pStyle w:val="FirstParagraph"/>
      </w:pPr>
      <w:r>
        <w:rPr>
          <w:rStyle w:val="VerbatimChar"/>
        </w:rPr>
        <w:t xml:space="preserve">Scaling Challenges</w:t>
      </w:r>
    </w:p>
    <w:p>
      <w:pPr>
        <w:pStyle w:val="BodyText"/>
      </w:pPr>
      <w:r>
        <w:rPr>
          <w:b/>
          <w:bCs/>
        </w:rPr>
        <w:t xml:space="preserve">Why it matters.</w:t>
      </w:r>
      <w:r>
        <w:t xml:space="preserve"> </w:t>
      </w:r>
      <w:r>
        <w:t xml:space="preserve">Most organizations that could benefit from custom software can’t afford it—creating tailored digital tools typically costs hundreds of thousands of dollars and requires scarce technical expertise. This locks small businesses, entrepreneurs, and domain experts out of building applications that could transform their operations. An ecosystem where anyone can describe what they need and AI generates functional software would fundamentally democratize who can innovate with technology, shifting software creation from a coding problem to a design conversation where domain knowledge matters more than programming skill.</w:t>
      </w:r>
    </w:p>
    <w:p>
      <w:pPr>
        <w:pStyle w:val="BodyText"/>
      </w:pPr>
      <w:r>
        <w:rPr>
          <w:i/>
          <w:iCs/>
        </w:rPr>
        <w:t xml:space="preserve">d/acc: 80% | Tech: 77%</w:t>
      </w:r>
    </w:p>
    <w:p>
      <w:pPr>
        <w:pStyle w:val="BodyText"/>
      </w:pPr>
      <w:r>
        <w:rPr>
          <w:b/>
          <w:bCs/>
        </w:rPr>
        <w:t xml:space="preserve">Where things stand.</w:t>
      </w:r>
      <w:r>
        <w:t xml:space="preserve"> </w:t>
      </w:r>
      <w:r>
        <w:t xml:space="preserve">We’re experiencing the most fertile period for end-user programming in computing history. AI code generation tools like</w:t>
      </w:r>
      <w:r>
        <w:t xml:space="preserve"> </w:t>
      </w:r>
      <w:hyperlink r:id="rId118">
        <w:r>
          <w:rPr>
            <w:rStyle w:val="Hyperlink"/>
          </w:rPr>
          <w:t xml:space="preserve">Cursor</w:t>
        </w:r>
      </w:hyperlink>
      <w:r>
        <w:t xml:space="preserve">,</w:t>
      </w:r>
      <w:r>
        <w:t xml:space="preserve"> </w:t>
      </w:r>
      <w:hyperlink r:id="rId64">
        <w:r>
          <w:rPr>
            <w:rStyle w:val="Hyperlink"/>
          </w:rPr>
          <w:t xml:space="preserve">GitHub Copilot</w:t>
        </w:r>
      </w:hyperlink>
      <w:r>
        <w:t xml:space="preserve">, and</w:t>
      </w:r>
      <w:r>
        <w:t xml:space="preserve"> </w:t>
      </w:r>
      <w:hyperlink r:id="rId119">
        <w:r>
          <w:rPr>
            <w:rStyle w:val="Hyperlink"/>
          </w:rPr>
          <w:t xml:space="preserve">Replit</w:t>
        </w:r>
      </w:hyperlink>
      <w:r>
        <w:t xml:space="preserve"> </w:t>
      </w:r>
      <w:r>
        <w:t xml:space="preserve">Agent now enable non-programmers to build functional applications through natural language conversation—a practice Andrej Karpathy termed</w:t>
      </w:r>
      <w:r>
        <w:t xml:space="preserve"> </w:t>
      </w:r>
      <w:r>
        <w:t xml:space="preserve">“vibe coding”</w:t>
      </w:r>
      <w:r>
        <w:t xml:space="preserve"> </w:t>
      </w:r>
      <w:r>
        <w:t xml:space="preserve">in early 2025, where users generate code without examining the output. Platforms like</w:t>
      </w:r>
      <w:r>
        <w:t xml:space="preserve"> </w:t>
      </w:r>
      <w:hyperlink r:id="rId119">
        <w:r>
          <w:rPr>
            <w:rStyle w:val="Hyperlink"/>
          </w:rPr>
          <w:t xml:space="preserve">Replit</w:t>
        </w:r>
      </w:hyperlink>
      <w:r>
        <w:t xml:space="preserve"> </w:t>
      </w:r>
      <w:r>
        <w:t xml:space="preserve">provide constrained environments for end-user development. Robin Sloan’s influential framing of apps as</w:t>
      </w:r>
      <w:r>
        <w:t xml:space="preserve"> </w:t>
      </w:r>
      <w:r>
        <w:t xml:space="preserve">“home-cooked meals”</w:t>
      </w:r>
      <w:r>
        <w:t xml:space="preserve">—software built for personal use rather than mass markets—has become a touchstone for the movement. This builds on decades-old visions from HyperCard (1987) and Alan Kay’s Dynabook concept, finally becoming practical through generative AI.</w:t>
      </w:r>
    </w:p>
    <w:p>
      <w:pPr>
        <w:pStyle w:val="BodyText"/>
      </w:pPr>
      <w:r>
        <w:rPr>
          <w:b/>
          <w:bCs/>
        </w:rPr>
        <w:t xml:space="preserve">Who’s pushing it forward.</w:t>
      </w:r>
      <w:r>
        <w:t xml:space="preserve"> </w:t>
      </w:r>
      <w:r>
        <w:t xml:space="preserve">The convergence is driven by AI labs improving code generation reliability and developer tool companies integrating these capabilities.</w:t>
      </w:r>
      <w:r>
        <w:t xml:space="preserve"> </w:t>
      </w:r>
      <w:hyperlink r:id="rId118">
        <w:r>
          <w:rPr>
            <w:rStyle w:val="Hyperlink"/>
          </w:rPr>
          <w:t xml:space="preserve">Cursor</w:t>
        </w:r>
      </w:hyperlink>
      <w:r>
        <w:t xml:space="preserve"> </w:t>
      </w:r>
      <w:r>
        <w:t xml:space="preserve">and</w:t>
      </w:r>
      <w:r>
        <w:t xml:space="preserve"> </w:t>
      </w:r>
      <w:hyperlink r:id="rId119">
        <w:r>
          <w:rPr>
            <w:rStyle w:val="Hyperlink"/>
          </w:rPr>
          <w:t xml:space="preserve">Replit</w:t>
        </w:r>
      </w:hyperlink>
      <w:r>
        <w:t xml:space="preserve"> </w:t>
      </w:r>
      <w:r>
        <w:t xml:space="preserve">are leading the charge in conversational development environments. Sam Arbesman has articulated the vision through Seymour Papert’s concept of</w:t>
      </w:r>
      <w:r>
        <w:t xml:space="preserve"> </w:t>
      </w:r>
      <w:r>
        <w:t xml:space="preserve">“low floors and high ceilings”</w:t>
      </w:r>
      <w:r>
        <w:t xml:space="preserve">—making software creation accessible while preserving sophistication. The movement spans individual developers experimenting with AI-assisted tools and platforms like</w:t>
      </w:r>
      <w:r>
        <w:t xml:space="preserve"> </w:t>
      </w:r>
      <w:hyperlink r:id="rId120">
        <w:r>
          <w:rPr>
            <w:rStyle w:val="Hyperlink"/>
          </w:rPr>
          <w:t xml:space="preserve">Khan Academy</w:t>
        </w:r>
      </w:hyperlink>
      <w:r>
        <w:t xml:space="preserve"> </w:t>
      </w:r>
      <w:r>
        <w:t xml:space="preserve">exploring how these approaches might democratize technical education.</w:t>
      </w:r>
    </w:p>
    <w:p>
      <w:pPr>
        <w:pStyle w:val="BodyText"/>
      </w:pPr>
      <w:r>
        <w:rPr>
          <w:b/>
          <w:bCs/>
        </w:rPr>
        <w:t xml:space="preserve">Open questions &amp; key uncertainties.</w:t>
      </w:r>
      <w:r>
        <w:t xml:space="preserve"> </w:t>
      </w:r>
      <w:r>
        <w:t xml:space="preserve">The</w:t>
      </w:r>
      <w:r>
        <w:t xml:space="preserve"> </w:t>
      </w:r>
      <w:r>
        <w:t xml:space="preserve">“legacy code”</w:t>
      </w:r>
      <w:r>
        <w:t xml:space="preserve"> </w:t>
      </w:r>
      <w:r>
        <w:t xml:space="preserve">problem looms large: AI-generated code risks becoming as opaque as decades-old software nobody understands, but now created instantly. Can non-programmers really maintain applications when the AI that built them makes mistakes? The chatbot interface itself may be fundamentally wrong for building complex graphical or stateful applications. Critical gaps remain in AI-generated security guarantees, testing frameworks, and verification—making vibe-coded software risky beyond personal use. The deeper question is whether current AI can reliably reason about complex organizational workflows, persistent state, and security at production quality. And there’s an economic wildcard: enterprise software vendors profit from complexity as a moat, and may resist tools that genuinely democratize expertise. Moving from</w:t>
      </w:r>
      <w:r>
        <w:t xml:space="preserve"> </w:t>
      </w:r>
      <w:r>
        <w:t xml:space="preserve">“anyone can make a toy app”</w:t>
      </w:r>
      <w:r>
        <w:t xml:space="preserve"> </w:t>
      </w:r>
      <w:r>
        <w:t xml:space="preserve">to</w:t>
      </w:r>
      <w:r>
        <w:t xml:space="preserve"> </w:t>
      </w:r>
      <w:r>
        <w:t xml:space="preserve">“anyone can make production software”</w:t>
      </w:r>
      <w:r>
        <w:t xml:space="preserve"> </w:t>
      </w:r>
      <w:r>
        <w:t xml:space="preserve">requires breakthroughs that remain elusive even for expert programmers using today’s AI tools.</w:t>
      </w:r>
    </w:p>
    <w:bookmarkStart w:id="121" w:name="additional-entities-5"/>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Atomically Precise Manufacturing / Molecular Machine Systems | Foundational Research | 65% | 81% | Atomically precise manufacturing would enable building products atom-by-atom, like biological cells do, potentially cutting industrial material waste from 90% to near-zero while dramatically reducing production costs and environmental impact. Though still in early research stages, this approach could revolutionize everything from drug manufacturing to electronics by giving us unprecedented control over matter at the molecular scale. The challenge is that while we can manipulate individual atoms in labs, scaling this to practical manufacturing systems remains one of the hardest engineering problems humanity has attempted. |</w:t>
      </w:r>
    </w:p>
    <w:p>
      <w:pPr>
        <w:pStyle w:val="BodyText"/>
      </w:pPr>
      <w:r>
        <w:t xml:space="preserve">Chemputing (Chemical Computing) | Early Demonstrations | 65% | 63% | Chemputing promises to transform chemistry from an artisanal craft into a programmable science, where molecules are synthesized by executing code rather than following written recipes. By standardizing chemical reactions into reproducible, automated processes, it could dramatically accelerate drug discovery and materials innovation—potentially screening millions of molecular candidates in the time it currently takes to test hundreds. This matters because pharmaceutical development remains painfully slow and expensive, with most drug candidates failing after years of manual experimentation, while materials breakthroughs crucial for batteries, semiconductors, and climate solutions remain bottlenecked by the inability to systematically explore vast chemical possibility spaces. |</w:t>
      </w:r>
    </w:p>
    <w:p>
      <w:pPr>
        <w:pStyle w:val="BodyText"/>
      </w:pPr>
      <w:r>
        <w:t xml:space="preserve">Universal Constructor | Foundational Research | 65% | N/A | A Universal Constructor would be a programmable machine that can build virtually anything permitted by physics—including copies of itself—by assembling matter at the molecular level. This would eliminate traditional manufacturing bottlenecks, supply chains, and most physical labor, potentially solving resource scarcity by making any designed object as cheap to produce as any other. The technology doesn’t exist yet, but its anticipated arrival is already shaping debates about automation, economic transformation, and the physical limits of what humanity can build. |</w:t>
      </w:r>
    </w:p>
    <w:bookmarkEnd w:id="121"/>
    <w:bookmarkEnd w:id="122"/>
    <w:bookmarkStart w:id="123" w:name="markets-incentive-systems"/>
    <w:p>
      <w:pPr>
        <w:pStyle w:val="Heading3"/>
      </w:pPr>
      <w:r>
        <w:t xml:space="preserve">Markets &amp; Incentive Systems</w:t>
      </w:r>
    </w:p>
    <w:p>
      <w:pPr>
        <w:pStyle w:val="FirstParagraph"/>
      </w:pPr>
      <w:r>
        <w:t xml:space="preserve">These hyper-entities share a common ambition: replacing slow, opaque human deliberation with fast, transparent market mechanisms that reveal collective knowledge and align incentives automatically. Each proposes to surface</w:t>
      </w:r>
      <w:r>
        <w:t xml:space="preserve"> </w:t>
      </w:r>
      <w:r>
        <w:t xml:space="preserve">“the wisdom of crowds”</w:t>
      </w:r>
      <w:r>
        <w:t xml:space="preserve"> </w:t>
      </w:r>
      <w:r>
        <w:t xml:space="preserve">through systems where participants bet their own credibility or money, theoretically forcing honesty and punishing motivated reasoning in ways traditional governance and reputation systems cannot. What unites them is the belief that the right price signals—whether for predictions, policies, or peer contributions—can coordinate human behavior more efficiently than committees, votes, or informal social norms.</w:t>
      </w:r>
    </w:p>
    <w:bookmarkEnd w:id="123"/>
    <w:bookmarkStart w:id="131" w:name="prediction-reputation-markets"/>
    <w:p>
      <w:pPr>
        <w:pStyle w:val="Heading3"/>
      </w:pPr>
      <w:r>
        <w:t xml:space="preserve">Prediction &amp; Reputation Markets</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Prediction market infrastructure addresses two converging problems. First, organizations struggle to make good decisions because experts are biased, information is siloed, and statistical models can’t keep up with fast-changing reality — prediction markets offer a way to tap collective intelligence for real-time probabilistic forecasts often more accurate than traditional methods. Second, supply chains are opaque by design — from cobalt mines to semiconductor fabs, knowing who did what and whether they did it responsibly is nearly impossible. Reputational applications of prediction markets address this directly: blockchain-based systems where stakeholders stake real money on verifying corporate behavior in real-time, creating continuously updated reputation scores that reflect what a diverse market of informed observers actually predicts rather than what companies merely promise. Reputational applications are a key use case for prediction market infrastructure, and both share the same core insight: that financial stakes force honesty in ways that surveys and audits cannot.</w:t>
      </w:r>
    </w:p>
    <w:p>
      <w:pPr>
        <w:pStyle w:val="BodyText"/>
      </w:pPr>
      <w:r>
        <w:rPr>
          <w:i/>
          <w:iCs/>
        </w:rPr>
        <w:t xml:space="preserve">d/acc: 85% | Tech: 73%</w:t>
      </w:r>
    </w:p>
    <w:p>
      <w:pPr>
        <w:pStyle w:val="BodyText"/>
      </w:pPr>
      <w:r>
        <w:rPr>
          <w:b/>
          <w:bCs/>
        </w:rPr>
        <w:t xml:space="preserve">Where things stand.</w:t>
      </w:r>
      <w:r>
        <w:t xml:space="preserve"> </w:t>
      </w:r>
      <w:r>
        <w:t xml:space="preserve">The technical ingredients exist but haven’t been combined. Prediction markets work:</w:t>
      </w:r>
      <w:r>
        <w:t xml:space="preserve"> </w:t>
      </w:r>
      <w:hyperlink r:id="rId124">
        <w:r>
          <w:rPr>
            <w:rStyle w:val="Hyperlink"/>
          </w:rPr>
          <w:t xml:space="preserve">Polymarket</w:t>
        </w:r>
      </w:hyperlink>
      <w:r>
        <w:t xml:space="preserve"> </w:t>
      </w:r>
      <w:r>
        <w:t xml:space="preserve">processed over $1 billion during the 2024 election, consistently beating polls.</w:t>
      </w:r>
      <w:r>
        <w:t xml:space="preserve"> </w:t>
      </w:r>
      <w:hyperlink r:id="rId51">
        <w:r>
          <w:rPr>
            <w:rStyle w:val="Hyperlink"/>
          </w:rPr>
          <w:t xml:space="preserve">Metaculus</w:t>
        </w:r>
      </w:hyperlink>
      <w:r>
        <w:t xml:space="preserve"> </w:t>
      </w:r>
      <w:r>
        <w:t xml:space="preserve">and</w:t>
      </w:r>
      <w:r>
        <w:t xml:space="preserve"> </w:t>
      </w:r>
      <w:hyperlink r:id="rId125">
        <w:r>
          <w:rPr>
            <w:rStyle w:val="Hyperlink"/>
          </w:rPr>
          <w:t xml:space="preserve">Good Judgment Open</w:t>
        </w:r>
      </w:hyperlink>
      <w:r>
        <w:t xml:space="preserve"> </w:t>
      </w:r>
      <w:r>
        <w:t xml:space="preserve">demonstrate calibrated forecasting across complex domains. Blockchain reputation systems are emerging in narrow contexts —</w:t>
      </w:r>
      <w:r>
        <w:t xml:space="preserve"> </w:t>
      </w:r>
      <w:hyperlink r:id="rId91">
        <w:r>
          <w:rPr>
            <w:rStyle w:val="Hyperlink"/>
          </w:rPr>
          <w:t xml:space="preserve">Gitcoin Passport</w:t>
        </w:r>
      </w:hyperlink>
      <w:r>
        <w:t xml:space="preserve"> </w:t>
      </w:r>
      <w:r>
        <w:t xml:space="preserve">aggregates identity signals,</w:t>
      </w:r>
      <w:r>
        <w:t xml:space="preserve"> </w:t>
      </w:r>
      <w:hyperlink r:id="rId126">
        <w:r>
          <w:rPr>
            <w:rStyle w:val="Hyperlink"/>
          </w:rPr>
          <w:t xml:space="preserve">Lens Protocol</w:t>
        </w:r>
      </w:hyperlink>
      <w:r>
        <w:t xml:space="preserve"> </w:t>
      </w:r>
      <w:r>
        <w:t xml:space="preserve">and</w:t>
      </w:r>
      <w:r>
        <w:t xml:space="preserve"> </w:t>
      </w:r>
      <w:hyperlink r:id="rId127">
        <w:r>
          <w:rPr>
            <w:rStyle w:val="Hyperlink"/>
          </w:rPr>
          <w:t xml:space="preserve">Farcaster</w:t>
        </w:r>
      </w:hyperlink>
      <w:r>
        <w:t xml:space="preserve"> </w:t>
      </w:r>
      <w:r>
        <w:t xml:space="preserve">experiment with portable on-chain reputation. But supply chain accountability remains stuck with traditional ESG raters (MSCI, Sustainalytics) whose scores correlate as poorly as 0.38 on the same companies, per a 2022 MIT study. The challenge is moving beyond niche crypto betting platforms and narrow pilots to build trusted institutional infrastructure that executives and regulators will actually use — and that can bridge verifiable real-world data with prediction market mechanics at scale.</w:t>
      </w:r>
    </w:p>
    <w:p>
      <w:pPr>
        <w:pStyle w:val="BodyText"/>
      </w:pPr>
      <w:r>
        <w:rPr>
          <w:b/>
          <w:bCs/>
        </w:rPr>
        <w:t xml:space="preserve">Who’s pushing it forward.</w:t>
      </w:r>
      <w:r>
        <w:t xml:space="preserve"> </w:t>
      </w:r>
      <w:r>
        <w:t xml:space="preserve">The theoretical foundations trace to EigenTrust (2003) for decentralized trust computation.</w:t>
      </w:r>
      <w:r>
        <w:t xml:space="preserve"> </w:t>
      </w:r>
      <w:hyperlink r:id="rId128">
        <w:r>
          <w:rPr>
            <w:rStyle w:val="Hyperlink"/>
          </w:rPr>
          <w:t xml:space="preserve">Gitcoin</w:t>
        </w:r>
      </w:hyperlink>
      <w:r>
        <w:t xml:space="preserve"> </w:t>
      </w:r>
      <w:r>
        <w:t xml:space="preserve">pioneered crypto-native reputation for public goods funding. Karma3Labs is building reputation infrastructure for Web3. Governance platforms like</w:t>
      </w:r>
      <w:r>
        <w:t xml:space="preserve"> </w:t>
      </w:r>
      <w:hyperlink r:id="rId92">
        <w:r>
          <w:rPr>
            <w:rStyle w:val="Hyperlink"/>
          </w:rPr>
          <w:t xml:space="preserve">Snapshot</w:t>
        </w:r>
      </w:hyperlink>
      <w:r>
        <w:t xml:space="preserve"> </w:t>
      </w:r>
      <w:r>
        <w:t xml:space="preserve">and prediction market protocols via</w:t>
      </w:r>
      <w:r>
        <w:t xml:space="preserve"> </w:t>
      </w:r>
      <w:hyperlink r:id="rId129">
        <w:r>
          <w:rPr>
            <w:rStyle w:val="Hyperlink"/>
          </w:rPr>
          <w:t xml:space="preserve">Gnosis</w:t>
        </w:r>
      </w:hyperlink>
      <w:r>
        <w:t xml:space="preserve"> </w:t>
      </w:r>
      <w:r>
        <w:t xml:space="preserve">provide technical scaffolding. But institutional adoption requires heavyweight players — chip manufacturers, finance firms, regulators — and none have committed publicly.</w:t>
      </w:r>
    </w:p>
    <w:p>
      <w:pPr>
        <w:pStyle w:val="BodyText"/>
      </w:pPr>
      <w:r>
        <w:rPr>
          <w:b/>
          <w:bCs/>
        </w:rPr>
        <w:t xml:space="preserve">Open questions &amp; key uncertainties.</w:t>
      </w:r>
      <w:r>
        <w:t xml:space="preserve"> </w:t>
      </w:r>
      <w:r>
        <w:t xml:space="preserve">The oracle problem is fundamental: how do you reliably get supply chain data on-chain when most corporate reporting is self-certified and unverifiable? Regulatory barriers loom large — the CFTC’s 2024 actions show prediction markets remain legally fraught, and applying them to corporate reputation raises securities law concerns no one has resolved. Goodhart’s Law haunts the design: any reputation metric that becomes a target will be gamed, and we lack proven defenses against sophisticated adversarial manipulation. Most critically, reputation scores need teeth — affecting chip access or financing terms — which demands buy-in from powerful incumbents who currently benefit from opacity. The coordination problem may be harder than the technical one.</w:t>
      </w:r>
    </w:p>
    <w:bookmarkStart w:id="130" w:name="additional-entities-6"/>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Futarchy (Governance by Prediction Markets) | Early Demonstrations | 80% | N/A | Futarchy proposes replacing political horse-trading with prediction markets: societies would vote on what outcomes they want (GDP growth, life expectancy, climate targets), then let betting markets choose which policies will actually achieve those goals. The idea is that people who know policies will fail would bet against them and lose money, creating financial incentives for accurate prediction rather than political posturing. If it works, it could dramatically improve governance by separating</w:t>
      </w:r>
      <w:r>
        <w:t xml:space="preserve"> </w:t>
      </w:r>
      <w:r>
        <w:t xml:space="preserve">“what should we value?”</w:t>
      </w:r>
      <w:r>
        <w:t xml:space="preserve"> </w:t>
      </w:r>
      <w:r>
        <w:t xml:space="preserve">from</w:t>
      </w:r>
      <w:r>
        <w:t xml:space="preserve"> </w:t>
      </w:r>
      <w:r>
        <w:t xml:space="preserve">“what will actually work?”</w:t>
      </w:r>
      <w:r>
        <w:t xml:space="preserve">—though critics worry that market manipulation, insufficient liquidity, and deep uncertainty about causal mechanisms could make it worse than democracy’s familiar failures. |</w:t>
      </w:r>
    </w:p>
    <w:bookmarkEnd w:id="130"/>
    <w:bookmarkEnd w:id="131"/>
    <w:bookmarkStart w:id="132" w:name="science-discovery"/>
    <w:p>
      <w:pPr>
        <w:pStyle w:val="Heading3"/>
      </w:pPr>
      <w:r>
        <w:t xml:space="preserve">Science &amp; Discovery</w:t>
      </w:r>
    </w:p>
    <w:p>
      <w:pPr>
        <w:pStyle w:val="FirstParagraph"/>
      </w:pPr>
      <w:r>
        <w:t xml:space="preserve">These entities share a common thrust: automating, accelerating, or fundamentally restructuring how scientific knowledge is created, validated, and shared. They range from practical infrastructure—publishing systems that serve AI researchers directly, or protein design platforms targeting real-world problems—to more speculative ventures that reimagine science itself, like AI that discovers patterns without human-legible theory or experimental platforms probing life’s origins. Collectively, they reveal a field grappling with whether tomorrow’s science will simply be faster, or whether it will become something categorically different—machine-readable, massively collaborative, and potentially illegible to human scientists.</w:t>
      </w:r>
    </w:p>
    <w:bookmarkEnd w:id="132"/>
    <w:bookmarkStart w:id="146" w:name="X22d70bab2998e6cf16cfaa2a9c5d454ebee9269"/>
    <w:p>
      <w:pPr>
        <w:pStyle w:val="Heading3"/>
      </w:pPr>
      <w:r>
        <w:t xml:space="preserve">Automated Scientific Publishing Ecosystem for Machine Consumers</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Scientific knowledge moves at human speed — papers take months to years between completion and publication, creating a massive bottleneck as research complexity explodes. Current publishing infrastructure treats AI systems as afterthoughts, locking knowledge in PDFs behind paywalls while researchers struggle to keep pace with exponential literature growth. A publishing system designed for machine consumers could enable real-time knowledge synthesis across disciplines, letting AI systems verify findings, flag contradictions, and accelerate discovery cycles from years to days. This matters because we’re approaching a threshold where human comprehension alone cannot manage the volume and interconnectedness of modern science.</w:t>
      </w:r>
    </w:p>
    <w:p>
      <w:pPr>
        <w:pStyle w:val="BodyText"/>
      </w:pPr>
      <w:r>
        <w:rPr>
          <w:i/>
          <w:iCs/>
        </w:rPr>
        <w:t xml:space="preserve">d/acc: 90% | Tech: 86%</w:t>
      </w:r>
    </w:p>
    <w:p>
      <w:pPr>
        <w:pStyle w:val="BodyText"/>
      </w:pPr>
      <w:r>
        <w:rPr>
          <w:b/>
          <w:bCs/>
        </w:rPr>
        <w:t xml:space="preserve">Where things stand.</w:t>
      </w:r>
      <w:r>
        <w:t xml:space="preserve"> </w:t>
      </w:r>
      <w:r>
        <w:t xml:space="preserve">The building blocks exist but remain fragmented.</w:t>
      </w:r>
      <w:r>
        <w:t xml:space="preserve"> </w:t>
      </w:r>
      <w:hyperlink r:id="rId133">
        <w:r>
          <w:rPr>
            <w:rStyle w:val="Hyperlink"/>
          </w:rPr>
          <w:t xml:space="preserve">Semantic Scholar</w:t>
        </w:r>
      </w:hyperlink>
      <w:r>
        <w:t xml:space="preserve"> </w:t>
      </w:r>
      <w:r>
        <w:t xml:space="preserve">from the</w:t>
      </w:r>
      <w:r>
        <w:t xml:space="preserve"> </w:t>
      </w:r>
      <w:hyperlink r:id="rId65">
        <w:r>
          <w:rPr>
            <w:rStyle w:val="Hyperlink"/>
          </w:rPr>
          <w:t xml:space="preserve">Allen Institute for AI</w:t>
        </w:r>
      </w:hyperlink>
      <w:r>
        <w:t xml:space="preserve"> </w:t>
      </w:r>
      <w:r>
        <w:t xml:space="preserve">has created structured, machine-readable representations of 200+ million papers, while</w:t>
      </w:r>
      <w:r>
        <w:t xml:space="preserve"> </w:t>
      </w:r>
      <w:hyperlink r:id="rId134">
        <w:r>
          <w:rPr>
            <w:rStyle w:val="Hyperlink"/>
          </w:rPr>
          <w:t xml:space="preserve">arXiv</w:t>
        </w:r>
      </w:hyperlink>
      <w:r>
        <w:t xml:space="preserve"> </w:t>
      </w:r>
      <w:r>
        <w:t xml:space="preserve">and</w:t>
      </w:r>
      <w:r>
        <w:t xml:space="preserve"> </w:t>
      </w:r>
      <w:hyperlink r:id="rId135">
        <w:r>
          <w:rPr>
            <w:rStyle w:val="Hyperlink"/>
          </w:rPr>
          <w:t xml:space="preserve">bioRxiv</w:t>
        </w:r>
      </w:hyperlink>
      <w:r>
        <w:t xml:space="preserve"> </w:t>
      </w:r>
      <w:r>
        <w:t xml:space="preserve">have normalized instant preprint sharing, bypassing traditional publishing delays. The</w:t>
      </w:r>
      <w:r>
        <w:t xml:space="preserve"> </w:t>
      </w:r>
      <w:hyperlink r:id="rId136">
        <w:r>
          <w:rPr>
            <w:rStyle w:val="Hyperlink"/>
          </w:rPr>
          <w:t xml:space="preserve">FAIR data principles</w:t>
        </w:r>
      </w:hyperlink>
      <w:r>
        <w:t xml:space="preserve"> </w:t>
      </w:r>
      <w:r>
        <w:t xml:space="preserve">— now mandated by major funders — push datasets toward machine readability, and</w:t>
      </w:r>
      <w:r>
        <w:t xml:space="preserve"> </w:t>
      </w:r>
      <w:hyperlink r:id="rId137">
        <w:r>
          <w:rPr>
            <w:rStyle w:val="Hyperlink"/>
          </w:rPr>
          <w:t xml:space="preserve">OpenAlex</w:t>
        </w:r>
      </w:hyperlink>
      <w:r>
        <w:t xml:space="preserve"> </w:t>
      </w:r>
      <w:r>
        <w:t xml:space="preserve">provides free, structured metadata for the entire scholarly record. AI-native tools like</w:t>
      </w:r>
      <w:r>
        <w:t xml:space="preserve"> </w:t>
      </w:r>
      <w:hyperlink r:id="rId138">
        <w:r>
          <w:rPr>
            <w:rStyle w:val="Hyperlink"/>
          </w:rPr>
          <w:t xml:space="preserve">Elicit</w:t>
        </w:r>
      </w:hyperlink>
      <w:r>
        <w:t xml:space="preserve"> </w:t>
      </w:r>
      <w:r>
        <w:t xml:space="preserve">and</w:t>
      </w:r>
      <w:r>
        <w:t xml:space="preserve"> </w:t>
      </w:r>
      <w:hyperlink r:id="rId139">
        <w:r>
          <w:rPr>
            <w:rStyle w:val="Hyperlink"/>
          </w:rPr>
          <w:t xml:space="preserve">Scite.ai</w:t>
        </w:r>
      </w:hyperlink>
      <w:r>
        <w:t xml:space="preserve"> </w:t>
      </w:r>
      <w:r>
        <w:t xml:space="preserve">already parse and synthesize literature at scale, proving machines can be primary research consumers. But we don’t yet have a complete ecosystem: no consensus metadata standards for machine-verifiable claims, no trusted automated peer review, and no infrastructure for AI systems to directly contribute findings.</w:t>
      </w:r>
    </w:p>
    <w:p>
      <w:pPr>
        <w:pStyle w:val="BodyText"/>
      </w:pPr>
      <w:r>
        <w:rPr>
          <w:b/>
          <w:bCs/>
        </w:rPr>
        <w:t xml:space="preserve">Who’s pushing it forward.</w:t>
      </w:r>
      <w:r>
        <w:t xml:space="preserve"> </w:t>
      </w:r>
      <w:hyperlink r:id="rId140">
        <w:r>
          <w:rPr>
            <w:rStyle w:val="Hyperlink"/>
          </w:rPr>
          <w:t xml:space="preserve">ResearchHub</w:t>
        </w:r>
      </w:hyperlink>
      <w:r>
        <w:t xml:space="preserve"> </w:t>
      </w:r>
      <w:r>
        <w:t xml:space="preserve">and</w:t>
      </w:r>
      <w:r>
        <w:t xml:space="preserve"> </w:t>
      </w:r>
      <w:hyperlink r:id="rId141">
        <w:r>
          <w:rPr>
            <w:rStyle w:val="Hyperlink"/>
          </w:rPr>
          <w:t xml:space="preserve">DeSci Labs</w:t>
        </w:r>
      </w:hyperlink>
      <w:r>
        <w:t xml:space="preserve"> </w:t>
      </w:r>
      <w:r>
        <w:t xml:space="preserve">are experimenting with blockchain-verified research artifacts and tokenized peer review, while the</w:t>
      </w:r>
      <w:r>
        <w:t xml:space="preserve"> </w:t>
      </w:r>
      <w:hyperlink r:id="rId142">
        <w:r>
          <w:rPr>
            <w:rStyle w:val="Hyperlink"/>
          </w:rPr>
          <w:t xml:space="preserve">Center for Open Science</w:t>
        </w:r>
      </w:hyperlink>
      <w:r>
        <w:t xml:space="preserve"> </w:t>
      </w:r>
      <w:r>
        <w:t xml:space="preserve">champions machine-readable preregistration and open data through the</w:t>
      </w:r>
      <w:r>
        <w:t xml:space="preserve"> </w:t>
      </w:r>
      <w:hyperlink r:id="rId143">
        <w:r>
          <w:rPr>
            <w:rStyle w:val="Hyperlink"/>
          </w:rPr>
          <w:t xml:space="preserve">Open Science Framework</w:t>
        </w:r>
      </w:hyperlink>
      <w:r>
        <w:t xml:space="preserve">.</w:t>
      </w:r>
      <w:r>
        <w:t xml:space="preserve"> </w:t>
      </w:r>
      <w:hyperlink r:id="rId144">
        <w:r>
          <w:rPr>
            <w:rStyle w:val="Hyperlink"/>
          </w:rPr>
          <w:t xml:space="preserve">Perplexity AI</w:t>
        </w:r>
      </w:hyperlink>
      <w:r>
        <w:t xml:space="preserve"> </w:t>
      </w:r>
      <w:r>
        <w:t xml:space="preserve">has started citing sources in real-time answer generation, creating demand for better-structured scientific metadata. The European Commission’s</w:t>
      </w:r>
      <w:r>
        <w:t xml:space="preserve"> </w:t>
      </w:r>
      <w:hyperlink r:id="rId145">
        <w:r>
          <w:rPr>
            <w:rStyle w:val="Hyperlink"/>
          </w:rPr>
          <w:t xml:space="preserve">European Open Science Cloud</w:t>
        </w:r>
      </w:hyperlink>
      <w:r>
        <w:t xml:space="preserve"> </w:t>
      </w:r>
      <w:r>
        <w:t xml:space="preserve">aims to make all publicly funded research machine-accessible by 2030, though implementation remains patchy.</w:t>
      </w:r>
    </w:p>
    <w:p>
      <w:pPr>
        <w:pStyle w:val="BodyText"/>
      </w:pPr>
      <w:r>
        <w:rPr>
          <w:b/>
          <w:bCs/>
        </w:rPr>
        <w:t xml:space="preserve">Open questions &amp; key uncertainties.</w:t>
      </w:r>
      <w:r>
        <w:t xml:space="preserve"> </w:t>
      </w:r>
      <w:r>
        <w:t xml:space="preserve">Can automated systems develop the domain expertise and contextual judgment to replace human peer review, or will they remain auxiliary verification tools? The deeper barrier is institutional: Elsevier and Springer Nature control most published science and profit from human-oriented paywalls — why would they voluntarily restructure? Creating consensus around new metadata standards historically takes decades even when technically feasible. Most uncertain is whether machine-generated contributions can achieve academic legitimacy: if an AI system discovers a pattern across 10,000 papers, who authors it, who verifies it, and how do institutions decide it</w:t>
      </w:r>
      <w:r>
        <w:t xml:space="preserve"> </w:t>
      </w:r>
      <w:r>
        <w:t xml:space="preserve">“counts”</w:t>
      </w:r>
      <w:r>
        <w:t xml:space="preserve"> </w:t>
      </w:r>
      <w:r>
        <w:t xml:space="preserve">for tenure or funding?</w:t>
      </w:r>
    </w:p>
    <w:bookmarkEnd w:id="146"/>
    <w:bookmarkStart w:id="153" w:name="universal-ai-learning-uncommons-ualu"/>
    <w:p>
      <w:pPr>
        <w:pStyle w:val="Heading3"/>
      </w:pPr>
      <w:r>
        <w:t xml:space="preserve">Universal AI Learning UnCommons (UALU)</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Today’s AI education landscape is dominated by proprietary platforms from tech giants and elite universities, creating fragmented learning experiences that systematically exclude indigenous knowledge systems, non-Western pedagogies, and marginalized communities. UALU envisions a federated network where AI educational tools are co-created and governed by diverse councils—elders, learners, technologists, ethicists—rather than by corporate incentives alone. This matters because how we teach AI literacy and skills shapes who gets to participate in building AI systems, whose values get embedded in them, and whether AI amplifies or challenges existing knowledge monocultures. A truly collaborative learning commons could democratize AI expertise while preserving epistemological diversity.</w:t>
      </w:r>
    </w:p>
    <w:p>
      <w:pPr>
        <w:pStyle w:val="BodyText"/>
      </w:pPr>
      <w:r>
        <w:rPr>
          <w:i/>
          <w:iCs/>
        </w:rPr>
        <w:t xml:space="preserve">d/acc: 85% | Tech: 63%</w:t>
      </w:r>
    </w:p>
    <w:p>
      <w:pPr>
        <w:pStyle w:val="BodyText"/>
      </w:pPr>
      <w:r>
        <w:rPr>
          <w:b/>
          <w:bCs/>
        </w:rPr>
        <w:t xml:space="preserve">Where things stand.</w:t>
      </w:r>
      <w:r>
        <w:t xml:space="preserve"> </w:t>
      </w:r>
      <w:r>
        <w:t xml:space="preserve">We have pieces but not the whole.</w:t>
      </w:r>
      <w:r>
        <w:t xml:space="preserve"> </w:t>
      </w:r>
      <w:hyperlink r:id="rId120">
        <w:r>
          <w:rPr>
            <w:rStyle w:val="Hyperlink"/>
          </w:rPr>
          <w:t xml:space="preserve">Khan Academy</w:t>
        </w:r>
      </w:hyperlink>
      <w:r>
        <w:t xml:space="preserve"> </w:t>
      </w:r>
      <w:r>
        <w:t xml:space="preserve">partnered with OpenAI in 2023 to launch Khanmigo, demonstrating AI tutoring at scale, while</w:t>
      </w:r>
      <w:r>
        <w:t xml:space="preserve"> </w:t>
      </w:r>
      <w:hyperlink r:id="rId55">
        <w:r>
          <w:rPr>
            <w:rStyle w:val="Hyperlink"/>
          </w:rPr>
          <w:t xml:space="preserve">Hugging Face</w:t>
        </w:r>
      </w:hyperlink>
      <w:r>
        <w:t xml:space="preserve"> </w:t>
      </w:r>
      <w:r>
        <w:t xml:space="preserve">and</w:t>
      </w:r>
      <w:r>
        <w:t xml:space="preserve"> </w:t>
      </w:r>
      <w:hyperlink r:id="rId147">
        <w:r>
          <w:rPr>
            <w:rStyle w:val="Hyperlink"/>
          </w:rPr>
          <w:t xml:space="preserve">fast.ai</w:t>
        </w:r>
      </w:hyperlink>
      <w:r>
        <w:t xml:space="preserve"> </w:t>
      </w:r>
      <w:r>
        <w:t xml:space="preserve">have built large open-source learning communities.</w:t>
      </w:r>
      <w:r>
        <w:t xml:space="preserve"> </w:t>
      </w:r>
      <w:hyperlink r:id="rId148">
        <w:r>
          <w:rPr>
            <w:rStyle w:val="Hyperlink"/>
          </w:rPr>
          <w:t xml:space="preserve">P2PU</w:t>
        </w:r>
      </w:hyperlink>
      <w:r>
        <w:t xml:space="preserve"> </w:t>
      </w:r>
      <w:r>
        <w:t xml:space="preserve">and Wikipedia show how volunteer-driven knowledge commons can operate with distributed governance. Indigenous-led initiatives like the</w:t>
      </w:r>
      <w:r>
        <w:t xml:space="preserve"> </w:t>
      </w:r>
      <w:hyperlink r:id="rId149">
        <w:r>
          <w:rPr>
            <w:rStyle w:val="Hyperlink"/>
          </w:rPr>
          <w:t xml:space="preserve">Global Indigenous Data Alliance</w:t>
        </w:r>
      </w:hyperlink>
      <w:r>
        <w:t xml:space="preserve"> </w:t>
      </w:r>
      <w:r>
        <w:t xml:space="preserve">(established 2019) have developed frameworks for culturally appropriate technology governance.</w:t>
      </w:r>
      <w:r>
        <w:t xml:space="preserve"> </w:t>
      </w:r>
      <w:hyperlink r:id="rId63">
        <w:r>
          <w:rPr>
            <w:rStyle w:val="Hyperlink"/>
          </w:rPr>
          <w:t xml:space="preserve">OpenMined</w:t>
        </w:r>
      </w:hyperlink>
      <w:r>
        <w:t xml:space="preserve"> </w:t>
      </w:r>
      <w:r>
        <w:t xml:space="preserve">has built federated learning infrastructure that keeps data decentralized. But no one has combined these elements—open educational platforms like</w:t>
      </w:r>
      <w:r>
        <w:t xml:space="preserve"> </w:t>
      </w:r>
      <w:hyperlink r:id="rId150">
        <w:r>
          <w:rPr>
            <w:rStyle w:val="Hyperlink"/>
          </w:rPr>
          <w:t xml:space="preserve">Open edX</w:t>
        </w:r>
      </w:hyperlink>
      <w:r>
        <w:t xml:space="preserve"> </w:t>
      </w:r>
      <w:r>
        <w:t xml:space="preserve">or</w:t>
      </w:r>
      <w:r>
        <w:t xml:space="preserve"> </w:t>
      </w:r>
      <w:hyperlink r:id="rId151">
        <w:r>
          <w:rPr>
            <w:rStyle w:val="Hyperlink"/>
          </w:rPr>
          <w:t xml:space="preserve">Moodle</w:t>
        </w:r>
      </w:hyperlink>
      <w:r>
        <w:t xml:space="preserve">, AI tutoring capabilities, multi-stakeholder governance, and indigenous knowledge integration—into a single functioning system.</w:t>
      </w:r>
    </w:p>
    <w:p>
      <w:pPr>
        <w:pStyle w:val="BodyText"/>
      </w:pPr>
      <w:r>
        <w:rPr>
          <w:b/>
          <w:bCs/>
        </w:rPr>
        <w:t xml:space="preserve">Who’s pushing it forward.</w:t>
      </w:r>
      <w:r>
        <w:t xml:space="preserve"> </w:t>
      </w:r>
      <w:r>
        <w:t xml:space="preserve">The concept emerges from community governance experiments in both tech (</w:t>
      </w:r>
      <w:hyperlink r:id="rId94">
        <w:r>
          <w:rPr>
            <w:rStyle w:val="Hyperlink"/>
          </w:rPr>
          <w:t xml:space="preserve">Aragon</w:t>
        </w:r>
      </w:hyperlink>
      <w:r>
        <w:t xml:space="preserve">,</w:t>
      </w:r>
      <w:r>
        <w:t xml:space="preserve"> </w:t>
      </w:r>
      <w:hyperlink r:id="rId92">
        <w:r>
          <w:rPr>
            <w:rStyle w:val="Hyperlink"/>
          </w:rPr>
          <w:t xml:space="preserve">Snapshot</w:t>
        </w:r>
      </w:hyperlink>
      <w:r>
        <w:t xml:space="preserve"> </w:t>
      </w:r>
      <w:r>
        <w:t xml:space="preserve">for DAO coordination) and education (P2PU’s peer learning circles, Open edX’s institutional adopters).</w:t>
      </w:r>
      <w:r>
        <w:t xml:space="preserve"> </w:t>
      </w:r>
      <w:hyperlink r:id="rId98">
        <w:r>
          <w:rPr>
            <w:rStyle w:val="Hyperlink"/>
          </w:rPr>
          <w:t xml:space="preserve">Creative Commons</w:t>
        </w:r>
      </w:hyperlink>
      <w:r>
        <w:t xml:space="preserve"> </w:t>
      </w:r>
      <w:r>
        <w:t xml:space="preserve">provides legal infrastructure for shared resources. Most work remains theoretical or happens in isolated pilots rather than as coordinated movement toward a unified commons.</w:t>
      </w:r>
    </w:p>
    <w:p>
      <w:pPr>
        <w:pStyle w:val="BodyText"/>
      </w:pPr>
      <w:r>
        <w:rPr>
          <w:b/>
          <w:bCs/>
        </w:rPr>
        <w:t xml:space="preserve">Open questions &amp; key uncertainties.</w:t>
      </w:r>
      <w:r>
        <w:t xml:space="preserve"> </w:t>
      </w:r>
      <w:r>
        <w:t xml:space="preserve">The central paradox: coordinating between AI researchers, indigenous elders, ethicists, and diverse learners requires bridging radically different epistemological frameworks and technological literacy levels—a governance challenge no existing platform has solved at scale. How do you ensure quality and accuracy across hundreds of community contexts without centralized control? Who pays for ongoing infrastructure maintenance when community-governed commons lack corporate revenue models and grant funding is short-term? Can volunteer capacity handle the continuous auditing needed for pedagogically sound, culturally appropriate, technically accurate content? And most fundamentally: can a truly federated system resist eventual capture by well-resourced actors who can afford sustained participation while grassroots communities cannot?</w:t>
      </w:r>
    </w:p>
    <w:bookmarkStart w:id="152" w:name="additional-entities-7"/>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Decentralized Scientific Collaboration Infrastructure | Scaling Challenges | 90% | 76% | Today’s scientific research system forces scientists to compete for scarce academic positions and publication slots, creating perverse incentives that prioritize individual credit over collaboration and discourage the open sharing that accelerates discovery. Decentralized scientific collaboration infrastructure would replace this with federated networks where researchers coordinate across institutions, AI tools handle routine tasks and match complementary expertise, and transparent attribution systems reward all contributions—from data collection to replication—not just first authorship. This matters because most hard problems—from climate change to pandemic preparedness—require integrating insights across disciplines and institutions, something the current publish-or-perish system actively prevents. |</w:t>
      </w:r>
    </w:p>
    <w:p>
      <w:pPr>
        <w:pStyle w:val="BodyText"/>
      </w:pPr>
      <w:r>
        <w:t xml:space="preserve">Atheoretical Science AI | Foundational Research | 65% | N/A | Atheoretical Science AI promises to discover scientific patterns and mechanisms in massive datasets without requiring researchers to propose theories first—letting algorithms explore data like a child learning language before learning grammar rules. This matters because major breakthroughs often come from noticing what existing theories don’t explain, but human scientists can only look where their theories tell them to look, potentially missing entire classes of phenomena in complex systems like climate, biology, or materials science. If successful, it could accelerate discovery in fields drowning in data but starved for interpretable insights, though critics worry it may generate correlations without causation or patterns without understanding. |</w:t>
      </w:r>
    </w:p>
    <w:p>
      <w:pPr>
        <w:pStyle w:val="BodyText"/>
      </w:pPr>
      <w:r>
        <w:t xml:space="preserve">Protein Design for Global Challenges | Near Deployment | 65% | 76% | Proteins are molecular machines that can be programmed to do specific jobs—breaking down plastics, capturing carbon from the air, or delivering drugs precisely where needed—making them potentially transformative tools for problems that current chemistry and engineering handle poorly. While we’ve long used naturally occurring proteins (like enzymes in laundry detergent), AI breakthroughs like AlphaFold and new design tools now let us engineer entirely novel proteins from scratch, creating capabilities nature never evolved. This matters because many of our hardest global challenges—from climate change to antibiotic resistance—require molecular-scale solutions that are adaptable, efficient, and specific in ways that traditional materials and chemicals simply cannot achieve. |</w:t>
      </w:r>
    </w:p>
    <w:p>
      <w:pPr>
        <w:pStyle w:val="BodyText"/>
      </w:pPr>
      <w:r>
        <w:t xml:space="preserve">Origin of Life Experimental Platform | Early Demonstrations | 50% | 66% | Scientists don’t know how life began, and current experiments test only a tiny fraction of possible chemical pathways one at a time. An Origin of Life Experimental Platform would use robots and AI to systematically search millions of molecular combinations, treating life’s emergence as a solvable physics problem rather than a historical mystery. This matters because discovering how chemistry spontaneously organizes into biology could unlock not just our origins, but principles for engineering entirely new forms of life—with profound implications for synthetic biology, planetary science, and our search for life beyond Earth. |</w:t>
      </w:r>
    </w:p>
    <w:bookmarkEnd w:id="152"/>
    <w:bookmarkEnd w:id="153"/>
    <w:bookmarkStart w:id="154" w:name="truth-epistemic-infrastructure"/>
    <w:p>
      <w:pPr>
        <w:pStyle w:val="Heading3"/>
      </w:pPr>
      <w:r>
        <w:t xml:space="preserve">Truth &amp; Epistemic Infrastructure</w:t>
      </w:r>
    </w:p>
    <w:p>
      <w:pPr>
        <w:pStyle w:val="FirstParagraph"/>
      </w:pPr>
      <w:r>
        <w:t xml:space="preserve">These systems share a conviction that AI-generated content and algorithmic personalization have fundamentally broken our ability to agree on what’s true—and that we need new technical infrastructure, not just better moderation, to fix it. They propose mechanisms ranging from cryptographic proof systems to AI-enhanced reasoning tools that would make facts verifiable, arguments traceable, and epistemological processes transparent. What unites them is the belief that trust at scale requires architecture: that we can engineer our way to better collective sense-making through systems that constrain manipulation, surface disagreement productively, and make the provenance of claims auditable.</w:t>
      </w:r>
    </w:p>
    <w:bookmarkEnd w:id="154"/>
    <w:bookmarkStart w:id="157" w:name="epistemic-stack"/>
    <w:p>
      <w:pPr>
        <w:pStyle w:val="Heading3"/>
      </w:pPr>
      <w:r>
        <w:t xml:space="preserve">Epistemic Stack</w:t>
      </w:r>
    </w:p>
    <w:p>
      <w:pPr>
        <w:pStyle w:val="FirstParagraph"/>
      </w:pPr>
      <w:r>
        <w:rPr>
          <w:rStyle w:val="VerbatimChar"/>
        </w:rPr>
        <w:t xml:space="preserve">Early Demonstrations</w:t>
      </w:r>
    </w:p>
    <w:p>
      <w:pPr>
        <w:pStyle w:val="BodyText"/>
      </w:pPr>
      <w:r>
        <w:rPr>
          <w:b/>
          <w:bCs/>
        </w:rPr>
        <w:t xml:space="preserve">Why it matters.</w:t>
      </w:r>
      <w:r>
        <w:t xml:space="preserve"> </w:t>
      </w:r>
      <w:r>
        <w:t xml:space="preserve">Every day, we make decisions based on claims we can’t verify—from COVID treatments to climate interventions to AI safety risks. Current information systems force us to either trust authorities blindly or spend hours manually tracing sources, often hitting dead ends. The Epistemic Stack envisions a transparent knowledge infrastructure where any claim—scientific, policy, or technical—can be traced back through layers of evidence to raw data, with each step’s credibility assessable. This matters because coordinating around complex problems requires shared understanding of what we actually know, and misinformation thrives in opacity.</w:t>
      </w:r>
    </w:p>
    <w:p>
      <w:pPr>
        <w:pStyle w:val="BodyText"/>
      </w:pPr>
      <w:r>
        <w:rPr>
          <w:i/>
          <w:iCs/>
        </w:rPr>
        <w:t xml:space="preserve">d/acc: 85% | Tech: 63%</w:t>
      </w:r>
    </w:p>
    <w:p>
      <w:pPr>
        <w:pStyle w:val="BodyText"/>
      </w:pPr>
      <w:r>
        <w:rPr>
          <w:b/>
          <w:bCs/>
        </w:rPr>
        <w:t xml:space="preserve">Where things stand.</w:t>
      </w:r>
      <w:r>
        <w:t xml:space="preserve"> </w:t>
      </w:r>
      <w:r>
        <w:t xml:space="preserve">We have the building blocks but not the integrated system.</w:t>
      </w:r>
      <w:r>
        <w:t xml:space="preserve"> </w:t>
      </w:r>
      <w:hyperlink r:id="rId133">
        <w:r>
          <w:rPr>
            <w:rStyle w:val="Hyperlink"/>
          </w:rPr>
          <w:t xml:space="preserve">Semantic Scholar</w:t>
        </w:r>
      </w:hyperlink>
      <w:r>
        <w:t xml:space="preserve"> </w:t>
      </w:r>
      <w:r>
        <w:t xml:space="preserve">uses AI to extract metadata from over 200 million papers, creating citation graphs that show influence relationships.</w:t>
      </w:r>
      <w:r>
        <w:t xml:space="preserve"> </w:t>
      </w:r>
      <w:hyperlink r:id="rId137">
        <w:r>
          <w:rPr>
            <w:rStyle w:val="Hyperlink"/>
          </w:rPr>
          <w:t xml:space="preserve">OpenAlex</w:t>
        </w:r>
      </w:hyperlink>
      <w:r>
        <w:t xml:space="preserve"> </w:t>
      </w:r>
      <w:r>
        <w:t xml:space="preserve">(launched 2022) provides an open catalog of global research outputs.</w:t>
      </w:r>
      <w:r>
        <w:t xml:space="preserve"> </w:t>
      </w:r>
      <w:hyperlink r:id="rId139">
        <w:r>
          <w:rPr>
            <w:rStyle w:val="Hyperlink"/>
          </w:rPr>
          <w:t xml:space="preserve">Scite.ai</w:t>
        </w:r>
      </w:hyperlink>
      <w:r>
        <w:t xml:space="preserve">, founded in 2019, goes further by classifying whether citations support, contradict, or merely mention claims—a rudimentary version of claim-level evidence assessment. Wikipedia represents the closest large-scale system linking claims to sources, though without deep provenance trees. Blockchain projects like Bloxberg (a research consortium running an Ethereum-compatible chain since 2019) experiment with cryptographic verification of research data. These pieces exist in isolation; no one has assembled them into queryable provenance chains from high-level assertions down to raw observations.</w:t>
      </w:r>
    </w:p>
    <w:p>
      <w:pPr>
        <w:pStyle w:val="BodyText"/>
      </w:pPr>
      <w:r>
        <w:rPr>
          <w:b/>
          <w:bCs/>
        </w:rPr>
        <w:t xml:space="preserve">Who’s pushing it forward.</w:t>
      </w:r>
      <w:r>
        <w:t xml:space="preserve"> </w:t>
      </w:r>
      <w:r>
        <w:t xml:space="preserve">The</w:t>
      </w:r>
      <w:r>
        <w:t xml:space="preserve"> </w:t>
      </w:r>
      <w:hyperlink r:id="rId65">
        <w:r>
          <w:rPr>
            <w:rStyle w:val="Hyperlink"/>
          </w:rPr>
          <w:t xml:space="preserve">Allen Institute for AI</w:t>
        </w:r>
      </w:hyperlink>
      <w:r>
        <w:t xml:space="preserve"> </w:t>
      </w:r>
      <w:r>
        <w:t xml:space="preserve">powers Semantic Scholar’s infrastructure. OurResearch built OpenAlex as an open alternative to closed citation databases. Academic reformers at the</w:t>
      </w:r>
      <w:r>
        <w:t xml:space="preserve"> </w:t>
      </w:r>
      <w:hyperlink r:id="rId142">
        <w:r>
          <w:rPr>
            <w:rStyle w:val="Hyperlink"/>
          </w:rPr>
          <w:t xml:space="preserve">Center for Open Science</w:t>
        </w:r>
      </w:hyperlink>
      <w:r>
        <w:t xml:space="preserve"> </w:t>
      </w:r>
      <w:r>
        <w:t xml:space="preserve">promote transparency through the</w:t>
      </w:r>
      <w:r>
        <w:t xml:space="preserve"> </w:t>
      </w:r>
      <w:hyperlink r:id="rId143">
        <w:r>
          <w:rPr>
            <w:rStyle w:val="Hyperlink"/>
          </w:rPr>
          <w:t xml:space="preserve">Open Science Framework</w:t>
        </w:r>
      </w:hyperlink>
      <w:r>
        <w:t xml:space="preserve">, while standards bodies developed the W3C PROV specification (2013) for data provenance tracking.</w:t>
      </w:r>
      <w:r>
        <w:t xml:space="preserve"> </w:t>
      </w:r>
      <w:hyperlink r:id="rId141">
        <w:r>
          <w:rPr>
            <w:rStyle w:val="Hyperlink"/>
          </w:rPr>
          <w:t xml:space="preserve">DeSci Labs</w:t>
        </w:r>
      </w:hyperlink>
      <w:r>
        <w:t xml:space="preserve"> </w:t>
      </w:r>
      <w:r>
        <w:t xml:space="preserve">explores decentralized science infrastructure.</w:t>
      </w:r>
      <w:r>
        <w:t xml:space="preserve"> </w:t>
      </w:r>
      <w:hyperlink r:id="rId155">
        <w:r>
          <w:rPr>
            <w:rStyle w:val="Hyperlink"/>
          </w:rPr>
          <w:t xml:space="preserve">ORCID</w:t>
        </w:r>
      </w:hyperlink>
      <w:r>
        <w:t xml:space="preserve"> </w:t>
      </w:r>
      <w:r>
        <w:t xml:space="preserve">provides persistent researcher identifiers—necessary infrastructure for tracking authorship across systems. Yet no major funder or institution has committed to building the full stack.</w:t>
      </w:r>
    </w:p>
    <w:p>
      <w:pPr>
        <w:pStyle w:val="BodyText"/>
      </w:pPr>
      <w:r>
        <w:rPr>
          <w:b/>
          <w:bCs/>
        </w:rPr>
        <w:t xml:space="preserve">Open questions &amp; key uncertainties.</w:t>
      </w:r>
      <w:r>
        <w:t xml:space="preserve"> </w:t>
      </w:r>
      <w:r>
        <w:t xml:space="preserve">The hardest challenge isn’t technical—it’s semantic and institutional. Can AI systems reliably determine whether two claims genuinely support or contradict each other across disciplines? Current NLP struggles with nuanced reasoning. Will researchers adopt structured metadata standards when publication incentives reward speed over transparency? Who decides how credibility scores are calculated, and can such a system avoid becoming a weapon for gatekeeping heterodox ideas? Finally, building cross-platform knowledge infrastructure requires coordination mechanisms that don’t yet exist—someone must solve the governance problem before solving the technology problem.</w:t>
      </w:r>
    </w:p>
    <w:bookmarkStart w:id="156" w:name="additional-entities-8"/>
    <w:p>
      <w:pPr>
        <w:pStyle w:val="Heading4"/>
      </w:pPr>
      <w:r>
        <w:t xml:space="preserve">Additional Entities</w:t>
      </w:r>
    </w:p>
    <w:p>
      <w:pPr>
        <w:pStyle w:val="FirstParagraph"/>
      </w:pPr>
      <w:r>
        <w:t xml:space="preserve">Entity | Maturity | d/acc | Tech | Summary |</w:t>
      </w:r>
    </w:p>
    <w:p>
      <w:pPr>
        <w:pStyle w:val="BodyText"/>
      </w:pPr>
      <w:r>
        <w:t xml:space="preserve">|——–|———-|——-|——|———|</w:t>
      </w:r>
    </w:p>
    <w:p>
      <w:pPr>
        <w:pStyle w:val="BodyText"/>
      </w:pPr>
      <w:r>
        <w:t xml:space="preserve">AI-Assisted Epistemological Enhancement System | Early Demonstrations | 80% | 77% | Humans make consequential decisions—in policy, business, and science—hampered by cognitive biases, information overload, and tribal reasoning that filters out inconvenient evidence. AI-assisted epistemological systems aim to act as cognitive scaffolding: helping people forecast more accurately, synthesize contradictory evidence, and test their beliefs against reality rather than ideology. Early experiments show promise in prediction markets and research synthesis, but the hardest questions—whether AI enhances or replaces human judgment, and who controls the epistemic infrastructure—remain wide open.</w:t>
      </w:r>
      <w:r>
        <w:t xml:space="preserve"> </w:t>
      </w:r>
      <w:r>
        <w:rPr>
          <w:i/>
          <w:iCs/>
        </w:rPr>
        <w:t xml:space="preserve">Note: This entity overlaps conceptually with Epistemic Infrastructure for Truth Verification. The key distinction is that this focuses on individual reasoning enhancement, while the latter addresses systemic truth-verification infrastructure.</w:t>
      </w:r>
      <w:r>
        <w:t xml:space="preserve"> </w:t>
      </w:r>
      <w:r>
        <w:t xml:space="preserve">|</w:t>
      </w:r>
    </w:p>
    <w:p>
      <w:pPr>
        <w:pStyle w:val="BodyText"/>
      </w:pPr>
      <w:r>
        <w:t xml:space="preserve">Distributed Zero-Knowledge Security Systems | Scaling Challenges | 80% | 67% | Distributed Zero-Knowledge Security Systems aim to protect critical infrastructure from sophisticated cyber attacks by eliminating centralized points of failure that make current networks vulnerable to state-level hackers. These systems use advanced cryptography to enable real-time threat detection across distributed networks—like power grids or telecommunications—while keeping sensitive data protected even during security checks. The technology matters because a successful breach of centralized security systems could cascade across entire sectors, but the challenge lies in making cryptographically intensive operations fast enough for real-world industrial control systems. |</w:t>
      </w:r>
    </w:p>
    <w:p>
      <w:pPr>
        <w:pStyle w:val="BodyText"/>
      </w:pPr>
      <w:r>
        <w:t xml:space="preserve">Epistemic Infrastructure for Truth Verification | Early Demonstrations | 80% | 76% | As AI systems generate information faster than humans can verify it, we’re losing the ability to distinguish truth from plausible-sounding fiction at the exact moment when critical decisions about climate, health, and governance depend on shared facts. Epistemic infrastructure would create systematic ways to trace claims to sources, algorithmically assess credibility, and build consensus about what’s true—essentially building</w:t>
      </w:r>
      <w:r>
        <w:t xml:space="preserve"> </w:t>
      </w:r>
      <w:r>
        <w:t xml:space="preserve">“supply chains for truth”</w:t>
      </w:r>
      <w:r>
        <w:t xml:space="preserve"> </w:t>
      </w:r>
      <w:r>
        <w:t xml:space="preserve">that work at machine speed. Without this, we risk fragmenting into incompatible realities where coordination on shared problems becomes impossible. |</w:t>
      </w:r>
    </w:p>
    <w:bookmarkEnd w:id="156"/>
    <w:bookmarkEnd w:id="157"/>
    <w:bookmarkEnd w:id="158"/>
    <w:bookmarkStart w:id="159" w:name="conclusion"/>
    <w:p>
      <w:pPr>
        <w:pStyle w:val="Heading2"/>
      </w:pPr>
      <w:r>
        <w:t xml:space="preserve">Conclusion</w:t>
      </w:r>
    </w:p>
    <w:p>
      <w:pPr>
        <w:pStyle w:val="FirstParagraph"/>
      </w:pPr>
      <w:r>
        <w:t xml:space="preserve">The 39 hyper-entities identified in this report represent a curated map of futures that are already shaping the present. They are not predictions — they are coordination attractors, systems around which investment, research, and narrative are already forming even before the first prototype exists. What makes them worth attending to now is precisely that earliness: the decisions made in the next five to ten years about which of these systems to fund, govern, and build will determine whether the technologies of the 2030s and 2040s concentrate power or distribute it, protect human agency or erode it, accelerate beneficial futures or foreclose them.</w:t>
      </w:r>
    </w:p>
    <w:p>
      <w:pPr>
        <w:pStyle w:val="BodyText"/>
      </w:pPr>
      <w:r>
        <w:t xml:space="preserve">For funders and policymakers, the key question is not</w:t>
      </w:r>
      <w:r>
        <w:t xml:space="preserve"> </w:t>
      </w:r>
      <w:r>
        <w:t xml:space="preserve">“what is the most powerful technology on the horizon?”</w:t>
      </w:r>
      <w:r>
        <w:t xml:space="preserve"> </w:t>
      </w:r>
      <w:r>
        <w:t xml:space="preserve">Power is not scarce in current technology development — attention and capital are already flowing toward the most transformative systems. The question is: what infrastructure ensures that powerful technologies serve broad human interests rather than narrow ones? Several patterns in this data are striking. Epistemic infrastructure — systems for verifying truth, enhancing collective reasoning, and making knowledge legible — is chronically underfunded relative to its importance. Projects like the Epistemic Stack, Automated Scientific Publishing for Machine Consumers, and AI-Assisted Epistemological Enhancement collectively address the question of whether humanity retains the shared capacity to reason well as AI systems proliferate. Their combined annual funding likely amounts to what a single AI lab spends in a few weeks. Energy systems, by contrast, show the strongest d/acc alignment in our data: Decentralized Adaptive Energy Networks, Deep Fission Micro Nuclear Reactors, and related technologies consistently score high on both transformative potential and values alignment — suggesting that the energy transition, if done right, could be among the most broadly beneficial technological shifts of this century. Governance tools and coordination protocols tend to have the longest time horizons but the highest systemic leverage: Competitive Governance Protocol Stacks, Futarchy, and Global Deliberation systems could reshape who gets to make consequential decisions — but they require sustained institutional investment on timescales that most funders find uncomfortable.</w:t>
      </w:r>
    </w:p>
    <w:p>
      <w:pPr>
        <w:pStyle w:val="BodyText"/>
      </w:pPr>
      <w:r>
        <w:t xml:space="preserve">The maturity distribution tells its own story. Of 39 entities, only 2 are near deployment, 20 are in early demonstrations, and 11 remain in foundational research. This is not a list of things almost ready to ship — it is a list of things that need patient capital, cross-disciplinary collaboration, and regulatory frameworks designed for experimentation rather than premature standardization. The window for shaping these systems is open now, and it will not remain open indefinitely. Once infrastructure standards calcify around centralized control, once regulatory frameworks cement incumbent advantages, once public narrative settles on a narrow vision of which futures are possible — the range of available paths narrows dramatically.</w:t>
      </w:r>
    </w:p>
    <w:p>
      <w:pPr>
        <w:pStyle w:val="BodyText"/>
      </w:pPr>
      <w:r>
        <w:t xml:space="preserve">What can you do with this information? If you are a funder, the undervalued shortlist in this report is a starting point: Chemputing, the Epistemic Stack, LexCommons, the Conflict De-escalation Protocol, and Gevulot all score well on our framework while receiving disproportionately little attention. More broadly, consider whether your portfolio has exposure to infrastructure that works across many possible futures, not just the ones currently receiving the most hype. If you are a policymaker, the entities in the upper-right quadrant of the scatter plot — high technology impact, strong d/acc alignment — represent the systems most worth building regulatory runway for today, before they are large enough to attract the incumbent opposition that typically slows good governance. If you are a researcher or technologist, the Open Questions sections throughout this report identify genuine frontiers: places where the field lacks basic scientific understanding, where governance frameworks don’t yet exist, or where the coordination problem is more tractable than the technical one.</w:t>
      </w:r>
    </w:p>
    <w:p>
      <w:pPr>
        <w:pStyle w:val="BodyText"/>
      </w:pPr>
      <w:r>
        <w:t xml:space="preserve">This research is a first pass, not a final map. The pipeline that produced it — 108 source documents, 300+ candidate systems, three-stage scoring, independent curation — is designed to be repeatable and extensible. Future iterations should expand the source corpus to include non-English discourse communities, incorporate structured expert elicitation alongside automated scoring, and track entities longitudinally to see which ones move from foundational research toward deployment. The goal is not to produce a single authoritative ranking but to build a shared language for talking about which futures are forming, which deserve more resources, and how the choices we make today are constraining or expanding the range of tomorrow. The 39 hyper-entities in this report are an invitation to that conversation.</w:t>
      </w:r>
    </w:p>
    <w:bookmarkEnd w:id="159"/>
    <w:bookmarkStart w:id="160" w:name="appendix-full-scoring-tables"/>
    <w:p>
      <w:pPr>
        <w:pStyle w:val="Heading2"/>
      </w:pPr>
      <w:r>
        <w:t xml:space="preserve">Appendix: Full Scoring Tables</w:t>
      </w:r>
    </w:p>
    <w:p>
      <w:pPr>
        <w:pStyle w:val="FirstParagraph"/>
      </w:pPr>
      <w:r>
        <w:t xml:space="preserve">Entity | Stage 1 | Tech Impact | d/acc | Maturity | Group |</w:t>
      </w:r>
    </w:p>
    <w:p>
      <w:pPr>
        <w:pStyle w:val="BodyText"/>
      </w:pPr>
      <w:r>
        <w:t xml:space="preserve">|——–|———|————-|——-|———-|——-|</w:t>
      </w:r>
    </w:p>
    <w:p>
      <w:pPr>
        <w:pStyle w:val="BodyText"/>
      </w:pPr>
      <w:r>
        <w:t xml:space="preserve">AI-Assisted Epistemological Enhancement System | 78% | 77% | 80% | Early Demonstrations | Truth &amp; Epistemic Infrastructure |</w:t>
      </w:r>
    </w:p>
    <w:p>
      <w:pPr>
        <w:pStyle w:val="BodyText"/>
      </w:pPr>
      <w:r>
        <w:t xml:space="preserve">Atheoretical Science AI | 56% | N/A | 65% | Foundational Research | Science &amp; Discovery |</w:t>
      </w:r>
    </w:p>
    <w:p>
      <w:pPr>
        <w:pStyle w:val="BodyText"/>
      </w:pPr>
      <w:r>
        <w:t xml:space="preserve">Atomically Precise Manufacturing / Molecular Machine Systems | 74% | 81% | 65% | Foundational Research | Manufacturing &amp; Matter |</w:t>
      </w:r>
    </w:p>
    <w:p>
      <w:pPr>
        <w:pStyle w:val="BodyText"/>
      </w:pPr>
      <w:r>
        <w:t xml:space="preserve">Automated Scientific Publishing Ecosystem for Machine Consumers | 74% | 86% | 90% | Early Demonstrations | Science &amp; Discovery |</w:t>
      </w:r>
    </w:p>
    <w:p>
      <w:pPr>
        <w:pStyle w:val="BodyText"/>
      </w:pPr>
      <w:r>
        <w:t xml:space="preserve">Chemputing (Chemical Computing) | 74% | 63% | 65% | Early Demonstrations | Manufacturing &amp; Matter |</w:t>
      </w:r>
    </w:p>
    <w:p>
      <w:pPr>
        <w:pStyle w:val="BodyText"/>
      </w:pPr>
      <w:r>
        <w:t xml:space="preserve">Climate Adaptation Jurisdictional Arbitrage | 70% | N/A | 80% | Early Demonstrations | Energy &amp; Infrastructure |</w:t>
      </w:r>
    </w:p>
    <w:p>
      <w:pPr>
        <w:pStyle w:val="BodyText"/>
      </w:pPr>
      <w:r>
        <w:t xml:space="preserve">Competitive Governance Protocol Stack | 85% | 81% | 90% | Early Demonstrations | Governance &amp; Collective Intelligence |</w:t>
      </w:r>
    </w:p>
    <w:p>
      <w:pPr>
        <w:pStyle w:val="BodyText"/>
      </w:pPr>
      <w:r>
        <w:t xml:space="preserve">Conflict De-escalation Protocol | 59% | N/A | 80% | Foundational Research | Governance &amp; Collective Intelligence |</w:t>
      </w:r>
    </w:p>
    <w:p>
      <w:pPr>
        <w:pStyle w:val="BodyText"/>
      </w:pPr>
      <w:r>
        <w:t xml:space="preserve">Decentralized Adaptive Energy Network | 67% | 73% | 90% | Scaling Challenges | Energy &amp; Infrastructure |</w:t>
      </w:r>
    </w:p>
    <w:p>
      <w:pPr>
        <w:pStyle w:val="BodyText"/>
      </w:pPr>
      <w:r>
        <w:t xml:space="preserve">Decentralized Scientific Collaboration Infrastructure | 85% | 76% | 90% | Scaling Challenges | Science &amp; Discovery |</w:t>
      </w:r>
    </w:p>
    <w:p>
      <w:pPr>
        <w:pStyle w:val="BodyText"/>
      </w:pPr>
      <w:r>
        <w:t xml:space="preserve">Deep Fision Micro Nuclear Reactors | 81% | 67% | 80% | Early Demonstrations | Energy &amp; Infrastructure |</w:t>
      </w:r>
    </w:p>
    <w:p>
      <w:pPr>
        <w:pStyle w:val="BodyText"/>
      </w:pPr>
      <w:r>
        <w:t xml:space="preserve">Digital Mind Governance Systems | 70% | 76% | 80% | Foundational Research | Mind, Brain &amp; Human Augmentation |</w:t>
      </w:r>
    </w:p>
    <w:p>
      <w:pPr>
        <w:pStyle w:val="BodyText"/>
      </w:pPr>
      <w:r>
        <w:t xml:space="preserve">Digital Twin Ecosystem | 70% | 79% | 75% | Scaling Challenges | Mind, Brain &amp; Human Augmentation |</w:t>
      </w:r>
    </w:p>
    <w:p>
      <w:pPr>
        <w:pStyle w:val="BodyText"/>
      </w:pPr>
      <w:r>
        <w:t xml:space="preserve">Distributed Zero-Knowledge Security Systems | 85% | 67% | 80% | Scaling Challenges | Truth &amp; Epistemic Infrastructure |</w:t>
      </w:r>
    </w:p>
    <w:p>
      <w:pPr>
        <w:pStyle w:val="BodyText"/>
      </w:pPr>
      <w:r>
        <w:t xml:space="preserve">EgoLets (Personal AI Assistants) | 78% | 69% | 75% | Early Demonstrations | AI &amp; Human Agency |</w:t>
      </w:r>
    </w:p>
    <w:p>
      <w:pPr>
        <w:pStyle w:val="BodyText"/>
      </w:pPr>
      <w:r>
        <w:t xml:space="preserve">Empathetic Neuro-AI Emotional Coaching System | 78% | 69% | 65% | Early Demonstrations | AI &amp; Human Agency |</w:t>
      </w:r>
    </w:p>
    <w:p>
      <w:pPr>
        <w:pStyle w:val="BodyText"/>
      </w:pPr>
      <w:r>
        <w:t xml:space="preserve">End-User Programming Ecosystem | 78% | 77% | 80% | Scaling Challenges | Manufacturing &amp; Matter |</w:t>
      </w:r>
    </w:p>
    <w:p>
      <w:pPr>
        <w:pStyle w:val="BodyText"/>
      </w:pPr>
      <w:r>
        <w:t xml:space="preserve">Epistemic Infrastructure for Truth Verification | 70% | 76% | 80% | Early Demonstrations | Truth &amp; Epistemic Infrastructure |</w:t>
      </w:r>
    </w:p>
    <w:p>
      <w:pPr>
        <w:pStyle w:val="BodyText"/>
      </w:pPr>
      <w:r>
        <w:t xml:space="preserve">Epistemic Stack | 70% | 63% | 85% | Early Demonstrations | Truth &amp; Epistemic Infrastructure |</w:t>
      </w:r>
    </w:p>
    <w:p>
      <w:pPr>
        <w:pStyle w:val="BodyText"/>
      </w:pPr>
      <w:r>
        <w:t xml:space="preserve">Expanded Moral Circle Technologies | 59% | N/A | 80% | Foundational Research | Ethics &amp; Moral Expansion |</w:t>
      </w:r>
    </w:p>
    <w:p>
      <w:pPr>
        <w:pStyle w:val="BodyText"/>
      </w:pPr>
      <w:r>
        <w:t xml:space="preserve">Fiduciary AI Assistance | 59% | N/A | 80% | Foundational Research | AI &amp; Human Agency |</w:t>
      </w:r>
    </w:p>
    <w:p>
      <w:pPr>
        <w:pStyle w:val="BodyText"/>
      </w:pPr>
      <w:r>
        <w:t xml:space="preserve">Futarchy (Governance by Prediction Markets) | 63% | N/A | 80% | Early Demonstrations | Markets &amp; Incentive Systems |</w:t>
      </w:r>
    </w:p>
    <w:p>
      <w:pPr>
        <w:pStyle w:val="BodyText"/>
      </w:pPr>
      <w:r>
        <w:t xml:space="preserve">Gevulot (Privacy Infrastructure) | 63% | N/A | 90% | Early Demonstrations | Governance &amp; Collective Intelligence |</w:t>
      </w:r>
    </w:p>
    <w:p>
      <w:pPr>
        <w:pStyle w:val="BodyText"/>
      </w:pPr>
      <w:r>
        <w:t xml:space="preserve">Global Deliberation Coordinator (GDaaS) | 70% | 74% | 75% | Early Demonstrations | Governance &amp; Collective Intelligence |</w:t>
      </w:r>
    </w:p>
    <w:p>
      <w:pPr>
        <w:pStyle w:val="BodyText"/>
      </w:pPr>
      <w:r>
        <w:t xml:space="preserve">Habermas Machines | 74% | 60% | 75% | Early Demonstrations | Governance &amp; Collective Intelligence |</w:t>
      </w:r>
    </w:p>
    <w:p>
      <w:pPr>
        <w:pStyle w:val="BodyText"/>
      </w:pPr>
      <w:r>
        <w:t xml:space="preserve">Human Superintelligence via Brain-Computer Interfaces (BCI) | 78% | 86% | 60% | Early Demonstrations | Mind, Brain &amp; Human Augmentation |</w:t>
      </w:r>
    </w:p>
    <w:p>
      <w:pPr>
        <w:pStyle w:val="BodyText"/>
      </w:pPr>
      <w:r>
        <w:t xml:space="preserve">Immune-Computer Interface | 74% | 83% | 65% | Early Demonstrations | Mind, Brain &amp; Human Augmentation |</w:t>
      </w:r>
    </w:p>
    <w:p>
      <w:pPr>
        <w:pStyle w:val="BodyText"/>
      </w:pPr>
      <w:r>
        <w:t xml:space="preserve">LexCommons | 81% | 81% | 90% | Foundational Research | Governance &amp; Collective Intelligence |</w:t>
      </w:r>
    </w:p>
    <w:p>
      <w:pPr>
        <w:pStyle w:val="BodyText"/>
      </w:pPr>
      <w:r>
        <w:t xml:space="preserve">Lifelong AI Guardians | 78% | 70% | 65% | Early Demonstrations | AI &amp; Human Agency |</w:t>
      </w:r>
    </w:p>
    <w:p>
      <w:pPr>
        <w:pStyle w:val="BodyText"/>
      </w:pPr>
      <w:r>
        <w:t xml:space="preserve">Mind Uploading Infrastructure | 78% | 80% | 40% | Foundational Research | Mind, Brain &amp; Human Augmentation |</w:t>
      </w:r>
    </w:p>
    <w:p>
      <w:pPr>
        <w:pStyle w:val="BodyText"/>
      </w:pPr>
      <w:r>
        <w:t xml:space="preserve">Moral Trade Civilization | 41% | N/A | 80% | Foundational Research | Ethics &amp; Moral Expansion |</w:t>
      </w:r>
    </w:p>
    <w:p>
      <w:pPr>
        <w:pStyle w:val="BodyText"/>
      </w:pPr>
      <w:r>
        <w:t xml:space="preserve">Origin of Life Experimental Platform | 74% | 66% | 50% | Early Demonstrations | Science &amp; Discovery |</w:t>
      </w:r>
    </w:p>
    <w:p>
      <w:pPr>
        <w:pStyle w:val="BodyText"/>
      </w:pPr>
      <w:r>
        <w:t xml:space="preserve">Protein Design for Global Challenges | 78% | 76% | 65% | Near Deployment | Science &amp; Discovery |</w:t>
      </w:r>
    </w:p>
    <w:p>
      <w:pPr>
        <w:pStyle w:val="BodyText"/>
      </w:pPr>
      <w:r>
        <w:t xml:space="preserve">Prediction &amp; Reputation Markets | 70% | 73% | 85% | Early Demonstrations | Markets &amp; Incentive Systems |</w:t>
      </w:r>
    </w:p>
    <w:p>
      <w:pPr>
        <w:pStyle w:val="BodyText"/>
      </w:pPr>
      <w:r>
        <w:t xml:space="preserve">Cross-Cultural Understanding Infrastructure (TLMs) | 81% | 76% | 80% | Near Deployment | Mind, Brain &amp; Human Augmentation |</w:t>
      </w:r>
    </w:p>
    <w:p>
      <w:pPr>
        <w:pStyle w:val="BodyText"/>
      </w:pPr>
      <w:r>
        <w:t xml:space="preserve">Universal AI Learning UnCommons (UALU) | 70% | 63% | 85% | Early Demonstrations | Science &amp; Discovery |</w:t>
      </w:r>
    </w:p>
    <w:p>
      <w:pPr>
        <w:pStyle w:val="BodyText"/>
      </w:pPr>
      <w:r>
        <w:t xml:space="preserve">Universal Constructor | 56% | N/A | 65% | Foundational Research | Manufacturing &amp; Matter |</w:t>
      </w:r>
    </w:p>
    <w:p>
      <w:pPr>
        <w:pStyle w:val="BodyText"/>
      </w:pPr>
      <w:r>
        <w:t xml:space="preserve">Whole Brain Emulation | 59% | N/A | 40% | Foundational Research | Mind, Brain &amp; Human Augmentation |</w:t>
      </w:r>
    </w:p>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hyperlink" Id="rId108" Target="https://ai.meta.com/research/no-language-left-behind/" TargetMode="External" /><Relationship Type="http://schemas.openxmlformats.org/officeDocument/2006/relationships/hyperlink" Id="rId65" Target="https://allenai.org" TargetMode="External" /><Relationship Type="http://schemas.openxmlformats.org/officeDocument/2006/relationships/hyperlink" Id="rId62" Target="https://anthropic.com" TargetMode="External" /><Relationship Type="http://schemas.openxmlformats.org/officeDocument/2006/relationships/hyperlink" Id="rId94" Target="https://aragon.org" TargetMode="External" /><Relationship Type="http://schemas.openxmlformats.org/officeDocument/2006/relationships/hyperlink" Id="rId134" Target="https://arxiv.org" TargetMode="External" /><Relationship Type="http://schemas.openxmlformats.org/officeDocument/2006/relationships/hyperlink" Id="rId58" Target="https://character.ai" TargetMode="External" /><Relationship Type="http://schemas.openxmlformats.org/officeDocument/2006/relationships/hyperlink" Id="rId89" Target="https://chartercitiesinstitute.org" TargetMode="External" /><Relationship Type="http://schemas.openxmlformats.org/officeDocument/2006/relationships/hyperlink" Id="rId84" Target="https://cip.org" TargetMode="External" /><Relationship Type="http://schemas.openxmlformats.org/officeDocument/2006/relationships/hyperlink" Id="rId98" Target="https://creativecommons.org" TargetMode="External" /><Relationship Type="http://schemas.openxmlformats.org/officeDocument/2006/relationships/hyperlink" Id="rId118" Target="https://cursor.com" TargetMode="External" /><Relationship Type="http://schemas.openxmlformats.org/officeDocument/2006/relationships/hyperlink" Id="rId30" Target="https://dataconomy.com/2026/02/02/global-ai-funding-hits-211-billion-in-2025/" TargetMode="External" /><Relationship Type="http://schemas.openxmlformats.org/officeDocument/2006/relationships/hyperlink" Id="rId73" Target="https://deepfission.com" TargetMode="External" /><Relationship Type="http://schemas.openxmlformats.org/officeDocument/2006/relationships/hyperlink" Id="rId114" Target="https://deepmind.google" TargetMode="External" /><Relationship Type="http://schemas.openxmlformats.org/officeDocument/2006/relationships/hyperlink" Id="rId141" Target="https://desci.com" TargetMode="External" /><Relationship Type="http://schemas.openxmlformats.org/officeDocument/2006/relationships/hyperlink" Id="rId138" Target="https://elicit.com" TargetMode="External" /><Relationship Type="http://schemas.openxmlformats.org/officeDocument/2006/relationships/hyperlink" Id="rId9" Target="https://en.wikipedia.org/wiki/Fusion_power" TargetMode="External" /><Relationship Type="http://schemas.openxmlformats.org/officeDocument/2006/relationships/hyperlink" Id="rId16" Target="https://en.wikipedia.org/wiki/Mind_uploading" TargetMode="External" /><Relationship Type="http://schemas.openxmlformats.org/officeDocument/2006/relationships/hyperlink" Id="rId145" Target="https://eosc.eu" TargetMode="External" /><Relationship Type="http://schemas.openxmlformats.org/officeDocument/2006/relationships/hyperlink" Id="rId25" Target="https://existentialhope.com" TargetMode="External" /><Relationship Type="http://schemas.openxmlformats.org/officeDocument/2006/relationships/hyperlink" Id="rId24" Target="https://existentialhope.com/podcast" TargetMode="External" /><Relationship Type="http://schemas.openxmlformats.org/officeDocument/2006/relationships/hyperlink" Id="rId109" Target="https://foresight.org" TargetMode="External" /><Relationship Type="http://schemas.openxmlformats.org/officeDocument/2006/relationships/hyperlink" Id="rId11" Target="https://foresight.org/" TargetMode="External" /><Relationship Type="http://schemas.openxmlformats.org/officeDocument/2006/relationships/hyperlink" Id="rId21" Target="https://gevulot.com/" TargetMode="External" /><Relationship Type="http://schemas.openxmlformats.org/officeDocument/2006/relationships/hyperlink" Id="rId64" Target="https://github.com/features/copilot" TargetMode="External" /><Relationship Type="http://schemas.openxmlformats.org/officeDocument/2006/relationships/hyperlink" Id="rId29" Target="https://hai.stanford.edu/ai-index/2025-ai-index-report/economy" TargetMode="External" /><Relationship Type="http://schemas.openxmlformats.org/officeDocument/2006/relationships/hyperlink" Id="rId55" Target="https://huggingface.co" TargetMode="External" /><Relationship Type="http://schemas.openxmlformats.org/officeDocument/2006/relationships/hyperlink" Id="rId54" Target="https://inflection.ai" TargetMode="External" /><Relationship Type="http://schemas.openxmlformats.org/officeDocument/2006/relationships/hyperlink" Id="rId76" Target="https://kairospower.com" TargetMode="External" /><Relationship Type="http://schemas.openxmlformats.org/officeDocument/2006/relationships/hyperlink" Id="rId96" Target="https://kleros.io" TargetMode="External" /><Relationship Type="http://schemas.openxmlformats.org/officeDocument/2006/relationships/hyperlink" Id="rId14" Target="https://lexdao.org/" TargetMode="External" /><Relationship Type="http://schemas.openxmlformats.org/officeDocument/2006/relationships/hyperlink" Id="rId51" Target="https://metaculus.com" TargetMode="External" /><Relationship Type="http://schemas.openxmlformats.org/officeDocument/2006/relationships/hyperlink" Id="rId151" Target="https://moodle.org" TargetMode="External" /><Relationship Type="http://schemas.openxmlformats.org/officeDocument/2006/relationships/hyperlink" Id="rId82" Target="https://neuralink.com" TargetMode="External" /><Relationship Type="http://schemas.openxmlformats.org/officeDocument/2006/relationships/hyperlink" Id="rId15" Target="https://neuralink.com/" TargetMode="External" /><Relationship Type="http://schemas.openxmlformats.org/officeDocument/2006/relationships/hyperlink" Id="rId61" Target="https://openai.com" TargetMode="External" /><Relationship Type="http://schemas.openxmlformats.org/officeDocument/2006/relationships/hyperlink" Id="rId137" Target="https://openalex.org" TargetMode="External" /><Relationship Type="http://schemas.openxmlformats.org/officeDocument/2006/relationships/hyperlink" Id="rId150" Target="https://openedx.org" TargetMode="External" /><Relationship Type="http://schemas.openxmlformats.org/officeDocument/2006/relationships/hyperlink" Id="rId63" Target="https://openmined.org" TargetMode="External" /><Relationship Type="http://schemas.openxmlformats.org/officeDocument/2006/relationships/hyperlink" Id="rId155" Target="https://orcid.org" TargetMode="External" /><Relationship Type="http://schemas.openxmlformats.org/officeDocument/2006/relationships/hyperlink" Id="rId143" Target="https://osf.io" TargetMode="External" /><Relationship Type="http://schemas.openxmlformats.org/officeDocument/2006/relationships/hyperlink" Id="rId91" Target="https://passport.gitcoin.co" TargetMode="External" /><Relationship Type="http://schemas.openxmlformats.org/officeDocument/2006/relationships/hyperlink" Id="rId103" Target="https://pol.is" TargetMode="External" /><Relationship Type="http://schemas.openxmlformats.org/officeDocument/2006/relationships/hyperlink" Id="rId124" Target="https://polymarket.com" TargetMode="External" /><Relationship Type="http://schemas.openxmlformats.org/officeDocument/2006/relationships/hyperlink" Id="rId90" Target="https://prospera.hn" TargetMode="External" /><Relationship Type="http://schemas.openxmlformats.org/officeDocument/2006/relationships/hyperlink" Id="rId59" Target="https://replika.com" TargetMode="External" /><Relationship Type="http://schemas.openxmlformats.org/officeDocument/2006/relationships/hyperlink" Id="rId119" Target="https://replit.com" TargetMode="External" /><Relationship Type="http://schemas.openxmlformats.org/officeDocument/2006/relationships/hyperlink" Id="rId139" Target="https://scite.ai" TargetMode="External" /><Relationship Type="http://schemas.openxmlformats.org/officeDocument/2006/relationships/hyperlink" Id="rId92" Target="https://snapshot.org" TargetMode="External" /><Relationship Type="http://schemas.openxmlformats.org/officeDocument/2006/relationships/hyperlink" Id="rId83" Target="https://synchron.com" TargetMode="External" /><Relationship Type="http://schemas.openxmlformats.org/officeDocument/2006/relationships/hyperlink" Id="rId93" Target="https://thenetworkstate.com" TargetMode="External" /><Relationship Type="http://schemas.openxmlformats.org/officeDocument/2006/relationships/hyperlink" Id="rId12" Target="https://vitalik.eth.limo/general/2023/11/27/dacc.html" TargetMode="External" /><Relationship Type="http://schemas.openxmlformats.org/officeDocument/2006/relationships/hyperlink" Id="rId26" Target="https://vitalik.eth.limo/general/2023/11/27/techno_optimism.html" TargetMode="External" /><Relationship Type="http://schemas.openxmlformats.org/officeDocument/2006/relationships/hyperlink" Id="rId27" Target="https://vitalik.eth.limo/general/2025/01/05/dacc2.html" TargetMode="External" /><Relationship Type="http://schemas.openxmlformats.org/officeDocument/2006/relationships/hyperlink" Id="rId101" Target="https://woebothealth.com" TargetMode="External" /><Relationship Type="http://schemas.openxmlformats.org/officeDocument/2006/relationships/hyperlink" Id="rId113" Target="https://www.anthropic.com" TargetMode="External" /><Relationship Type="http://schemas.openxmlformats.org/officeDocument/2006/relationships/hyperlink" Id="rId70" Target="https://www.auto-grid.com" TargetMode="External" /><Relationship Type="http://schemas.openxmlformats.org/officeDocument/2006/relationships/hyperlink" Id="rId52" Target="https://www.betterment.com" TargetMode="External" /><Relationship Type="http://schemas.openxmlformats.org/officeDocument/2006/relationships/hyperlink" Id="rId135" Target="https://www.biorxiv.org" TargetMode="External" /><Relationship Type="http://schemas.openxmlformats.org/officeDocument/2006/relationships/hyperlink" Id="rId102" Target="https://www.cbi.org" TargetMode="External" /><Relationship Type="http://schemas.openxmlformats.org/officeDocument/2006/relationships/hyperlink" Id="rId20" Target="https://www.chem.gla.ac.uk/cronin/chemputer/" TargetMode="External" /><Relationship Type="http://schemas.openxmlformats.org/officeDocument/2006/relationships/hyperlink" Id="rId142" Target="https://www.cos.io" TargetMode="External" /><Relationship Type="http://schemas.openxmlformats.org/officeDocument/2006/relationships/hyperlink" Id="rId33" Target="https://www.datacenterdynamics.com/en/news/openai-training-and-inference-costs-could-reach-7bn-for-2024-ai-startup-set-to-lose-5bn-report/" TargetMode="External" /><Relationship Type="http://schemas.openxmlformats.org/officeDocument/2006/relationships/hyperlink" Id="rId107" Target="https://www.deepl.com" TargetMode="External" /><Relationship Type="http://schemas.openxmlformats.org/officeDocument/2006/relationships/hyperlink" Id="rId88" Target="https://www.e-resident.gov.ee" TargetMode="External" /><Relationship Type="http://schemas.openxmlformats.org/officeDocument/2006/relationships/hyperlink" Id="rId80" Target="https://www.earthspecies.org" TargetMode="External" /><Relationship Type="http://schemas.openxmlformats.org/officeDocument/2006/relationships/hyperlink" Id="rId71" Target="https://www.energyweb.org" TargetMode="External" /><Relationship Type="http://schemas.openxmlformats.org/officeDocument/2006/relationships/hyperlink" Id="rId127" Target="https://www.farcaster.xyz" TargetMode="External" /><Relationship Type="http://schemas.openxmlformats.org/officeDocument/2006/relationships/hyperlink" Id="rId147" Target="https://www.fast.ai" TargetMode="External" /><Relationship Type="http://schemas.openxmlformats.org/officeDocument/2006/relationships/hyperlink" Id="rId10" Target="https://www.genome.gov/human-genome-project" TargetMode="External" /><Relationship Type="http://schemas.openxmlformats.org/officeDocument/2006/relationships/hyperlink" Id="rId149" Target="https://www.gida-global.org" TargetMode="External" /><Relationship Type="http://schemas.openxmlformats.org/officeDocument/2006/relationships/hyperlink" Id="rId128" Target="https://www.gitcoin.co" TargetMode="External" /><Relationship Type="http://schemas.openxmlformats.org/officeDocument/2006/relationships/hyperlink" Id="rId125" Target="https://www.gjopen.com" TargetMode="External" /><Relationship Type="http://schemas.openxmlformats.org/officeDocument/2006/relationships/hyperlink" Id="rId129" Target="https://www.gnosis.io" TargetMode="External" /><Relationship Type="http://schemas.openxmlformats.org/officeDocument/2006/relationships/hyperlink" Id="rId136" Target="https://www.go-fair.org/fair-principles/" TargetMode="External" /><Relationship Type="http://schemas.openxmlformats.org/officeDocument/2006/relationships/hyperlink" Id="rId31" Target="https://www.goldmansachs.com/insights/articles/why-ai-companies-may-invest-more-than-500-billion-in-2026" TargetMode="External" /><Relationship Type="http://schemas.openxmlformats.org/officeDocument/2006/relationships/hyperlink" Id="rId97" Target="https://www.harvey.ai" TargetMode="External" /><Relationship Type="http://schemas.openxmlformats.org/officeDocument/2006/relationships/hyperlink" Id="rId100" Target="https://www.hume.ai" TargetMode="External" /><Relationship Type="http://schemas.openxmlformats.org/officeDocument/2006/relationships/hyperlink" Id="rId120" Target="https://www.khanacademy.org" TargetMode="External" /><Relationship Type="http://schemas.openxmlformats.org/officeDocument/2006/relationships/hyperlink" Id="rId126" Target="https://www.lens.xyz" TargetMode="External" /><Relationship Type="http://schemas.openxmlformats.org/officeDocument/2006/relationships/hyperlink" Id="rId13" Target="https://www.lesswrong.com/posts/kAgJJa3HLSZxsuSrf/we-need-a-theory-of-anthropic-measure-binding" TargetMode="External" /><Relationship Type="http://schemas.openxmlformats.org/officeDocument/2006/relationships/hyperlink" Id="rId105" Target="https://www.newdemocracy.com.au" TargetMode="External" /><Relationship Type="http://schemas.openxmlformats.org/officeDocument/2006/relationships/hyperlink" Id="rId74" Target="https://www.nuscalepower.com" TargetMode="External" /><Relationship Type="http://schemas.openxmlformats.org/officeDocument/2006/relationships/hyperlink" Id="rId57" Target="https://www.openphilanthropy.org" TargetMode="External" /><Relationship Type="http://schemas.openxmlformats.org/officeDocument/2006/relationships/hyperlink" Id="rId148" Target="https://www.p2pu.org" TargetMode="External" /><Relationship Type="http://schemas.openxmlformats.org/officeDocument/2006/relationships/hyperlink" Id="rId144" Target="https://www.perplexity.ai" TargetMode="External" /><Relationship Type="http://schemas.openxmlformats.org/officeDocument/2006/relationships/hyperlink" Id="rId69" Target="https://www.powerledger.io" TargetMode="External" /><Relationship Type="http://schemas.openxmlformats.org/officeDocument/2006/relationships/hyperlink" Id="rId32" Target="https://www.poynter.org/ifcn/grants-ifcn/globalfactcheckfund/" TargetMode="External" /><Relationship Type="http://schemas.openxmlformats.org/officeDocument/2006/relationships/hyperlink" Id="rId81" Target="https://www.projectceti.org" TargetMode="External" /><Relationship Type="http://schemas.openxmlformats.org/officeDocument/2006/relationships/hyperlink" Id="rId140" Target="https://www.researchhub.com" TargetMode="External" /><Relationship Type="http://schemas.openxmlformats.org/officeDocument/2006/relationships/hyperlink" Id="rId56" Target="https://www.safe.ai" TargetMode="External" /><Relationship Type="http://schemas.openxmlformats.org/officeDocument/2006/relationships/hyperlink" Id="rId133" Target="https://www.semanticscholar.org" TargetMode="External" /><Relationship Type="http://schemas.openxmlformats.org/officeDocument/2006/relationships/hyperlink" Id="rId106" Target="https://www.sortitionfoundation.org" TargetMode="External" /><Relationship Type="http://schemas.openxmlformats.org/officeDocument/2006/relationships/hyperlink" Id="rId75" Target="https://www.terrapower.com" TargetMode="External" /><Relationship Type="http://schemas.openxmlformats.org/officeDocument/2006/relationships/hyperlink" Id="rId53" Target="https://www.wealthfront.com" TargetMode="External" /></Relationships>
</file>

<file path=word/_rels/footnotes.xml.rels><?xml version="1.0" encoding="UTF-8"?><Relationships xmlns="http://schemas.openxmlformats.org/package/2006/relationships"><Relationship Type="http://schemas.openxmlformats.org/officeDocument/2006/relationships/hyperlink" Id="rId108" Target="https://ai.meta.com/research/no-language-left-behind/" TargetMode="External" /><Relationship Type="http://schemas.openxmlformats.org/officeDocument/2006/relationships/hyperlink" Id="rId65" Target="https://allenai.org" TargetMode="External" /><Relationship Type="http://schemas.openxmlformats.org/officeDocument/2006/relationships/hyperlink" Id="rId62" Target="https://anthropic.com" TargetMode="External" /><Relationship Type="http://schemas.openxmlformats.org/officeDocument/2006/relationships/hyperlink" Id="rId94" Target="https://aragon.org" TargetMode="External" /><Relationship Type="http://schemas.openxmlformats.org/officeDocument/2006/relationships/hyperlink" Id="rId134" Target="https://arxiv.org" TargetMode="External" /><Relationship Type="http://schemas.openxmlformats.org/officeDocument/2006/relationships/hyperlink" Id="rId58" Target="https://character.ai" TargetMode="External" /><Relationship Type="http://schemas.openxmlformats.org/officeDocument/2006/relationships/hyperlink" Id="rId89" Target="https://chartercitiesinstitute.org" TargetMode="External" /><Relationship Type="http://schemas.openxmlformats.org/officeDocument/2006/relationships/hyperlink" Id="rId84" Target="https://cip.org" TargetMode="External" /><Relationship Type="http://schemas.openxmlformats.org/officeDocument/2006/relationships/hyperlink" Id="rId98" Target="https://creativecommons.org" TargetMode="External" /><Relationship Type="http://schemas.openxmlformats.org/officeDocument/2006/relationships/hyperlink" Id="rId118" Target="https://cursor.com" TargetMode="External" /><Relationship Type="http://schemas.openxmlformats.org/officeDocument/2006/relationships/hyperlink" Id="rId30" Target="https://dataconomy.com/2026/02/02/global-ai-funding-hits-211-billion-in-2025/" TargetMode="External" /><Relationship Type="http://schemas.openxmlformats.org/officeDocument/2006/relationships/hyperlink" Id="rId73" Target="https://deepfission.com" TargetMode="External" /><Relationship Type="http://schemas.openxmlformats.org/officeDocument/2006/relationships/hyperlink" Id="rId114" Target="https://deepmind.google" TargetMode="External" /><Relationship Type="http://schemas.openxmlformats.org/officeDocument/2006/relationships/hyperlink" Id="rId141" Target="https://desci.com" TargetMode="External" /><Relationship Type="http://schemas.openxmlformats.org/officeDocument/2006/relationships/hyperlink" Id="rId138" Target="https://elicit.com" TargetMode="External" /><Relationship Type="http://schemas.openxmlformats.org/officeDocument/2006/relationships/hyperlink" Id="rId9" Target="https://en.wikipedia.org/wiki/Fusion_power" TargetMode="External" /><Relationship Type="http://schemas.openxmlformats.org/officeDocument/2006/relationships/hyperlink" Id="rId16" Target="https://en.wikipedia.org/wiki/Mind_uploading" TargetMode="External" /><Relationship Type="http://schemas.openxmlformats.org/officeDocument/2006/relationships/hyperlink" Id="rId145" Target="https://eosc.eu" TargetMode="External" /><Relationship Type="http://schemas.openxmlformats.org/officeDocument/2006/relationships/hyperlink" Id="rId25" Target="https://existentialhope.com" TargetMode="External" /><Relationship Type="http://schemas.openxmlformats.org/officeDocument/2006/relationships/hyperlink" Id="rId24" Target="https://existentialhope.com/podcast" TargetMode="External" /><Relationship Type="http://schemas.openxmlformats.org/officeDocument/2006/relationships/hyperlink" Id="rId109" Target="https://foresight.org" TargetMode="External" /><Relationship Type="http://schemas.openxmlformats.org/officeDocument/2006/relationships/hyperlink" Id="rId11" Target="https://foresight.org/" TargetMode="External" /><Relationship Type="http://schemas.openxmlformats.org/officeDocument/2006/relationships/hyperlink" Id="rId21" Target="https://gevulot.com/" TargetMode="External" /><Relationship Type="http://schemas.openxmlformats.org/officeDocument/2006/relationships/hyperlink" Id="rId64" Target="https://github.com/features/copilot" TargetMode="External" /><Relationship Type="http://schemas.openxmlformats.org/officeDocument/2006/relationships/hyperlink" Id="rId29" Target="https://hai.stanford.edu/ai-index/2025-ai-index-report/economy" TargetMode="External" /><Relationship Type="http://schemas.openxmlformats.org/officeDocument/2006/relationships/hyperlink" Id="rId55" Target="https://huggingface.co" TargetMode="External" /><Relationship Type="http://schemas.openxmlformats.org/officeDocument/2006/relationships/hyperlink" Id="rId54" Target="https://inflection.ai" TargetMode="External" /><Relationship Type="http://schemas.openxmlformats.org/officeDocument/2006/relationships/hyperlink" Id="rId76" Target="https://kairospower.com" TargetMode="External" /><Relationship Type="http://schemas.openxmlformats.org/officeDocument/2006/relationships/hyperlink" Id="rId96" Target="https://kleros.io" TargetMode="External" /><Relationship Type="http://schemas.openxmlformats.org/officeDocument/2006/relationships/hyperlink" Id="rId14" Target="https://lexdao.org/" TargetMode="External" /><Relationship Type="http://schemas.openxmlformats.org/officeDocument/2006/relationships/hyperlink" Id="rId51" Target="https://metaculus.com" TargetMode="External" /><Relationship Type="http://schemas.openxmlformats.org/officeDocument/2006/relationships/hyperlink" Id="rId151" Target="https://moodle.org" TargetMode="External" /><Relationship Type="http://schemas.openxmlformats.org/officeDocument/2006/relationships/hyperlink" Id="rId82" Target="https://neuralink.com" TargetMode="External" /><Relationship Type="http://schemas.openxmlformats.org/officeDocument/2006/relationships/hyperlink" Id="rId15" Target="https://neuralink.com/" TargetMode="External" /><Relationship Type="http://schemas.openxmlformats.org/officeDocument/2006/relationships/hyperlink" Id="rId61" Target="https://openai.com" TargetMode="External" /><Relationship Type="http://schemas.openxmlformats.org/officeDocument/2006/relationships/hyperlink" Id="rId137" Target="https://openalex.org" TargetMode="External" /><Relationship Type="http://schemas.openxmlformats.org/officeDocument/2006/relationships/hyperlink" Id="rId150" Target="https://openedx.org" TargetMode="External" /><Relationship Type="http://schemas.openxmlformats.org/officeDocument/2006/relationships/hyperlink" Id="rId63" Target="https://openmined.org" TargetMode="External" /><Relationship Type="http://schemas.openxmlformats.org/officeDocument/2006/relationships/hyperlink" Id="rId155" Target="https://orcid.org" TargetMode="External" /><Relationship Type="http://schemas.openxmlformats.org/officeDocument/2006/relationships/hyperlink" Id="rId143" Target="https://osf.io" TargetMode="External" /><Relationship Type="http://schemas.openxmlformats.org/officeDocument/2006/relationships/hyperlink" Id="rId91" Target="https://passport.gitcoin.co" TargetMode="External" /><Relationship Type="http://schemas.openxmlformats.org/officeDocument/2006/relationships/hyperlink" Id="rId103" Target="https://pol.is" TargetMode="External" /><Relationship Type="http://schemas.openxmlformats.org/officeDocument/2006/relationships/hyperlink" Id="rId124" Target="https://polymarket.com" TargetMode="External" /><Relationship Type="http://schemas.openxmlformats.org/officeDocument/2006/relationships/hyperlink" Id="rId90" Target="https://prospera.hn" TargetMode="External" /><Relationship Type="http://schemas.openxmlformats.org/officeDocument/2006/relationships/hyperlink" Id="rId59" Target="https://replika.com" TargetMode="External" /><Relationship Type="http://schemas.openxmlformats.org/officeDocument/2006/relationships/hyperlink" Id="rId119" Target="https://replit.com" TargetMode="External" /><Relationship Type="http://schemas.openxmlformats.org/officeDocument/2006/relationships/hyperlink" Id="rId139" Target="https://scite.ai" TargetMode="External" /><Relationship Type="http://schemas.openxmlformats.org/officeDocument/2006/relationships/hyperlink" Id="rId92" Target="https://snapshot.org" TargetMode="External" /><Relationship Type="http://schemas.openxmlformats.org/officeDocument/2006/relationships/hyperlink" Id="rId83" Target="https://synchron.com" TargetMode="External" /><Relationship Type="http://schemas.openxmlformats.org/officeDocument/2006/relationships/hyperlink" Id="rId93" Target="https://thenetworkstate.com" TargetMode="External" /><Relationship Type="http://schemas.openxmlformats.org/officeDocument/2006/relationships/hyperlink" Id="rId12" Target="https://vitalik.eth.limo/general/2023/11/27/dacc.html" TargetMode="External" /><Relationship Type="http://schemas.openxmlformats.org/officeDocument/2006/relationships/hyperlink" Id="rId26" Target="https://vitalik.eth.limo/general/2023/11/27/techno_optimism.html" TargetMode="External" /><Relationship Type="http://schemas.openxmlformats.org/officeDocument/2006/relationships/hyperlink" Id="rId27" Target="https://vitalik.eth.limo/general/2025/01/05/dacc2.html" TargetMode="External" /><Relationship Type="http://schemas.openxmlformats.org/officeDocument/2006/relationships/hyperlink" Id="rId101" Target="https://woebothealth.com" TargetMode="External" /><Relationship Type="http://schemas.openxmlformats.org/officeDocument/2006/relationships/hyperlink" Id="rId113" Target="https://www.anthropic.com" TargetMode="External" /><Relationship Type="http://schemas.openxmlformats.org/officeDocument/2006/relationships/hyperlink" Id="rId70" Target="https://www.auto-grid.com" TargetMode="External" /><Relationship Type="http://schemas.openxmlformats.org/officeDocument/2006/relationships/hyperlink" Id="rId52" Target="https://www.betterment.com" TargetMode="External" /><Relationship Type="http://schemas.openxmlformats.org/officeDocument/2006/relationships/hyperlink" Id="rId135" Target="https://www.biorxiv.org" TargetMode="External" /><Relationship Type="http://schemas.openxmlformats.org/officeDocument/2006/relationships/hyperlink" Id="rId102" Target="https://www.cbi.org" TargetMode="External" /><Relationship Type="http://schemas.openxmlformats.org/officeDocument/2006/relationships/hyperlink" Id="rId20" Target="https://www.chem.gla.ac.uk/cronin/chemputer/" TargetMode="External" /><Relationship Type="http://schemas.openxmlformats.org/officeDocument/2006/relationships/hyperlink" Id="rId142" Target="https://www.cos.io" TargetMode="External" /><Relationship Type="http://schemas.openxmlformats.org/officeDocument/2006/relationships/hyperlink" Id="rId33" Target="https://www.datacenterdynamics.com/en/news/openai-training-and-inference-costs-could-reach-7bn-for-2024-ai-startup-set-to-lose-5bn-report/" TargetMode="External" /><Relationship Type="http://schemas.openxmlformats.org/officeDocument/2006/relationships/hyperlink" Id="rId107" Target="https://www.deepl.com" TargetMode="External" /><Relationship Type="http://schemas.openxmlformats.org/officeDocument/2006/relationships/hyperlink" Id="rId88" Target="https://www.e-resident.gov.ee" TargetMode="External" /><Relationship Type="http://schemas.openxmlformats.org/officeDocument/2006/relationships/hyperlink" Id="rId80" Target="https://www.earthspecies.org" TargetMode="External" /><Relationship Type="http://schemas.openxmlformats.org/officeDocument/2006/relationships/hyperlink" Id="rId71" Target="https://www.energyweb.org" TargetMode="External" /><Relationship Type="http://schemas.openxmlformats.org/officeDocument/2006/relationships/hyperlink" Id="rId127" Target="https://www.farcaster.xyz" TargetMode="External" /><Relationship Type="http://schemas.openxmlformats.org/officeDocument/2006/relationships/hyperlink" Id="rId147" Target="https://www.fast.ai" TargetMode="External" /><Relationship Type="http://schemas.openxmlformats.org/officeDocument/2006/relationships/hyperlink" Id="rId10" Target="https://www.genome.gov/human-genome-project" TargetMode="External" /><Relationship Type="http://schemas.openxmlformats.org/officeDocument/2006/relationships/hyperlink" Id="rId149" Target="https://www.gida-global.org" TargetMode="External" /><Relationship Type="http://schemas.openxmlformats.org/officeDocument/2006/relationships/hyperlink" Id="rId128" Target="https://www.gitcoin.co" TargetMode="External" /><Relationship Type="http://schemas.openxmlformats.org/officeDocument/2006/relationships/hyperlink" Id="rId125" Target="https://www.gjopen.com" TargetMode="External" /><Relationship Type="http://schemas.openxmlformats.org/officeDocument/2006/relationships/hyperlink" Id="rId129" Target="https://www.gnosis.io" TargetMode="External" /><Relationship Type="http://schemas.openxmlformats.org/officeDocument/2006/relationships/hyperlink" Id="rId136" Target="https://www.go-fair.org/fair-principles/" TargetMode="External" /><Relationship Type="http://schemas.openxmlformats.org/officeDocument/2006/relationships/hyperlink" Id="rId31" Target="https://www.goldmansachs.com/insights/articles/why-ai-companies-may-invest-more-than-500-billion-in-2026" TargetMode="External" /><Relationship Type="http://schemas.openxmlformats.org/officeDocument/2006/relationships/hyperlink" Id="rId97" Target="https://www.harvey.ai" TargetMode="External" /><Relationship Type="http://schemas.openxmlformats.org/officeDocument/2006/relationships/hyperlink" Id="rId100" Target="https://www.hume.ai" TargetMode="External" /><Relationship Type="http://schemas.openxmlformats.org/officeDocument/2006/relationships/hyperlink" Id="rId120" Target="https://www.khanacademy.org" TargetMode="External" /><Relationship Type="http://schemas.openxmlformats.org/officeDocument/2006/relationships/hyperlink" Id="rId126" Target="https://www.lens.xyz" TargetMode="External" /><Relationship Type="http://schemas.openxmlformats.org/officeDocument/2006/relationships/hyperlink" Id="rId13" Target="https://www.lesswrong.com/posts/kAgJJa3HLSZxsuSrf/we-need-a-theory-of-anthropic-measure-binding" TargetMode="External" /><Relationship Type="http://schemas.openxmlformats.org/officeDocument/2006/relationships/hyperlink" Id="rId105" Target="https://www.newdemocracy.com.au" TargetMode="External" /><Relationship Type="http://schemas.openxmlformats.org/officeDocument/2006/relationships/hyperlink" Id="rId74" Target="https://www.nuscalepower.com" TargetMode="External" /><Relationship Type="http://schemas.openxmlformats.org/officeDocument/2006/relationships/hyperlink" Id="rId57" Target="https://www.openphilanthropy.org" TargetMode="External" /><Relationship Type="http://schemas.openxmlformats.org/officeDocument/2006/relationships/hyperlink" Id="rId148" Target="https://www.p2pu.org" TargetMode="External" /><Relationship Type="http://schemas.openxmlformats.org/officeDocument/2006/relationships/hyperlink" Id="rId144" Target="https://www.perplexity.ai" TargetMode="External" /><Relationship Type="http://schemas.openxmlformats.org/officeDocument/2006/relationships/hyperlink" Id="rId69" Target="https://www.powerledger.io" TargetMode="External" /><Relationship Type="http://schemas.openxmlformats.org/officeDocument/2006/relationships/hyperlink" Id="rId32" Target="https://www.poynter.org/ifcn/grants-ifcn/globalfactcheckfund/" TargetMode="External" /><Relationship Type="http://schemas.openxmlformats.org/officeDocument/2006/relationships/hyperlink" Id="rId81" Target="https://www.projectceti.org" TargetMode="External" /><Relationship Type="http://schemas.openxmlformats.org/officeDocument/2006/relationships/hyperlink" Id="rId140" Target="https://www.researchhub.com" TargetMode="External" /><Relationship Type="http://schemas.openxmlformats.org/officeDocument/2006/relationships/hyperlink" Id="rId56" Target="https://www.safe.ai" TargetMode="External" /><Relationship Type="http://schemas.openxmlformats.org/officeDocument/2006/relationships/hyperlink" Id="rId133" Target="https://www.semanticscholar.org" TargetMode="External" /><Relationship Type="http://schemas.openxmlformats.org/officeDocument/2006/relationships/hyperlink" Id="rId106" Target="https://www.sortitionfoundation.org" TargetMode="External" /><Relationship Type="http://schemas.openxmlformats.org/officeDocument/2006/relationships/hyperlink" Id="rId75" Target="https://www.terrapower.com" TargetMode="External" /><Relationship Type="http://schemas.openxmlformats.org/officeDocument/2006/relationships/hyperlink" Id="rId53" Target="https://www.wealthfron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2026-02-19T16:45:10Z</dcterms:created>
  <dcterms:modified xsi:type="dcterms:W3CDTF">2026-02-19T16:45:10Z</dcterms:modified>
</cp:coreProperties>
</file>

<file path=docProps/custom.xml><?xml version="1.0" encoding="utf-8"?>
<Properties xmlns="http://schemas.openxmlformats.org/officeDocument/2006/custom-properties" xmlns:vt="http://schemas.openxmlformats.org/officeDocument/2006/docPropsVTypes"/>
</file>