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0A0F" w14:textId="45A7714B" w:rsidR="00D50E89" w:rsidRPr="00D50E89" w:rsidRDefault="00D50E89" w:rsidP="00D50E89"/>
    <w:p w14:paraId="4797BB3B" w14:textId="4F154898" w:rsidR="0028652F" w:rsidRPr="0028652F" w:rsidRDefault="0028652F" w:rsidP="00D50E89">
      <w:pPr>
        <w:rPr>
          <w:rFonts w:ascii="Aptos Light" w:hAnsi="Aptos Light"/>
          <w:b/>
          <w:bCs/>
          <w:u w:val="single"/>
        </w:rPr>
      </w:pPr>
      <w:r w:rsidRPr="0028652F">
        <w:rPr>
          <w:rFonts w:ascii="Aptos Light" w:hAnsi="Aptos Light"/>
          <w:b/>
          <w:bCs/>
          <w:u w:val="single"/>
        </w:rPr>
        <w:t xml:space="preserve">Critical action items from </w:t>
      </w:r>
      <w:proofErr w:type="spellStart"/>
      <w:r w:rsidRPr="0028652F">
        <w:rPr>
          <w:rFonts w:ascii="Aptos Light" w:hAnsi="Aptos Light"/>
          <w:b/>
          <w:bCs/>
          <w:u w:val="single"/>
        </w:rPr>
        <w:t>Sthabiso’s</w:t>
      </w:r>
      <w:proofErr w:type="spellEnd"/>
      <w:r w:rsidRPr="0028652F">
        <w:rPr>
          <w:rFonts w:ascii="Aptos Light" w:hAnsi="Aptos Light"/>
          <w:b/>
          <w:bCs/>
          <w:u w:val="single"/>
        </w:rPr>
        <w:t xml:space="preserve"> demo Friday 27</w:t>
      </w:r>
      <w:r w:rsidRPr="0028652F">
        <w:rPr>
          <w:rFonts w:ascii="Aptos Light" w:hAnsi="Aptos Light"/>
          <w:b/>
          <w:bCs/>
          <w:u w:val="single"/>
          <w:vertAlign w:val="superscript"/>
        </w:rPr>
        <w:t>th</w:t>
      </w:r>
      <w:r w:rsidRPr="0028652F">
        <w:rPr>
          <w:rFonts w:ascii="Aptos Light" w:hAnsi="Aptos Light"/>
          <w:b/>
          <w:bCs/>
          <w:u w:val="single"/>
        </w:rPr>
        <w:t xml:space="preserve"> Feb 2026:</w:t>
      </w:r>
    </w:p>
    <w:p w14:paraId="72E932C3" w14:textId="77777777" w:rsidR="009934C5" w:rsidRDefault="009934C5" w:rsidP="00D50E89">
      <w:pPr>
        <w:rPr>
          <w:rFonts w:ascii="Aptos Light" w:hAnsi="Aptos Light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802"/>
        <w:gridCol w:w="2400"/>
        <w:gridCol w:w="1980"/>
        <w:gridCol w:w="1334"/>
      </w:tblGrid>
      <w:tr w:rsidR="00D10E0B" w14:paraId="6516147F" w14:textId="35F26A5A" w:rsidTr="003562D3">
        <w:tc>
          <w:tcPr>
            <w:tcW w:w="1528" w:type="dxa"/>
          </w:tcPr>
          <w:p w14:paraId="57548D89" w14:textId="54B978DF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17" w:type="dxa"/>
          </w:tcPr>
          <w:p w14:paraId="61C69C08" w14:textId="3F2907DC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476" w:type="dxa"/>
          </w:tcPr>
          <w:p w14:paraId="1B5CC1E4" w14:textId="47A840DD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980" w:type="dxa"/>
          </w:tcPr>
          <w:p w14:paraId="5086F948" w14:textId="410D18AF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Accept</w:t>
            </w:r>
          </w:p>
        </w:tc>
        <w:tc>
          <w:tcPr>
            <w:tcW w:w="1215" w:type="dxa"/>
          </w:tcPr>
          <w:p w14:paraId="2FE6BE76" w14:textId="4B93885B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Status</w:t>
            </w:r>
          </w:p>
        </w:tc>
      </w:tr>
      <w:tr w:rsidR="00D10E0B" w14:paraId="7ACE97B0" w14:textId="77777777" w:rsidTr="003E7328">
        <w:tc>
          <w:tcPr>
            <w:tcW w:w="9016" w:type="dxa"/>
            <w:gridSpan w:val="5"/>
          </w:tcPr>
          <w:p w14:paraId="57C6A5AC" w14:textId="04882153" w:rsidR="00D10E0B" w:rsidRDefault="00D10E0B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Products &amp; Pricing (Admin + TB flows)</w:t>
            </w:r>
          </w:p>
        </w:tc>
      </w:tr>
      <w:tr w:rsidR="00D10E0B" w14:paraId="7186AEB1" w14:textId="42257E72" w:rsidTr="003562D3">
        <w:tc>
          <w:tcPr>
            <w:tcW w:w="1528" w:type="dxa"/>
          </w:tcPr>
          <w:p w14:paraId="1B1D4812" w14:textId="51B55EFD" w:rsidR="009934C5" w:rsidRPr="00A2179E" w:rsidRDefault="009934C5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69C2703E" w14:textId="77777777" w:rsidR="009934C5" w:rsidRPr="00D50E89" w:rsidRDefault="009934C5" w:rsidP="009934C5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Use the real product list (no made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up items)</w:t>
            </w:r>
          </w:p>
          <w:p w14:paraId="4D629EA6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5B6D246A" w14:textId="2955993C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Replace placeholders with the bank’s actual product catalogue (e.g., Payments, RTGS, etc.) and group by category.</w:t>
            </w:r>
          </w:p>
        </w:tc>
        <w:tc>
          <w:tcPr>
            <w:tcW w:w="1980" w:type="dxa"/>
          </w:tcPr>
          <w:p w14:paraId="051AD5BF" w14:textId="1FDE3C7C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Product dropdowns show only real products, grouped by category; list matches source of truth.</w:t>
            </w:r>
          </w:p>
        </w:tc>
        <w:tc>
          <w:tcPr>
            <w:tcW w:w="1215" w:type="dxa"/>
          </w:tcPr>
          <w:p w14:paraId="3370C37E" w14:textId="77830F6B" w:rsidR="009934C5" w:rsidRDefault="000F5EB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</w:t>
            </w:r>
          </w:p>
        </w:tc>
      </w:tr>
      <w:tr w:rsidR="00D10E0B" w14:paraId="40190C43" w14:textId="080877B8" w:rsidTr="003562D3">
        <w:tc>
          <w:tcPr>
            <w:tcW w:w="1528" w:type="dxa"/>
          </w:tcPr>
          <w:p w14:paraId="56E89FE1" w14:textId="77777777" w:rsidR="009934C5" w:rsidRPr="00A2179E" w:rsidRDefault="009934C5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7CD9A290" w14:textId="77777777" w:rsidR="009934C5" w:rsidRPr="00D50E89" w:rsidRDefault="009934C5" w:rsidP="009934C5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Concession capture must show the actual amount (not only %)</w:t>
            </w:r>
          </w:p>
          <w:p w14:paraId="354A6403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01EBA8CD" w14:textId="04BE85C5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In the concession UI, display/compute and persist the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amount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alongside (or instead of) the percentage.</w:t>
            </w:r>
          </w:p>
        </w:tc>
        <w:tc>
          <w:tcPr>
            <w:tcW w:w="1980" w:type="dxa"/>
          </w:tcPr>
          <w:p w14:paraId="67AAEDBB" w14:textId="77777777" w:rsidR="009934C5" w:rsidRPr="00D50E89" w:rsidRDefault="009934C5" w:rsidP="009934C5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When a concession is entered, the “client savings”/price shown includes actual Rand amount; percentage is optional/secondary. </w:t>
            </w:r>
          </w:p>
          <w:p w14:paraId="48B76E8E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215" w:type="dxa"/>
          </w:tcPr>
          <w:p w14:paraId="47E57123" w14:textId="0A289678" w:rsidR="009934C5" w:rsidRPr="0013719E" w:rsidRDefault="000F5EBE" w:rsidP="00D50E89">
            <w:pPr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</w:t>
            </w:r>
          </w:p>
        </w:tc>
      </w:tr>
      <w:tr w:rsidR="00D10E0B" w14:paraId="0A3E0637" w14:textId="48321465" w:rsidTr="003562D3">
        <w:tc>
          <w:tcPr>
            <w:tcW w:w="1528" w:type="dxa"/>
          </w:tcPr>
          <w:p w14:paraId="1BF84C8B" w14:textId="77777777" w:rsidR="009934C5" w:rsidRPr="00A2179E" w:rsidRDefault="009934C5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0DEC0489" w14:textId="77777777" w:rsidR="000F5EBE" w:rsidRPr="00D50E89" w:rsidRDefault="000F5EBE" w:rsidP="000F5EBE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VAT display clarity (Incl. / Excl. VAT) and tax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exempt handling</w:t>
            </w:r>
          </w:p>
          <w:p w14:paraId="1F9D410C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6ED526F3" w14:textId="351E0FF1" w:rsidR="009934C5" w:rsidRDefault="000F5EB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Where pricing is shown, display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both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Incl. VAT and Excl. VAT columns when the product/line is VAT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applicable; if VAT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 xml:space="preserve">exempt, show a clear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“VAT Exempt”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badge and suppress the irrelevant column.</w:t>
            </w:r>
          </w:p>
        </w:tc>
        <w:tc>
          <w:tcPr>
            <w:tcW w:w="1980" w:type="dxa"/>
          </w:tcPr>
          <w:p w14:paraId="02441DF6" w14:textId="5F7B7C87" w:rsidR="009934C5" w:rsidRDefault="000F5EB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For taxable items, both columns appear and reconcile; for exempt items, only the relevant value is shown with an “Exempt” indicator.</w:t>
            </w:r>
          </w:p>
        </w:tc>
        <w:tc>
          <w:tcPr>
            <w:tcW w:w="1215" w:type="dxa"/>
          </w:tcPr>
          <w:p w14:paraId="444547E0" w14:textId="71FEE0AD" w:rsidR="009934C5" w:rsidRDefault="00DF0E77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D10E0B" w14:paraId="681708B1" w14:textId="30E32668" w:rsidTr="003562D3">
        <w:tc>
          <w:tcPr>
            <w:tcW w:w="1528" w:type="dxa"/>
          </w:tcPr>
          <w:p w14:paraId="08812708" w14:textId="77777777" w:rsidR="009934C5" w:rsidRPr="00A2179E" w:rsidRDefault="009934C5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AD8B5E6" w14:textId="77777777" w:rsidR="000F5EBE" w:rsidRPr="00D50E89" w:rsidRDefault="000F5EBE" w:rsidP="000F5EBE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Remove the confusing “configured” indicator in multi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select context</w:t>
            </w:r>
          </w:p>
          <w:p w14:paraId="5DC3071B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1DF48402" w14:textId="28BAC5EF" w:rsidR="009934C5" w:rsidRDefault="000F5EB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Hide/eliminate the “Products selected to configure / configured” status block that doesn’t add value—only show the top selection summary when multiple products are chosen.</w:t>
            </w:r>
          </w:p>
        </w:tc>
        <w:tc>
          <w:tcPr>
            <w:tcW w:w="1980" w:type="dxa"/>
          </w:tcPr>
          <w:p w14:paraId="1CFD1B54" w14:textId="77777777" w:rsidR="000F5EBE" w:rsidRPr="00D50E89" w:rsidRDefault="000F5EBE" w:rsidP="000F5EBE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No redundant “configured” panel; selection summary is clear and compact. </w:t>
            </w:r>
          </w:p>
          <w:p w14:paraId="48791492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215" w:type="dxa"/>
          </w:tcPr>
          <w:p w14:paraId="154528F1" w14:textId="1D30EF85" w:rsidR="009934C5" w:rsidRDefault="00DF0E77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F0E77">
              <w:rPr>
                <w:rFonts w:ascii="Aptos Light" w:hAnsi="Aptos Light"/>
                <w:b/>
                <w:bCs/>
                <w:sz w:val="20"/>
                <w:szCs w:val="20"/>
                <w:highlight w:val="yellow"/>
              </w:rPr>
              <w:t>Don’t do this – I figured out what it is for</w:t>
            </w:r>
          </w:p>
        </w:tc>
      </w:tr>
      <w:tr w:rsidR="00D10E0B" w14:paraId="0815640E" w14:textId="19407221" w:rsidTr="003562D3">
        <w:tc>
          <w:tcPr>
            <w:tcW w:w="1528" w:type="dxa"/>
          </w:tcPr>
          <w:p w14:paraId="56B55E78" w14:textId="77777777" w:rsidR="009934C5" w:rsidRPr="00A2179E" w:rsidRDefault="009934C5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0B09BF7C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Use meaningful data for the demo</w:t>
            </w:r>
          </w:p>
          <w:p w14:paraId="06F5F837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35A53360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Load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sample client data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(to be sourced from Sindi) so screens “look real.”</w:t>
            </w:r>
          </w:p>
          <w:p w14:paraId="2540088F" w14:textId="77777777" w:rsidR="009934C5" w:rsidRDefault="009934C5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249520BB" w14:textId="194B4247" w:rsidR="009934C5" w:rsidRDefault="00D10E0B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Client/product pages show believable names, CIS profile, and products as per the supplied sample dataset.</w:t>
            </w:r>
          </w:p>
        </w:tc>
        <w:tc>
          <w:tcPr>
            <w:tcW w:w="1215" w:type="dxa"/>
          </w:tcPr>
          <w:p w14:paraId="586727E4" w14:textId="03879B0A" w:rsidR="009934C5" w:rsidRPr="0013719E" w:rsidRDefault="00DF0E77" w:rsidP="00D50E89">
            <w:pPr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</w:t>
            </w:r>
          </w:p>
        </w:tc>
      </w:tr>
      <w:tr w:rsidR="00D10E0B" w14:paraId="04B20521" w14:textId="77777777" w:rsidTr="00803832">
        <w:tc>
          <w:tcPr>
            <w:tcW w:w="9016" w:type="dxa"/>
            <w:gridSpan w:val="5"/>
          </w:tcPr>
          <w:p w14:paraId="5AC2F807" w14:textId="174E8DE5" w:rsidR="00D10E0B" w:rsidRDefault="00D10E0B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Concession Lifecycle &amp; Approvals</w:t>
            </w:r>
          </w:p>
        </w:tc>
      </w:tr>
      <w:tr w:rsidR="00D10E0B" w14:paraId="43821DD5" w14:textId="77777777" w:rsidTr="003562D3">
        <w:tc>
          <w:tcPr>
            <w:tcW w:w="1528" w:type="dxa"/>
          </w:tcPr>
          <w:p w14:paraId="461A0DB8" w14:textId="77777777" w:rsidR="00D10E0B" w:rsidRPr="00A2179E" w:rsidRDefault="00D10E0B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2CA6B0CC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Approval list ordered by most recent first</w:t>
            </w:r>
          </w:p>
          <w:p w14:paraId="708D1486" w14:textId="77777777" w:rsidR="00D10E0B" w:rsidRPr="00D50E89" w:rsidRDefault="00D10E0B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6F5939DC" w14:textId="534B7155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Sort the concession approval inbox by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Newest on top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(submitted date, then updated date).</w:t>
            </w:r>
          </w:p>
        </w:tc>
        <w:tc>
          <w:tcPr>
            <w:tcW w:w="1980" w:type="dxa"/>
          </w:tcPr>
          <w:p w14:paraId="4D0D9D64" w14:textId="54DF9FAB" w:rsidR="00D10E0B" w:rsidRPr="00D50E89" w:rsidRDefault="00D10E0B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The newest item appears at the top by default; user can still sort/filter.</w:t>
            </w:r>
          </w:p>
        </w:tc>
        <w:tc>
          <w:tcPr>
            <w:tcW w:w="1215" w:type="dxa"/>
          </w:tcPr>
          <w:p w14:paraId="1E5BD188" w14:textId="59DF265B" w:rsidR="00D10E0B" w:rsidRPr="0013719E" w:rsidRDefault="00D10E0B" w:rsidP="00D50E89">
            <w:pPr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</w:t>
            </w:r>
          </w:p>
        </w:tc>
      </w:tr>
      <w:tr w:rsidR="00D10E0B" w14:paraId="595E4E48" w14:textId="77777777" w:rsidTr="003562D3">
        <w:tc>
          <w:tcPr>
            <w:tcW w:w="1528" w:type="dxa"/>
          </w:tcPr>
          <w:p w14:paraId="453F4F07" w14:textId="77777777" w:rsidR="00D10E0B" w:rsidRPr="00A2179E" w:rsidRDefault="00D10E0B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28C7883A" w14:textId="4224C391" w:rsidR="00D10E0B" w:rsidRPr="00D50E89" w:rsidRDefault="00D10E0B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Fix Approve/Reject action failures</w:t>
            </w:r>
          </w:p>
        </w:tc>
        <w:tc>
          <w:tcPr>
            <w:tcW w:w="2476" w:type="dxa"/>
          </w:tcPr>
          <w:p w14:paraId="09C1D3E5" w14:textId="708BAA98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Investigate and resolve the current approve/reject failure in the detailed approval screen.</w:t>
            </w:r>
          </w:p>
        </w:tc>
        <w:tc>
          <w:tcPr>
            <w:tcW w:w="1980" w:type="dxa"/>
          </w:tcPr>
          <w:p w14:paraId="6BEA9BDB" w14:textId="69AC4B45" w:rsidR="00D10E0B" w:rsidRPr="00D50E89" w:rsidRDefault="00D10E0B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Both actions complete, return success toasts, and </w:t>
            </w:r>
            <w:r w:rsidRPr="00D50E89">
              <w:rPr>
                <w:rFonts w:ascii="Aptos Light" w:hAnsi="Aptos Light"/>
                <w:sz w:val="20"/>
                <w:szCs w:val="20"/>
              </w:rPr>
              <w:lastRenderedPageBreak/>
              <w:t>update status without error.</w:t>
            </w:r>
          </w:p>
        </w:tc>
        <w:tc>
          <w:tcPr>
            <w:tcW w:w="1215" w:type="dxa"/>
          </w:tcPr>
          <w:p w14:paraId="226A0C15" w14:textId="57F374F5" w:rsidR="00D10E0B" w:rsidRDefault="00D10E0B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lastRenderedPageBreak/>
              <w:t>Done</w:t>
            </w:r>
          </w:p>
        </w:tc>
      </w:tr>
      <w:tr w:rsidR="00D10E0B" w14:paraId="16DD5612" w14:textId="77777777" w:rsidTr="003562D3">
        <w:tc>
          <w:tcPr>
            <w:tcW w:w="1528" w:type="dxa"/>
          </w:tcPr>
          <w:p w14:paraId="15A98F91" w14:textId="77777777" w:rsidR="00D10E0B" w:rsidRPr="00A2179E" w:rsidRDefault="00D10E0B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696FF434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Approval detail screen must show the right context</w:t>
            </w:r>
          </w:p>
          <w:p w14:paraId="24F56EB7" w14:textId="77777777" w:rsidR="00D10E0B" w:rsidRPr="00D50E89" w:rsidRDefault="00D10E0B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76A52F6E" w14:textId="5EE1F69A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Ensure the detail page </w:t>
            </w:r>
            <w:r w:rsidRPr="0028652F">
              <w:rPr>
                <w:rFonts w:ascii="Aptos Light" w:hAnsi="Aptos Light"/>
                <w:sz w:val="20"/>
                <w:szCs w:val="20"/>
              </w:rPr>
              <w:t>includes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client info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,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agreement details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,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workflow progress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, and the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products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under concession.</w:t>
            </w:r>
          </w:p>
        </w:tc>
        <w:tc>
          <w:tcPr>
            <w:tcW w:w="1980" w:type="dxa"/>
          </w:tcPr>
          <w:p w14:paraId="3A197DB5" w14:textId="3AF70A68" w:rsidR="00D10E0B" w:rsidRPr="00D50E89" w:rsidRDefault="00D10E0B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Approver can decide without navigating elsewhere; all needed context is visible in one screen.</w:t>
            </w:r>
          </w:p>
        </w:tc>
        <w:tc>
          <w:tcPr>
            <w:tcW w:w="1215" w:type="dxa"/>
          </w:tcPr>
          <w:p w14:paraId="7EF84E35" w14:textId="0F201C61" w:rsidR="00D10E0B" w:rsidRDefault="00DF0E77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D10E0B" w14:paraId="2F4A10D7" w14:textId="77777777" w:rsidTr="003562D3">
        <w:tc>
          <w:tcPr>
            <w:tcW w:w="1528" w:type="dxa"/>
          </w:tcPr>
          <w:p w14:paraId="51282BA6" w14:textId="77777777" w:rsidR="00D10E0B" w:rsidRPr="00A2179E" w:rsidRDefault="00D10E0B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2C89E735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 xml:space="preserve">Limit </w:t>
            </w:r>
            <w:r w:rsidRPr="0028652F">
              <w:rPr>
                <w:rFonts w:ascii="Aptos Light" w:hAnsi="Aptos Light"/>
                <w:b/>
                <w:bCs/>
                <w:sz w:val="20"/>
                <w:szCs w:val="20"/>
              </w:rPr>
              <w:t>Sector Head (Pricing Manager)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 xml:space="preserve"> role to approvals only</w:t>
            </w:r>
          </w:p>
          <w:p w14:paraId="0D1F509B" w14:textId="77777777" w:rsidR="00D10E0B" w:rsidRPr="00D50E89" w:rsidRDefault="00D10E0B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056400DC" w14:textId="6C37574F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For </w:t>
            </w:r>
            <w:r w:rsidRPr="0028652F">
              <w:rPr>
                <w:rFonts w:ascii="Aptos Light" w:hAnsi="Aptos Light"/>
                <w:b/>
                <w:bCs/>
                <w:sz w:val="20"/>
                <w:szCs w:val="20"/>
              </w:rPr>
              <w:t>Sector Head (Pricing Manager)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profile, hide configuration/ops features; leave only “Approve” (and required lists/search).</w:t>
            </w:r>
          </w:p>
        </w:tc>
        <w:tc>
          <w:tcPr>
            <w:tcW w:w="1980" w:type="dxa"/>
          </w:tcPr>
          <w:p w14:paraId="6881B463" w14:textId="7F44A7C4" w:rsidR="00D10E0B" w:rsidRPr="00D50E89" w:rsidRDefault="00D10E0B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28652F">
              <w:rPr>
                <w:rFonts w:ascii="Aptos Light" w:hAnsi="Aptos Light"/>
                <w:sz w:val="20"/>
                <w:szCs w:val="20"/>
              </w:rPr>
              <w:t>Sector Head (Pricing Manager)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sees an approvals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first UI; no config or admin menus are visible.</w:t>
            </w:r>
          </w:p>
        </w:tc>
        <w:tc>
          <w:tcPr>
            <w:tcW w:w="1215" w:type="dxa"/>
          </w:tcPr>
          <w:p w14:paraId="52F22A35" w14:textId="3F03747D" w:rsidR="00D10E0B" w:rsidRDefault="00D10E0B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D10E0B" w14:paraId="02F090B3" w14:textId="77777777" w:rsidTr="003562D3">
        <w:tc>
          <w:tcPr>
            <w:tcW w:w="1528" w:type="dxa"/>
          </w:tcPr>
          <w:p w14:paraId="3AB6976A" w14:textId="77777777" w:rsidR="00D10E0B" w:rsidRPr="00A2179E" w:rsidRDefault="00D10E0B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01C9D8F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Post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approval, pricing should be locked</w:t>
            </w:r>
          </w:p>
          <w:p w14:paraId="09DB9328" w14:textId="77777777" w:rsidR="00D10E0B" w:rsidRPr="00D50E89" w:rsidRDefault="00D10E0B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47A90A3F" w14:textId="6CBDA30A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Once a concession is approved, lock pricing for the client/product as per rules; show a “Locked” state</w:t>
            </w:r>
          </w:p>
        </w:tc>
        <w:tc>
          <w:tcPr>
            <w:tcW w:w="1980" w:type="dxa"/>
          </w:tcPr>
          <w:p w14:paraId="3AFAECE0" w14:textId="01FF91B4" w:rsidR="00D10E0B" w:rsidRPr="0028652F" w:rsidRDefault="00D10E0B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Downstream edits require a new request; “Locked” badge/state is visible.</w:t>
            </w:r>
          </w:p>
        </w:tc>
        <w:tc>
          <w:tcPr>
            <w:tcW w:w="1215" w:type="dxa"/>
          </w:tcPr>
          <w:p w14:paraId="475E2CFC" w14:textId="577BA21E" w:rsidR="00D10E0B" w:rsidRDefault="0013719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</w:t>
            </w:r>
          </w:p>
        </w:tc>
      </w:tr>
      <w:tr w:rsidR="00D10E0B" w14:paraId="4F89FD33" w14:textId="77777777" w:rsidTr="00474FD8">
        <w:tc>
          <w:tcPr>
            <w:tcW w:w="9016" w:type="dxa"/>
            <w:gridSpan w:val="5"/>
          </w:tcPr>
          <w:p w14:paraId="7006CA40" w14:textId="5D1405D4" w:rsidR="00D10E0B" w:rsidRDefault="00D10E0B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Campaigns / Price Reviews (Naming &amp; Purpose)</w:t>
            </w:r>
          </w:p>
        </w:tc>
      </w:tr>
      <w:tr w:rsidR="00D10E0B" w14:paraId="1179F7FD" w14:textId="77777777" w:rsidTr="003562D3">
        <w:tc>
          <w:tcPr>
            <w:tcW w:w="1528" w:type="dxa"/>
          </w:tcPr>
          <w:p w14:paraId="66B26F33" w14:textId="77777777" w:rsidR="00D10E0B" w:rsidRPr="00A2179E" w:rsidRDefault="00D10E0B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4E348DEE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Rename “Campaigns” to something clearer (e.g., “Price Reviews” or “Bulk Updates”)</w:t>
            </w:r>
          </w:p>
          <w:p w14:paraId="6660F63B" w14:textId="77777777" w:rsidR="00D10E0B" w:rsidRPr="00D50E89" w:rsidRDefault="00D10E0B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30D31531" w14:textId="633073E5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Replace “Campaigns” label and copy with wording that conveys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system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wide actions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like annual price increases or bulk reviews. Add in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screen help text explaining scope.</w:t>
            </w:r>
          </w:p>
        </w:tc>
        <w:tc>
          <w:tcPr>
            <w:tcW w:w="1980" w:type="dxa"/>
          </w:tcPr>
          <w:p w14:paraId="2CE0D7E3" w14:textId="61D35C15" w:rsidR="00D10E0B" w:rsidRPr="00D50E89" w:rsidRDefault="00D10E0B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Users understand this area is for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system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wide, scheduled or ad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hoc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bulk pricing operations; help text/tooltips render correctly.</w:t>
            </w:r>
          </w:p>
        </w:tc>
        <w:tc>
          <w:tcPr>
            <w:tcW w:w="1215" w:type="dxa"/>
          </w:tcPr>
          <w:p w14:paraId="48C6E632" w14:textId="5E400D5B" w:rsidR="00D10E0B" w:rsidRDefault="00DA3559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Don’t see the option in any of the profiles – let’s leave it like that for now.</w:t>
            </w:r>
          </w:p>
        </w:tc>
      </w:tr>
      <w:tr w:rsidR="00D10E0B" w14:paraId="64CD01F1" w14:textId="77777777" w:rsidTr="003562D3">
        <w:tc>
          <w:tcPr>
            <w:tcW w:w="1528" w:type="dxa"/>
          </w:tcPr>
          <w:p w14:paraId="5AE47214" w14:textId="77777777" w:rsidR="00D10E0B" w:rsidRPr="00A2179E" w:rsidRDefault="00D10E0B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27D056DD" w14:textId="77777777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Fix broken explanatory text/tooltips in this area</w:t>
            </w:r>
          </w:p>
          <w:p w14:paraId="08F95671" w14:textId="77777777" w:rsidR="00D10E0B" w:rsidRPr="00D50E89" w:rsidRDefault="00D10E0B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6075D31D" w14:textId="1753AA5B" w:rsidR="00D10E0B" w:rsidRPr="00D50E89" w:rsidRDefault="00D10E0B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Restore the “this screen explains each function” panels/tooltips that are currently broken.</w:t>
            </w:r>
          </w:p>
        </w:tc>
        <w:tc>
          <w:tcPr>
            <w:tcW w:w="1980" w:type="dxa"/>
          </w:tcPr>
          <w:p w14:paraId="2330E3DE" w14:textId="27E37D06" w:rsidR="00D10E0B" w:rsidRPr="00D50E89" w:rsidRDefault="00D10E0B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Explanations load reliably; no placeholder or broken copy.</w:t>
            </w:r>
          </w:p>
        </w:tc>
        <w:tc>
          <w:tcPr>
            <w:tcW w:w="1215" w:type="dxa"/>
          </w:tcPr>
          <w:p w14:paraId="27B2E17A" w14:textId="1292DC9B" w:rsidR="00D10E0B" w:rsidRDefault="0013719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 xml:space="preserve">All </w:t>
            </w:r>
            <w:r w:rsidR="00D8007D"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  <w:r>
              <w:rPr>
                <w:rFonts w:ascii="Aptos Light" w:hAnsi="Aptos Light"/>
                <w:b/>
                <w:bCs/>
                <w:sz w:val="20"/>
                <w:szCs w:val="20"/>
              </w:rPr>
              <w:t>, except:</w:t>
            </w:r>
            <w:r w:rsidR="00D8007D">
              <w:rPr>
                <w:rFonts w:ascii="Aptos Light" w:hAnsi="Aptos Light"/>
                <w:b/>
                <w:bCs/>
                <w:sz w:val="20"/>
                <w:szCs w:val="20"/>
              </w:rPr>
              <w:t xml:space="preserve"> </w:t>
            </w:r>
          </w:p>
          <w:p w14:paraId="039494C5" w14:textId="77777777" w:rsidR="00D8007D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  <w:p w14:paraId="4AD0F8CF" w14:textId="77777777" w:rsidR="00D8007D" w:rsidRPr="0013719E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 xml:space="preserve">System admin profile: Product pricing, </w:t>
            </w:r>
          </w:p>
          <w:p w14:paraId="2B0D8CC9" w14:textId="77777777" w:rsidR="00D8007D" w:rsidRPr="0013719E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Pricing rules setup,</w:t>
            </w:r>
          </w:p>
          <w:p w14:paraId="25A27771" w14:textId="2489526E" w:rsidR="00D8007D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Client metadata, regional tax config, client data import and approver group management – missing the information tooltip.</w:t>
            </w:r>
          </w:p>
        </w:tc>
      </w:tr>
      <w:tr w:rsidR="00D81979" w14:paraId="13E48983" w14:textId="77777777" w:rsidTr="003562D3">
        <w:tc>
          <w:tcPr>
            <w:tcW w:w="1528" w:type="dxa"/>
          </w:tcPr>
          <w:p w14:paraId="2FDF2C5A" w14:textId="6C58988E" w:rsidR="00D81979" w:rsidRDefault="00D81979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Operations (OPS) – Dashboards, Events, Billing, Collections</w:t>
            </w:r>
          </w:p>
        </w:tc>
        <w:tc>
          <w:tcPr>
            <w:tcW w:w="1817" w:type="dxa"/>
          </w:tcPr>
          <w:p w14:paraId="1FB54041" w14:textId="77777777" w:rsidR="00D81979" w:rsidRPr="00D50E89" w:rsidRDefault="00D81979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076EC300" w14:textId="77777777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3F3B921E" w14:textId="77777777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</w:p>
        </w:tc>
        <w:tc>
          <w:tcPr>
            <w:tcW w:w="1215" w:type="dxa"/>
          </w:tcPr>
          <w:p w14:paraId="6B616ECC" w14:textId="77777777" w:rsidR="00D81979" w:rsidRDefault="00D81979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</w:tr>
      <w:tr w:rsidR="00D81979" w14:paraId="7460182E" w14:textId="77777777" w:rsidTr="003562D3">
        <w:tc>
          <w:tcPr>
            <w:tcW w:w="1528" w:type="dxa"/>
          </w:tcPr>
          <w:p w14:paraId="097C5DA7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114985BD" w14:textId="77777777" w:rsidR="00D81979" w:rsidRPr="00D50E89" w:rsidRDefault="00D81979" w:rsidP="00D8197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Keep OPS views “basic first” (de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fancy the UI)</w:t>
            </w:r>
          </w:p>
          <w:p w14:paraId="03217A02" w14:textId="77777777" w:rsidR="00D81979" w:rsidRPr="00D50E89" w:rsidRDefault="00D81979" w:rsidP="00D10E0B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365243E4" w14:textId="264EE148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Prioritize simple, primary KPIs and workflows over advanced widgets; start with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Dashboard → Event Trace → Billing Cycles → Collections → Event Ingest Monitoring</w:t>
            </w:r>
            <w:r w:rsidRPr="00D50E89">
              <w:rPr>
                <w:rFonts w:ascii="Aptos Light" w:hAnsi="Aptos Light"/>
                <w:sz w:val="20"/>
                <w:szCs w:val="20"/>
              </w:rPr>
              <w:t>.</w:t>
            </w:r>
          </w:p>
        </w:tc>
        <w:tc>
          <w:tcPr>
            <w:tcW w:w="1980" w:type="dxa"/>
          </w:tcPr>
          <w:p w14:paraId="0D035F45" w14:textId="2F48FB54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OPS landing page surfaces the essentials; advanced sections are secondary.</w:t>
            </w:r>
          </w:p>
        </w:tc>
        <w:tc>
          <w:tcPr>
            <w:tcW w:w="1215" w:type="dxa"/>
          </w:tcPr>
          <w:p w14:paraId="556A9196" w14:textId="55A6D7EC" w:rsidR="00D81979" w:rsidRDefault="00DA3559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D81979" w14:paraId="4671542D" w14:textId="77777777" w:rsidTr="003562D3">
        <w:tc>
          <w:tcPr>
            <w:tcW w:w="1528" w:type="dxa"/>
          </w:tcPr>
          <w:p w14:paraId="140BC80F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16AC80CA" w14:textId="77777777" w:rsidR="00D81979" w:rsidRPr="00D50E89" w:rsidRDefault="00D81979" w:rsidP="00D8197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Event Trace – clear client/transaction lookup</w:t>
            </w:r>
          </w:p>
          <w:p w14:paraId="2306A917" w14:textId="77777777" w:rsidR="00D81979" w:rsidRPr="00D50E89" w:rsidRDefault="00D81979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5191A654" w14:textId="2239360B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Ensure OPS can trace customer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reported billing issues by id/date quickly; keep 24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hour volumes visible</w:t>
            </w:r>
          </w:p>
        </w:tc>
        <w:tc>
          <w:tcPr>
            <w:tcW w:w="1980" w:type="dxa"/>
          </w:tcPr>
          <w:p w14:paraId="5BA6CF96" w14:textId="3DA69179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Searching a transaction shows its full rating/pricing path and VAT logic.</w:t>
            </w:r>
          </w:p>
        </w:tc>
        <w:tc>
          <w:tcPr>
            <w:tcW w:w="1215" w:type="dxa"/>
          </w:tcPr>
          <w:p w14:paraId="29769CFD" w14:textId="4E2AE1C3" w:rsidR="00D81979" w:rsidRDefault="00DA3559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D81979" w14:paraId="29C97C4A" w14:textId="77777777" w:rsidTr="003562D3">
        <w:tc>
          <w:tcPr>
            <w:tcW w:w="1528" w:type="dxa"/>
          </w:tcPr>
          <w:p w14:paraId="726D3307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1B1F561" w14:textId="77777777" w:rsidR="00D81979" w:rsidRPr="00D50E89" w:rsidRDefault="00D81979" w:rsidP="00D8197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Billing Cycles – status &amp; totals</w:t>
            </w:r>
          </w:p>
          <w:p w14:paraId="624B9132" w14:textId="77777777" w:rsidR="00D81979" w:rsidRPr="00D50E89" w:rsidRDefault="00D81979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2476" w:type="dxa"/>
          </w:tcPr>
          <w:p w14:paraId="080E1C89" w14:textId="140D4A42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Present for each cycle: status, run time, #transactions, base amount, VAT, total amount; indicate completion state.</w:t>
            </w:r>
          </w:p>
        </w:tc>
        <w:tc>
          <w:tcPr>
            <w:tcW w:w="1980" w:type="dxa"/>
          </w:tcPr>
          <w:p w14:paraId="2069606E" w14:textId="3AFF42F1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December/January examples show successful runs with totals and statuses.</w:t>
            </w:r>
          </w:p>
        </w:tc>
        <w:tc>
          <w:tcPr>
            <w:tcW w:w="1215" w:type="dxa"/>
          </w:tcPr>
          <w:p w14:paraId="05A51955" w14:textId="528ACF16" w:rsidR="00D81979" w:rsidRDefault="00DA3559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D81979" w14:paraId="4C102508" w14:textId="77777777" w:rsidTr="003562D3">
        <w:tc>
          <w:tcPr>
            <w:tcW w:w="1528" w:type="dxa"/>
          </w:tcPr>
          <w:p w14:paraId="625D74C6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655C8F1" w14:textId="22698577" w:rsidR="00D81979" w:rsidRPr="00D50E89" w:rsidRDefault="00D81979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Collections – list of generated collection files</w:t>
            </w:r>
          </w:p>
        </w:tc>
        <w:tc>
          <w:tcPr>
            <w:tcW w:w="2476" w:type="dxa"/>
          </w:tcPr>
          <w:p w14:paraId="140A8671" w14:textId="542277A3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Show generated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collection files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with channel/source, period, totals, file name, and delivery status to Core Banking.</w:t>
            </w:r>
          </w:p>
        </w:tc>
        <w:tc>
          <w:tcPr>
            <w:tcW w:w="1980" w:type="dxa"/>
          </w:tcPr>
          <w:p w14:paraId="72D45C10" w14:textId="3A4376B9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OPS sees when/what was generated and whether it was sent/acknowledged.</w:t>
            </w:r>
          </w:p>
        </w:tc>
        <w:tc>
          <w:tcPr>
            <w:tcW w:w="1215" w:type="dxa"/>
          </w:tcPr>
          <w:p w14:paraId="57DCC8CC" w14:textId="09B8A296" w:rsidR="00D81979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 xml:space="preserve">Done </w:t>
            </w:r>
          </w:p>
        </w:tc>
      </w:tr>
      <w:tr w:rsidR="00D81979" w14:paraId="34376714" w14:textId="77777777" w:rsidTr="003562D3">
        <w:tc>
          <w:tcPr>
            <w:tcW w:w="1528" w:type="dxa"/>
          </w:tcPr>
          <w:p w14:paraId="094EDF82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31E1329A" w14:textId="4C7A4B86" w:rsidR="00D81979" w:rsidRPr="00D50E89" w:rsidRDefault="00D81979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Event Ingest Monitoring – align look &amp; metadata with Collections</w:t>
            </w:r>
          </w:p>
        </w:tc>
        <w:tc>
          <w:tcPr>
            <w:tcW w:w="2476" w:type="dxa"/>
          </w:tcPr>
          <w:p w14:paraId="275F1683" w14:textId="6AA00F45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Mirror the Collections table style: file name/source, received timestamp, count, validation status, and errors.</w:t>
            </w:r>
          </w:p>
        </w:tc>
        <w:tc>
          <w:tcPr>
            <w:tcW w:w="1980" w:type="dxa"/>
          </w:tcPr>
          <w:p w14:paraId="05EF6DE5" w14:textId="0EB63F78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OPS can reconcile inbound files with processed events </w:t>
            </w:r>
            <w:proofErr w:type="gramStart"/>
            <w:r w:rsidRPr="00D50E89">
              <w:rPr>
                <w:rFonts w:ascii="Aptos Light" w:hAnsi="Aptos Light"/>
                <w:sz w:val="20"/>
                <w:szCs w:val="20"/>
              </w:rPr>
              <w:t>at a glance</w:t>
            </w:r>
            <w:proofErr w:type="gramEnd"/>
            <w:r w:rsidRPr="00D50E89">
              <w:rPr>
                <w:rFonts w:ascii="Aptos Light" w:hAnsi="Aptos Light"/>
                <w:sz w:val="20"/>
                <w:szCs w:val="20"/>
              </w:rPr>
              <w:t>.</w:t>
            </w:r>
          </w:p>
        </w:tc>
        <w:tc>
          <w:tcPr>
            <w:tcW w:w="1215" w:type="dxa"/>
          </w:tcPr>
          <w:p w14:paraId="4D57968C" w14:textId="440807A1" w:rsidR="00D81979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Can’t see this – please demo how it’s done</w:t>
            </w:r>
          </w:p>
        </w:tc>
      </w:tr>
      <w:tr w:rsidR="00D81979" w14:paraId="189B88FA" w14:textId="77777777" w:rsidTr="003562D3">
        <w:tc>
          <w:tcPr>
            <w:tcW w:w="1528" w:type="dxa"/>
          </w:tcPr>
          <w:p w14:paraId="5180D56C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568866C7" w14:textId="21E29CB7" w:rsidR="00D81979" w:rsidRPr="00D50E89" w:rsidRDefault="00D81979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Hide “Adjustments” for now (unclear use case)</w:t>
            </w:r>
          </w:p>
        </w:tc>
        <w:tc>
          <w:tcPr>
            <w:tcW w:w="2476" w:type="dxa"/>
          </w:tcPr>
          <w:p w14:paraId="49DBB244" w14:textId="1BFF430A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Remove or feature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flag the Adjustments module until a concrete use case is agreed.</w:t>
            </w:r>
          </w:p>
        </w:tc>
        <w:tc>
          <w:tcPr>
            <w:tcW w:w="1980" w:type="dxa"/>
          </w:tcPr>
          <w:p w14:paraId="0C52A99B" w14:textId="3A6E4C9A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Module no longer appears in navigation for general users.</w:t>
            </w:r>
          </w:p>
        </w:tc>
        <w:tc>
          <w:tcPr>
            <w:tcW w:w="1215" w:type="dxa"/>
          </w:tcPr>
          <w:p w14:paraId="5A415D0C" w14:textId="32CEB877" w:rsidR="00D81979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Happy with this – please don’t remove.</w:t>
            </w:r>
          </w:p>
        </w:tc>
      </w:tr>
      <w:tr w:rsidR="00D81979" w14:paraId="232A9C03" w14:textId="77777777" w:rsidTr="003562D3">
        <w:tc>
          <w:tcPr>
            <w:tcW w:w="1528" w:type="dxa"/>
          </w:tcPr>
          <w:p w14:paraId="4A8203AE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78D4094B" w14:textId="3C1E615B" w:rsidR="00D81979" w:rsidRPr="00D50E89" w:rsidRDefault="00D81979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Expose bill calculation visibility (per client + aggregate)</w:t>
            </w:r>
          </w:p>
        </w:tc>
        <w:tc>
          <w:tcPr>
            <w:tcW w:w="2476" w:type="dxa"/>
          </w:tcPr>
          <w:p w14:paraId="79756F57" w14:textId="171C138C" w:rsidR="00D81979" w:rsidRPr="00D50E89" w:rsidRDefault="00D81979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In OPS, provide a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Bill Calculation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view: top card = aggregate for period; table =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per client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totals; drill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down to line items.</w:t>
            </w:r>
          </w:p>
        </w:tc>
        <w:tc>
          <w:tcPr>
            <w:tcW w:w="1980" w:type="dxa"/>
          </w:tcPr>
          <w:p w14:paraId="293D486E" w14:textId="477BEB5E" w:rsidR="00D81979" w:rsidRPr="00D50E89" w:rsidRDefault="00D81979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OPS can answer “how much will we bill this client” for a period; aligns to demo need Sthabiso flagged as a gap.</w:t>
            </w:r>
          </w:p>
        </w:tc>
        <w:tc>
          <w:tcPr>
            <w:tcW w:w="1215" w:type="dxa"/>
          </w:tcPr>
          <w:p w14:paraId="2F106620" w14:textId="6E00CCD9" w:rsidR="00D81979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D81979" w14:paraId="01EBEF7A" w14:textId="77777777" w:rsidTr="0067144B">
        <w:tc>
          <w:tcPr>
            <w:tcW w:w="9016" w:type="dxa"/>
            <w:gridSpan w:val="5"/>
          </w:tcPr>
          <w:p w14:paraId="452D9CFA" w14:textId="3A2E6768" w:rsidR="00D81979" w:rsidRDefault="00D81979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Pricing Configuration (Admin)</w:t>
            </w:r>
          </w:p>
        </w:tc>
      </w:tr>
      <w:tr w:rsidR="00D81979" w14:paraId="6D21FEDE" w14:textId="77777777" w:rsidTr="003562D3">
        <w:tc>
          <w:tcPr>
            <w:tcW w:w="1528" w:type="dxa"/>
          </w:tcPr>
          <w:p w14:paraId="5F3517D0" w14:textId="77777777" w:rsidR="00D81979" w:rsidRPr="00A2179E" w:rsidRDefault="00D81979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12DF7216" w14:textId="4B1E4480" w:rsidR="00D81979" w:rsidRPr="00D50E89" w:rsidRDefault="00981091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“Pricing Configuration” must show all existing configurations</w:t>
            </w:r>
          </w:p>
        </w:tc>
        <w:tc>
          <w:tcPr>
            <w:tcW w:w="2476" w:type="dxa"/>
          </w:tcPr>
          <w:p w14:paraId="21288292" w14:textId="2131C685" w:rsidR="00D81979" w:rsidRPr="00D50E89" w:rsidRDefault="00981091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On click, list existing price configurations (search/filter), with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Edit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and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Add New</w:t>
            </w:r>
            <w:r w:rsidRPr="00D50E89">
              <w:rPr>
                <w:rFonts w:ascii="Aptos Light" w:hAnsi="Aptos Light"/>
                <w:sz w:val="20"/>
                <w:szCs w:val="20"/>
              </w:rPr>
              <w:t>.</w:t>
            </w:r>
          </w:p>
        </w:tc>
        <w:tc>
          <w:tcPr>
            <w:tcW w:w="1980" w:type="dxa"/>
          </w:tcPr>
          <w:p w14:paraId="2A25E6F1" w14:textId="216D42F9" w:rsidR="00D81979" w:rsidRPr="00D50E89" w:rsidRDefault="00981091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Admins can discover and modify configurations without hunting.</w:t>
            </w:r>
          </w:p>
        </w:tc>
        <w:tc>
          <w:tcPr>
            <w:tcW w:w="1215" w:type="dxa"/>
          </w:tcPr>
          <w:p w14:paraId="0B198578" w14:textId="2EFA6042" w:rsidR="00D81979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Done</w:t>
            </w:r>
          </w:p>
        </w:tc>
      </w:tr>
      <w:tr w:rsidR="00981091" w14:paraId="72BBFBA6" w14:textId="77777777" w:rsidTr="003562D3">
        <w:tc>
          <w:tcPr>
            <w:tcW w:w="1528" w:type="dxa"/>
          </w:tcPr>
          <w:p w14:paraId="1CCAE124" w14:textId="77777777" w:rsidR="00981091" w:rsidRPr="00A2179E" w:rsidRDefault="00981091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2E2BE285" w14:textId="30B2167B" w:rsidR="00981091" w:rsidRPr="00D50E89" w:rsidRDefault="00981091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Manage Categories – visible and editable</w:t>
            </w:r>
          </w:p>
        </w:tc>
        <w:tc>
          <w:tcPr>
            <w:tcW w:w="2476" w:type="dxa"/>
          </w:tcPr>
          <w:p w14:paraId="649DCF62" w14:textId="476F0199" w:rsidR="00981091" w:rsidRPr="00D50E89" w:rsidRDefault="00981091" w:rsidP="00D10E0B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Ensure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Manage Categories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is the discoverable entry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point to adjust categories tied to products and price rules.</w:t>
            </w:r>
          </w:p>
        </w:tc>
        <w:tc>
          <w:tcPr>
            <w:tcW w:w="1980" w:type="dxa"/>
          </w:tcPr>
          <w:p w14:paraId="1529DA9A" w14:textId="15E9BCB3" w:rsidR="00981091" w:rsidRPr="00D50E89" w:rsidRDefault="00981091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Categories present and editable; changes reflect in product grouping.</w:t>
            </w:r>
          </w:p>
        </w:tc>
        <w:tc>
          <w:tcPr>
            <w:tcW w:w="1215" w:type="dxa"/>
          </w:tcPr>
          <w:p w14:paraId="01B408A3" w14:textId="06884A86" w:rsidR="00981091" w:rsidRDefault="00D8007D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 – need to use ‘real’ data for this</w:t>
            </w:r>
          </w:p>
        </w:tc>
      </w:tr>
      <w:tr w:rsidR="00981091" w14:paraId="3B6EE259" w14:textId="77777777" w:rsidTr="003562D3">
        <w:tc>
          <w:tcPr>
            <w:tcW w:w="1528" w:type="dxa"/>
          </w:tcPr>
          <w:p w14:paraId="56C9E8FF" w14:textId="77777777" w:rsidR="00981091" w:rsidRPr="00A2179E" w:rsidRDefault="00981091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1AFC6C2F" w14:textId="27EE4957" w:rsidR="00981091" w:rsidRPr="00D50E89" w:rsidRDefault="00981091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Price Rule Setup – fix rendering/layout</w:t>
            </w:r>
          </w:p>
        </w:tc>
        <w:tc>
          <w:tcPr>
            <w:tcW w:w="2476" w:type="dxa"/>
          </w:tcPr>
          <w:p w14:paraId="60CF0FFA" w14:textId="43B2B66B" w:rsidR="00981091" w:rsidRPr="00981091" w:rsidRDefault="00981091" w:rsidP="00981091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Correct the UI rendering for rule models (Normal/Max/etc.), so </w:t>
            </w:r>
            <w:r w:rsidRPr="00D50E89">
              <w:rPr>
                <w:rFonts w:ascii="Aptos Light" w:hAnsi="Aptos Light"/>
                <w:sz w:val="20"/>
                <w:szCs w:val="20"/>
              </w:rPr>
              <w:lastRenderedPageBreak/>
              <w:t>editing is clear and responsive.</w:t>
            </w:r>
          </w:p>
        </w:tc>
        <w:tc>
          <w:tcPr>
            <w:tcW w:w="1980" w:type="dxa"/>
          </w:tcPr>
          <w:p w14:paraId="02A4DFE9" w14:textId="79D432C9" w:rsidR="00981091" w:rsidRPr="00D50E89" w:rsidRDefault="00981091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lastRenderedPageBreak/>
              <w:t xml:space="preserve">Rule </w:t>
            </w:r>
            <w:proofErr w:type="gramStart"/>
            <w:r w:rsidRPr="00D50E89">
              <w:rPr>
                <w:rFonts w:ascii="Aptos Light" w:hAnsi="Aptos Light"/>
                <w:sz w:val="20"/>
                <w:szCs w:val="20"/>
              </w:rPr>
              <w:t>edit</w:t>
            </w:r>
            <w:proofErr w:type="gramEnd"/>
            <w:r w:rsidRPr="00D50E89">
              <w:rPr>
                <w:rFonts w:ascii="Aptos Light" w:hAnsi="Aptos Light"/>
                <w:sz w:val="20"/>
                <w:szCs w:val="20"/>
              </w:rPr>
              <w:t xml:space="preserve"> screens render correctly across supported browsers.</w:t>
            </w:r>
          </w:p>
        </w:tc>
        <w:tc>
          <w:tcPr>
            <w:tcW w:w="1215" w:type="dxa"/>
          </w:tcPr>
          <w:p w14:paraId="0A2EAB50" w14:textId="77B3CEC9" w:rsidR="00981091" w:rsidRDefault="00883DE0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 xml:space="preserve">Done </w:t>
            </w:r>
          </w:p>
        </w:tc>
      </w:tr>
      <w:tr w:rsidR="00981091" w14:paraId="60DAFC03" w14:textId="77777777" w:rsidTr="00B21BC1">
        <w:tc>
          <w:tcPr>
            <w:tcW w:w="9016" w:type="dxa"/>
            <w:gridSpan w:val="5"/>
          </w:tcPr>
          <w:p w14:paraId="4352F703" w14:textId="6E8BD8C3" w:rsidR="00981091" w:rsidRDefault="00981091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Client Data Ingest</w:t>
            </w:r>
          </w:p>
        </w:tc>
      </w:tr>
      <w:tr w:rsidR="00981091" w14:paraId="02AFED5E" w14:textId="77777777" w:rsidTr="003562D3">
        <w:tc>
          <w:tcPr>
            <w:tcW w:w="1528" w:type="dxa"/>
          </w:tcPr>
          <w:p w14:paraId="3512863A" w14:textId="77777777" w:rsidR="00981091" w:rsidRPr="00A2179E" w:rsidRDefault="00981091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22B434F1" w14:textId="5037AC60" w:rsidR="00981091" w:rsidRPr="00D50E89" w:rsidRDefault="00981091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Prefer a system interface over spreadsheets</w:t>
            </w:r>
          </w:p>
        </w:tc>
        <w:tc>
          <w:tcPr>
            <w:tcW w:w="2476" w:type="dxa"/>
          </w:tcPr>
          <w:p w14:paraId="765FBB2B" w14:textId="0B074B95" w:rsidR="00981091" w:rsidRPr="00D50E89" w:rsidRDefault="00981091" w:rsidP="00981091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Provide an API/interface for client data ingestion (aligned with existing event interfaces); if spreadsheets are allowed, strictly validate against a schema.</w:t>
            </w:r>
          </w:p>
        </w:tc>
        <w:tc>
          <w:tcPr>
            <w:tcW w:w="1980" w:type="dxa"/>
          </w:tcPr>
          <w:p w14:paraId="519C549C" w14:textId="742991D7" w:rsidR="00981091" w:rsidRPr="00D50E89" w:rsidRDefault="00981091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Uploads/API calls enforce required fields; bad rows are rejected with actionable errors.</w:t>
            </w:r>
          </w:p>
        </w:tc>
        <w:tc>
          <w:tcPr>
            <w:tcW w:w="1215" w:type="dxa"/>
          </w:tcPr>
          <w:p w14:paraId="7566C567" w14:textId="6C20D99B" w:rsidR="00981091" w:rsidRDefault="00883DE0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 – maybe in the backend but I can’t see this</w:t>
            </w:r>
          </w:p>
        </w:tc>
      </w:tr>
      <w:tr w:rsidR="00981091" w14:paraId="51F6FA20" w14:textId="77777777" w:rsidTr="00480BA2">
        <w:tc>
          <w:tcPr>
            <w:tcW w:w="9016" w:type="dxa"/>
            <w:gridSpan w:val="5"/>
          </w:tcPr>
          <w:p w14:paraId="421F9DD6" w14:textId="49A7227B" w:rsidR="00981091" w:rsidRDefault="00981091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Demo/Narrative Readiness</w:t>
            </w:r>
          </w:p>
        </w:tc>
      </w:tr>
      <w:tr w:rsidR="00981091" w14:paraId="2B34B2EB" w14:textId="77777777" w:rsidTr="003562D3">
        <w:tc>
          <w:tcPr>
            <w:tcW w:w="1528" w:type="dxa"/>
          </w:tcPr>
          <w:p w14:paraId="3AFC2289" w14:textId="77777777" w:rsidR="00981091" w:rsidRPr="00A2179E" w:rsidRDefault="00981091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75C5B756" w14:textId="27702B9C" w:rsidR="00981091" w:rsidRPr="00D50E89" w:rsidRDefault="00981091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Streamlined demo path (TB → Approver → OPS)</w:t>
            </w:r>
          </w:p>
        </w:tc>
        <w:tc>
          <w:tcPr>
            <w:tcW w:w="2476" w:type="dxa"/>
          </w:tcPr>
          <w:p w14:paraId="5A1B199A" w14:textId="77777777" w:rsidR="00981091" w:rsidRPr="00D50E89" w:rsidRDefault="00981091" w:rsidP="00981091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 xml:space="preserve">Script and, if possible, 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automate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the demo: </w:t>
            </w:r>
          </w:p>
          <w:p w14:paraId="5CB207CE" w14:textId="77777777" w:rsidR="00981091" w:rsidRPr="00D50E89" w:rsidRDefault="00981091" w:rsidP="00981091">
            <w:pPr>
              <w:numPr>
                <w:ilvl w:val="1"/>
                <w:numId w:val="31"/>
              </w:numPr>
              <w:tabs>
                <w:tab w:val="clear" w:pos="1440"/>
              </w:tabs>
              <w:ind w:left="398" w:hanging="436"/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TB searches client → selects product(s) → captures concession (shows Rand amount, VAT logic) → submits.</w:t>
            </w:r>
          </w:p>
          <w:p w14:paraId="34E24207" w14:textId="77777777" w:rsidR="00981091" w:rsidRPr="00D50E89" w:rsidRDefault="00981091" w:rsidP="00981091">
            <w:pPr>
              <w:numPr>
                <w:ilvl w:val="1"/>
                <w:numId w:val="31"/>
              </w:numPr>
              <w:tabs>
                <w:tab w:val="clear" w:pos="1440"/>
              </w:tabs>
              <w:ind w:left="398" w:hanging="436"/>
              <w:rPr>
                <w:rFonts w:ascii="Aptos Light" w:hAnsi="Aptos Light"/>
                <w:sz w:val="20"/>
                <w:szCs w:val="20"/>
              </w:rPr>
            </w:pPr>
            <w:r w:rsidRPr="0028652F">
              <w:rPr>
                <w:rFonts w:ascii="Aptos Light" w:hAnsi="Aptos Light"/>
                <w:sz w:val="20"/>
                <w:szCs w:val="20"/>
              </w:rPr>
              <w:t>Sector Head (Pricing Manager)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approves in detailed view (newest on top; actions work).</w:t>
            </w:r>
          </w:p>
          <w:p w14:paraId="3D1748B7" w14:textId="670BD85D" w:rsidR="00981091" w:rsidRPr="00D50E89" w:rsidRDefault="00981091" w:rsidP="00981091">
            <w:pPr>
              <w:numPr>
                <w:ilvl w:val="1"/>
                <w:numId w:val="31"/>
              </w:numPr>
              <w:tabs>
                <w:tab w:val="clear" w:pos="1440"/>
              </w:tabs>
              <w:ind w:left="398" w:hanging="436"/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OPS shows event arrival &amp; bill calculation totals; shows collection file exists.</w:t>
            </w:r>
          </w:p>
        </w:tc>
        <w:tc>
          <w:tcPr>
            <w:tcW w:w="1980" w:type="dxa"/>
          </w:tcPr>
          <w:p w14:paraId="414D72AA" w14:textId="79E043F2" w:rsidR="00981091" w:rsidRPr="00D50E89" w:rsidRDefault="003562D3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End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to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end demo runs without manual fixes; timing under ~10–12 minutes.</w:t>
            </w:r>
          </w:p>
        </w:tc>
        <w:tc>
          <w:tcPr>
            <w:tcW w:w="1215" w:type="dxa"/>
          </w:tcPr>
          <w:p w14:paraId="5334C9F6" w14:textId="74B538E8" w:rsidR="00981091" w:rsidRDefault="0013719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In progress</w:t>
            </w:r>
          </w:p>
        </w:tc>
      </w:tr>
      <w:tr w:rsidR="00981091" w14:paraId="7ACF7CBF" w14:textId="77777777" w:rsidTr="003562D3">
        <w:tc>
          <w:tcPr>
            <w:tcW w:w="1528" w:type="dxa"/>
          </w:tcPr>
          <w:p w14:paraId="6099D8A0" w14:textId="77777777" w:rsidR="00981091" w:rsidRPr="00A2179E" w:rsidRDefault="00981091" w:rsidP="00A2179E">
            <w:pPr>
              <w:pStyle w:val="ListParagraph"/>
              <w:numPr>
                <w:ilvl w:val="0"/>
                <w:numId w:val="36"/>
              </w:num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0918649E" w14:textId="4F005292" w:rsidR="00981091" w:rsidRPr="00D50E89" w:rsidRDefault="003562D3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Replace placeholders with realistic sample data</w:t>
            </w:r>
          </w:p>
        </w:tc>
        <w:tc>
          <w:tcPr>
            <w:tcW w:w="2476" w:type="dxa"/>
          </w:tcPr>
          <w:p w14:paraId="07D8C9DC" w14:textId="6270D312" w:rsidR="00981091" w:rsidRPr="00D50E89" w:rsidRDefault="003562D3" w:rsidP="00981091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Load the sample dataset from Sindi so every screen looks production</w:t>
            </w:r>
            <w:r w:rsidRPr="00D50E89">
              <w:rPr>
                <w:rFonts w:ascii="Aptos Light" w:hAnsi="Aptos Light"/>
                <w:sz w:val="20"/>
                <w:szCs w:val="20"/>
              </w:rPr>
              <w:noBreakHyphen/>
              <w:t>like.</w:t>
            </w:r>
          </w:p>
        </w:tc>
        <w:tc>
          <w:tcPr>
            <w:tcW w:w="1980" w:type="dxa"/>
          </w:tcPr>
          <w:p w14:paraId="22C4A2D6" w14:textId="54A6CA3F" w:rsidR="00981091" w:rsidRPr="00D50E89" w:rsidRDefault="003562D3" w:rsidP="00D50E89">
            <w:pPr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sz w:val="20"/>
                <w:szCs w:val="20"/>
              </w:rPr>
              <w:t>Names/IDs/products are coherent across TB, Approvals, and OPS views.</w:t>
            </w:r>
          </w:p>
        </w:tc>
        <w:tc>
          <w:tcPr>
            <w:tcW w:w="1215" w:type="dxa"/>
          </w:tcPr>
          <w:p w14:paraId="6CA7C222" w14:textId="18618058" w:rsidR="00981091" w:rsidRDefault="0013719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13719E">
              <w:rPr>
                <w:rFonts w:ascii="Aptos Light" w:hAnsi="Aptos Light"/>
                <w:b/>
                <w:bCs/>
                <w:sz w:val="20"/>
                <w:szCs w:val="20"/>
                <w:highlight w:val="green"/>
              </w:rPr>
              <w:t>Not Done</w:t>
            </w:r>
          </w:p>
        </w:tc>
      </w:tr>
      <w:tr w:rsidR="003562D3" w14:paraId="3342106D" w14:textId="77777777" w:rsidTr="003562D3">
        <w:tc>
          <w:tcPr>
            <w:tcW w:w="1528" w:type="dxa"/>
          </w:tcPr>
          <w:p w14:paraId="79E4C6A7" w14:textId="77777777" w:rsidR="003562D3" w:rsidRPr="00D50E89" w:rsidRDefault="003562D3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</w:p>
        </w:tc>
        <w:tc>
          <w:tcPr>
            <w:tcW w:w="1817" w:type="dxa"/>
          </w:tcPr>
          <w:p w14:paraId="58A5EA9B" w14:textId="7B62A965" w:rsidR="003562D3" w:rsidRPr="00D50E89" w:rsidRDefault="003562D3" w:rsidP="00D8197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Suggested Priorities (Phase Now vs. Next)</w:t>
            </w:r>
          </w:p>
        </w:tc>
        <w:tc>
          <w:tcPr>
            <w:tcW w:w="2476" w:type="dxa"/>
          </w:tcPr>
          <w:p w14:paraId="04C08C4C" w14:textId="77777777" w:rsidR="003562D3" w:rsidRPr="00D50E89" w:rsidRDefault="003562D3" w:rsidP="003562D3">
            <w:pPr>
              <w:numPr>
                <w:ilvl w:val="0"/>
                <w:numId w:val="34"/>
              </w:numPr>
              <w:tabs>
                <w:tab w:val="clear" w:pos="720"/>
              </w:tabs>
              <w:ind w:left="368" w:hanging="284"/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Demo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critical):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1, 2, 3, 4, 6, 7, 8, 9, 10, 13–17, 19, 20, 22, 24, 25.</w:t>
            </w:r>
          </w:p>
          <w:p w14:paraId="69D2FB7A" w14:textId="77777777" w:rsidR="003562D3" w:rsidRPr="00D50E89" w:rsidRDefault="003562D3" w:rsidP="003562D3">
            <w:pPr>
              <w:numPr>
                <w:ilvl w:val="0"/>
                <w:numId w:val="34"/>
              </w:numPr>
              <w:tabs>
                <w:tab w:val="clear" w:pos="720"/>
              </w:tabs>
              <w:ind w:left="368" w:hanging="284"/>
              <w:rPr>
                <w:rFonts w:ascii="Aptos Light" w:hAnsi="Aptos Light"/>
                <w:sz w:val="20"/>
                <w:szCs w:val="20"/>
              </w:rPr>
            </w:pP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t>Next (Post</w:t>
            </w:r>
            <w:r w:rsidRPr="00D50E89">
              <w:rPr>
                <w:rFonts w:ascii="Aptos Light" w:hAnsi="Aptos Light"/>
                <w:b/>
                <w:bCs/>
                <w:sz w:val="20"/>
                <w:szCs w:val="20"/>
              </w:rPr>
              <w:noBreakHyphen/>
              <w:t>demo hardening):</w:t>
            </w:r>
            <w:r w:rsidRPr="00D50E89">
              <w:rPr>
                <w:rFonts w:ascii="Aptos Light" w:hAnsi="Aptos Light"/>
                <w:sz w:val="20"/>
                <w:szCs w:val="20"/>
              </w:rPr>
              <w:t xml:space="preserve"> 5, 11, 12, 18, 21, 23.</w:t>
            </w:r>
          </w:p>
          <w:p w14:paraId="7026128C" w14:textId="77777777" w:rsidR="003562D3" w:rsidRPr="00D50E89" w:rsidRDefault="003562D3" w:rsidP="00981091">
            <w:pPr>
              <w:rPr>
                <w:rFonts w:ascii="Aptos Light" w:hAnsi="Aptos Light"/>
                <w:sz w:val="20"/>
                <w:szCs w:val="20"/>
              </w:rPr>
            </w:pPr>
          </w:p>
        </w:tc>
        <w:tc>
          <w:tcPr>
            <w:tcW w:w="1980" w:type="dxa"/>
          </w:tcPr>
          <w:p w14:paraId="7FA287AE" w14:textId="77777777" w:rsidR="003562D3" w:rsidRPr="00D50E89" w:rsidRDefault="003562D3" w:rsidP="00D50E89">
            <w:pPr>
              <w:rPr>
                <w:rFonts w:ascii="Aptos Light" w:hAnsi="Aptos Light"/>
                <w:sz w:val="20"/>
                <w:szCs w:val="20"/>
              </w:rPr>
            </w:pPr>
          </w:p>
        </w:tc>
        <w:tc>
          <w:tcPr>
            <w:tcW w:w="1215" w:type="dxa"/>
          </w:tcPr>
          <w:p w14:paraId="193C241C" w14:textId="1AF07A06" w:rsidR="003562D3" w:rsidRDefault="0013719E" w:rsidP="00D50E89">
            <w:pPr>
              <w:rPr>
                <w:rFonts w:ascii="Aptos Light" w:hAnsi="Aptos Light"/>
                <w:b/>
                <w:bCs/>
                <w:sz w:val="20"/>
                <w:szCs w:val="20"/>
              </w:rPr>
            </w:pPr>
            <w:r>
              <w:rPr>
                <w:rFonts w:ascii="Aptos Light" w:hAnsi="Aptos Light"/>
                <w:b/>
                <w:bCs/>
                <w:sz w:val="20"/>
                <w:szCs w:val="20"/>
              </w:rPr>
              <w:t>In Progress</w:t>
            </w:r>
          </w:p>
        </w:tc>
      </w:tr>
    </w:tbl>
    <w:p w14:paraId="368D37DB" w14:textId="0857D595" w:rsidR="00D50E89" w:rsidRPr="00D50E89" w:rsidRDefault="00D50E89" w:rsidP="00D50E89">
      <w:pPr>
        <w:rPr>
          <w:rFonts w:ascii="Aptos Light" w:hAnsi="Aptos Light"/>
          <w:sz w:val="20"/>
          <w:szCs w:val="20"/>
        </w:rPr>
      </w:pPr>
    </w:p>
    <w:p w14:paraId="6DF1C38E" w14:textId="77777777" w:rsidR="00D50E89" w:rsidRPr="00D50E89" w:rsidRDefault="00D50E89" w:rsidP="00D50E89">
      <w:pPr>
        <w:rPr>
          <w:rFonts w:ascii="Aptos Light" w:hAnsi="Aptos Light"/>
          <w:b/>
          <w:bCs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Open Clarifications (to confirm with the team)</w:t>
      </w:r>
    </w:p>
    <w:p w14:paraId="6EE80F0D" w14:textId="4D92DAD4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Exact label</w:t>
      </w:r>
      <w:r w:rsidRPr="00D50E89">
        <w:rPr>
          <w:rFonts w:ascii="Aptos Light" w:hAnsi="Aptos Light"/>
          <w:sz w:val="20"/>
          <w:szCs w:val="20"/>
        </w:rPr>
        <w:t xml:space="preserve"> to replace “Campaigns” (e.g., “Price Reviews” vs. “Bulk Price Ops”)</w:t>
      </w:r>
      <w:r w:rsidRPr="0028652F">
        <w:rPr>
          <w:rFonts w:ascii="Aptos Light" w:hAnsi="Aptos Light"/>
          <w:sz w:val="20"/>
          <w:szCs w:val="20"/>
        </w:rPr>
        <w:t>.</w:t>
      </w:r>
    </w:p>
    <w:p w14:paraId="57965849" w14:textId="2A8A6551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Concession amount/percentage</w:t>
      </w:r>
      <w:r w:rsidRPr="00D50E89">
        <w:rPr>
          <w:rFonts w:ascii="Aptos Light" w:hAnsi="Aptos Light"/>
          <w:sz w:val="20"/>
          <w:szCs w:val="20"/>
        </w:rPr>
        <w:t xml:space="preserve">: do we </w:t>
      </w:r>
      <w:r w:rsidRPr="00D50E89">
        <w:rPr>
          <w:rFonts w:ascii="Aptos Light" w:hAnsi="Aptos Light"/>
          <w:b/>
          <w:bCs/>
          <w:sz w:val="20"/>
          <w:szCs w:val="20"/>
        </w:rPr>
        <w:t>require both</w:t>
      </w:r>
      <w:r w:rsidRPr="00D50E89">
        <w:rPr>
          <w:rFonts w:ascii="Aptos Light" w:hAnsi="Aptos Light"/>
          <w:sz w:val="20"/>
          <w:szCs w:val="20"/>
        </w:rPr>
        <w:t xml:space="preserve"> or is amount mandatory and % optional? </w:t>
      </w:r>
    </w:p>
    <w:p w14:paraId="3DC5DE62" w14:textId="02311C6F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Bill calc drill</w:t>
      </w:r>
      <w:r w:rsidRPr="00D50E89">
        <w:rPr>
          <w:rFonts w:ascii="Aptos Light" w:hAnsi="Aptos Light"/>
          <w:b/>
          <w:bCs/>
          <w:sz w:val="20"/>
          <w:szCs w:val="20"/>
        </w:rPr>
        <w:noBreakHyphen/>
        <w:t>down</w:t>
      </w:r>
      <w:r w:rsidRPr="00D50E89">
        <w:rPr>
          <w:rFonts w:ascii="Aptos Light" w:hAnsi="Aptos Light"/>
          <w:sz w:val="20"/>
          <w:szCs w:val="20"/>
        </w:rPr>
        <w:t>: how deep (event</w:t>
      </w:r>
      <w:r w:rsidRPr="00D50E89">
        <w:rPr>
          <w:rFonts w:ascii="Aptos Light" w:hAnsi="Aptos Light"/>
          <w:sz w:val="20"/>
          <w:szCs w:val="20"/>
        </w:rPr>
        <w:noBreakHyphen/>
        <w:t>line vs. charge type vs. product)?</w:t>
      </w:r>
    </w:p>
    <w:p w14:paraId="6AF124B9" w14:textId="29250418" w:rsidR="00D50E89" w:rsidRPr="00D50E89" w:rsidRDefault="00D50E89" w:rsidP="00D50E89">
      <w:pPr>
        <w:numPr>
          <w:ilvl w:val="0"/>
          <w:numId w:val="35"/>
        </w:numPr>
        <w:rPr>
          <w:rFonts w:ascii="Aptos Light" w:hAnsi="Aptos Light"/>
          <w:sz w:val="20"/>
          <w:szCs w:val="20"/>
        </w:rPr>
      </w:pPr>
      <w:r w:rsidRPr="00D50E89">
        <w:rPr>
          <w:rFonts w:ascii="Aptos Light" w:hAnsi="Aptos Light"/>
          <w:b/>
          <w:bCs/>
          <w:sz w:val="20"/>
          <w:szCs w:val="20"/>
        </w:rPr>
        <w:t>Roles/permissions</w:t>
      </w:r>
      <w:r w:rsidRPr="00D50E89">
        <w:rPr>
          <w:rFonts w:ascii="Aptos Light" w:hAnsi="Aptos Light"/>
          <w:sz w:val="20"/>
          <w:szCs w:val="20"/>
        </w:rPr>
        <w:t xml:space="preserve"> for OPS sub</w:t>
      </w:r>
      <w:r w:rsidRPr="00D50E89">
        <w:rPr>
          <w:rFonts w:ascii="Aptos Light" w:hAnsi="Aptos Light"/>
          <w:sz w:val="20"/>
          <w:szCs w:val="20"/>
        </w:rPr>
        <w:noBreakHyphen/>
        <w:t>menus post</w:t>
      </w:r>
      <w:r w:rsidRPr="00D50E89">
        <w:rPr>
          <w:rFonts w:ascii="Aptos Light" w:hAnsi="Aptos Light"/>
          <w:sz w:val="20"/>
          <w:szCs w:val="20"/>
        </w:rPr>
        <w:noBreakHyphen/>
        <w:t>demo.</w:t>
      </w:r>
    </w:p>
    <w:p w14:paraId="55985F0A" w14:textId="77777777" w:rsidR="000A627C" w:rsidRDefault="000A627C"/>
    <w:sectPr w:rsidR="000A6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25E6"/>
    <w:multiLevelType w:val="multilevel"/>
    <w:tmpl w:val="664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7E0"/>
    <w:multiLevelType w:val="multilevel"/>
    <w:tmpl w:val="FF8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1C22"/>
    <w:multiLevelType w:val="multilevel"/>
    <w:tmpl w:val="D7EAEB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C4499"/>
    <w:multiLevelType w:val="multilevel"/>
    <w:tmpl w:val="D66C7E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A2427"/>
    <w:multiLevelType w:val="multilevel"/>
    <w:tmpl w:val="283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A2043"/>
    <w:multiLevelType w:val="multilevel"/>
    <w:tmpl w:val="A56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74F2F"/>
    <w:multiLevelType w:val="hybridMultilevel"/>
    <w:tmpl w:val="9752A00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172B5"/>
    <w:multiLevelType w:val="multilevel"/>
    <w:tmpl w:val="BFE8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6623B"/>
    <w:multiLevelType w:val="multilevel"/>
    <w:tmpl w:val="5D8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D0AC5"/>
    <w:multiLevelType w:val="multilevel"/>
    <w:tmpl w:val="98D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A091E"/>
    <w:multiLevelType w:val="multilevel"/>
    <w:tmpl w:val="D54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B6BF3"/>
    <w:multiLevelType w:val="multilevel"/>
    <w:tmpl w:val="262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F6C69"/>
    <w:multiLevelType w:val="multilevel"/>
    <w:tmpl w:val="8A5447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01C28"/>
    <w:multiLevelType w:val="multilevel"/>
    <w:tmpl w:val="DA384A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B5068"/>
    <w:multiLevelType w:val="multilevel"/>
    <w:tmpl w:val="CD6C38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601E3"/>
    <w:multiLevelType w:val="multilevel"/>
    <w:tmpl w:val="FEA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C5533"/>
    <w:multiLevelType w:val="multilevel"/>
    <w:tmpl w:val="B2A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25AB3"/>
    <w:multiLevelType w:val="multilevel"/>
    <w:tmpl w:val="BC1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F1869"/>
    <w:multiLevelType w:val="multilevel"/>
    <w:tmpl w:val="6B7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27AA6"/>
    <w:multiLevelType w:val="multilevel"/>
    <w:tmpl w:val="08C601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236F1"/>
    <w:multiLevelType w:val="multilevel"/>
    <w:tmpl w:val="1A603D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6925F3"/>
    <w:multiLevelType w:val="multilevel"/>
    <w:tmpl w:val="32F695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586F49"/>
    <w:multiLevelType w:val="multilevel"/>
    <w:tmpl w:val="185853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A45788"/>
    <w:multiLevelType w:val="multilevel"/>
    <w:tmpl w:val="A57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E31D2"/>
    <w:multiLevelType w:val="multilevel"/>
    <w:tmpl w:val="1AE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44C44"/>
    <w:multiLevelType w:val="multilevel"/>
    <w:tmpl w:val="2C94828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891DB5"/>
    <w:multiLevelType w:val="multilevel"/>
    <w:tmpl w:val="CA7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23E28"/>
    <w:multiLevelType w:val="multilevel"/>
    <w:tmpl w:val="AE403A9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3112CE"/>
    <w:multiLevelType w:val="multilevel"/>
    <w:tmpl w:val="24F2D9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265DB"/>
    <w:multiLevelType w:val="multilevel"/>
    <w:tmpl w:val="91B696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E97BBA"/>
    <w:multiLevelType w:val="multilevel"/>
    <w:tmpl w:val="B19E8E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F2D2A"/>
    <w:multiLevelType w:val="multilevel"/>
    <w:tmpl w:val="B7FE0A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F18D2"/>
    <w:multiLevelType w:val="multilevel"/>
    <w:tmpl w:val="BCF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D01CA"/>
    <w:multiLevelType w:val="multilevel"/>
    <w:tmpl w:val="93DC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771032"/>
    <w:multiLevelType w:val="multilevel"/>
    <w:tmpl w:val="DC96F8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FB7CEE"/>
    <w:multiLevelType w:val="multilevel"/>
    <w:tmpl w:val="19C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240985">
    <w:abstractNumId w:val="33"/>
  </w:num>
  <w:num w:numId="2" w16cid:durableId="997417874">
    <w:abstractNumId w:val="34"/>
  </w:num>
  <w:num w:numId="3" w16cid:durableId="1087658309">
    <w:abstractNumId w:val="10"/>
  </w:num>
  <w:num w:numId="4" w16cid:durableId="185170600">
    <w:abstractNumId w:val="31"/>
  </w:num>
  <w:num w:numId="5" w16cid:durableId="1200240661">
    <w:abstractNumId w:val="23"/>
  </w:num>
  <w:num w:numId="6" w16cid:durableId="1152016946">
    <w:abstractNumId w:val="20"/>
  </w:num>
  <w:num w:numId="7" w16cid:durableId="855382380">
    <w:abstractNumId w:val="32"/>
  </w:num>
  <w:num w:numId="8" w16cid:durableId="1952198281">
    <w:abstractNumId w:val="30"/>
  </w:num>
  <w:num w:numId="9" w16cid:durableId="827598627">
    <w:abstractNumId w:val="1"/>
  </w:num>
  <w:num w:numId="10" w16cid:durableId="530731411">
    <w:abstractNumId w:val="12"/>
  </w:num>
  <w:num w:numId="11" w16cid:durableId="1590388439">
    <w:abstractNumId w:val="18"/>
  </w:num>
  <w:num w:numId="12" w16cid:durableId="719475674">
    <w:abstractNumId w:val="3"/>
  </w:num>
  <w:num w:numId="13" w16cid:durableId="309679830">
    <w:abstractNumId w:val="5"/>
  </w:num>
  <w:num w:numId="14" w16cid:durableId="1167359551">
    <w:abstractNumId w:val="2"/>
  </w:num>
  <w:num w:numId="15" w16cid:durableId="1586383577">
    <w:abstractNumId w:val="0"/>
  </w:num>
  <w:num w:numId="16" w16cid:durableId="1878276681">
    <w:abstractNumId w:val="14"/>
  </w:num>
  <w:num w:numId="17" w16cid:durableId="1781029104">
    <w:abstractNumId w:val="24"/>
  </w:num>
  <w:num w:numId="18" w16cid:durableId="1278756552">
    <w:abstractNumId w:val="21"/>
  </w:num>
  <w:num w:numId="19" w16cid:durableId="1483737719">
    <w:abstractNumId w:val="16"/>
  </w:num>
  <w:num w:numId="20" w16cid:durableId="484274467">
    <w:abstractNumId w:val="13"/>
  </w:num>
  <w:num w:numId="21" w16cid:durableId="1124228056">
    <w:abstractNumId w:val="8"/>
  </w:num>
  <w:num w:numId="22" w16cid:durableId="818884035">
    <w:abstractNumId w:val="22"/>
  </w:num>
  <w:num w:numId="23" w16cid:durableId="1962419441">
    <w:abstractNumId w:val="26"/>
  </w:num>
  <w:num w:numId="24" w16cid:durableId="960454156">
    <w:abstractNumId w:val="28"/>
  </w:num>
  <w:num w:numId="25" w16cid:durableId="2058117338">
    <w:abstractNumId w:val="15"/>
  </w:num>
  <w:num w:numId="26" w16cid:durableId="1734085362">
    <w:abstractNumId w:val="25"/>
  </w:num>
  <w:num w:numId="27" w16cid:durableId="636684680">
    <w:abstractNumId w:val="9"/>
  </w:num>
  <w:num w:numId="28" w16cid:durableId="896018477">
    <w:abstractNumId w:val="27"/>
  </w:num>
  <w:num w:numId="29" w16cid:durableId="560411436">
    <w:abstractNumId w:val="35"/>
  </w:num>
  <w:num w:numId="30" w16cid:durableId="819346986">
    <w:abstractNumId w:val="29"/>
  </w:num>
  <w:num w:numId="31" w16cid:durableId="484005347">
    <w:abstractNumId w:val="11"/>
  </w:num>
  <w:num w:numId="32" w16cid:durableId="150295304">
    <w:abstractNumId w:val="19"/>
  </w:num>
  <w:num w:numId="33" w16cid:durableId="839395735">
    <w:abstractNumId w:val="4"/>
  </w:num>
  <w:num w:numId="34" w16cid:durableId="370302749">
    <w:abstractNumId w:val="17"/>
  </w:num>
  <w:num w:numId="35" w16cid:durableId="1887058585">
    <w:abstractNumId w:val="7"/>
  </w:num>
  <w:num w:numId="36" w16cid:durableId="1531258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89"/>
    <w:rsid w:val="000A627C"/>
    <w:rsid w:val="000F5EBE"/>
    <w:rsid w:val="0013719E"/>
    <w:rsid w:val="0028652F"/>
    <w:rsid w:val="003562D3"/>
    <w:rsid w:val="00430ED8"/>
    <w:rsid w:val="00881E7B"/>
    <w:rsid w:val="00883DE0"/>
    <w:rsid w:val="009455E8"/>
    <w:rsid w:val="00981091"/>
    <w:rsid w:val="009934C5"/>
    <w:rsid w:val="00A2179E"/>
    <w:rsid w:val="00D10E0B"/>
    <w:rsid w:val="00D331AB"/>
    <w:rsid w:val="00D50E89"/>
    <w:rsid w:val="00D8007D"/>
    <w:rsid w:val="00D81979"/>
    <w:rsid w:val="00DA3559"/>
    <w:rsid w:val="00DF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A104FD"/>
  <w15:chartTrackingRefBased/>
  <w15:docId w15:val="{C3F9E21E-DEFB-44B6-95F5-FCE8C096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E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E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3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f436eb5e-c63d-4189-9248-e6e0fddb7cf9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9BA08B0F137C458A72F131DD234BC0" ma:contentTypeVersion="15" ma:contentTypeDescription="Create a new document." ma:contentTypeScope="" ma:versionID="0973ceb7ecd25c0099a1ef40b6fc5372">
  <xsd:schema xmlns:xsd="http://www.w3.org/2001/XMLSchema" xmlns:xs="http://www.w3.org/2001/XMLSchema" xmlns:p="http://schemas.microsoft.com/office/2006/metadata/properties" xmlns:ns2="95757e98-2b43-486c-8ee7-8b03e7fccc8c" xmlns:ns3="7c1adb7a-79b9-4d00-a09f-a071addae645" targetNamespace="http://schemas.microsoft.com/office/2006/metadata/properties" ma:root="true" ma:fieldsID="c3954bc082bf1e766783900429339883" ns2:_="" ns3:_="">
    <xsd:import namespace="95757e98-2b43-486c-8ee7-8b03e7fccc8c"/>
    <xsd:import namespace="7c1adb7a-79b9-4d00-a09f-a071addae645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acd85e62d5c14e5395eb980cc79ff142" minOccurs="0"/>
                <xsd:element ref="ns2:MetaDescrip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57e98-2b43-486c-8ee7-8b03e7fccc8c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6fac08bd-2182-4313-b0b2-c43924ef198e}" ma:internalName="TaxCatchAll" ma:showField="CatchAllData" ma:web="3a747bfb-c645-428a-b21a-60a17bba3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6fac08bd-2182-4313-b0b2-c43924ef198e}" ma:internalName="TaxCatchAllLabel" ma:readOnly="true" ma:showField="CatchAllDataLabel" ma:web="3a747bfb-c645-428a-b21a-60a17bba3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cd85e62d5c14e5395eb980cc79ff142" ma:index="10" nillable="true" ma:taxonomy="true" ma:internalName="acd85e62d5c14e5395eb980cc79ff142" ma:taxonomyFieldName="MetaKeywords" ma:displayName="MetaKeywords" ma:default="" ma:fieldId="{acd85e62-d5c1-4e53-95eb-980cc79ff142}" ma:taxonomyMulti="true" ma:sspId="f436eb5e-c63d-4189-9248-e6e0fddb7cf9" ma:termSetId="1b81bd74-edac-423f-9865-4ef86d0522e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taDescription" ma:index="12" nillable="true" ma:displayName="MetaDescription" ma:internalName="Meta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adb7a-79b9-4d00-a09f-a071addae6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436eb5e-c63d-4189-9248-e6e0fddb7c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757e98-2b43-486c-8ee7-8b03e7fccc8c"/>
    <MetaDescription xmlns="95757e98-2b43-486c-8ee7-8b03e7fccc8c" xsi:nil="true"/>
    <lcf76f155ced4ddcb4097134ff3c332f xmlns="7c1adb7a-79b9-4d00-a09f-a071addae645">
      <Terms xmlns="http://schemas.microsoft.com/office/infopath/2007/PartnerControls"/>
    </lcf76f155ced4ddcb4097134ff3c332f>
    <acd85e62d5c14e5395eb980cc79ff142 xmlns="95757e98-2b43-486c-8ee7-8b03e7fccc8c">
      <Terms xmlns="http://schemas.microsoft.com/office/infopath/2007/PartnerControls"/>
    </acd85e62d5c14e5395eb980cc79ff142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2EAC4F-C526-4CC7-9CBB-9A2A9A022F5F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85107F72-4E0C-4D9D-A1DE-83D5634DA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757e98-2b43-486c-8ee7-8b03e7fccc8c"/>
    <ds:schemaRef ds:uri="7c1adb7a-79b9-4d00-a09f-a071addae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117D10-7BEC-4064-B43C-4AD6FE3DAA13}">
  <ds:schemaRefs>
    <ds:schemaRef ds:uri="http://schemas.microsoft.com/office/2006/metadata/properties"/>
    <ds:schemaRef ds:uri="http://schemas.microsoft.com/office/infopath/2007/PartnerControls"/>
    <ds:schemaRef ds:uri="95757e98-2b43-486c-8ee7-8b03e7fccc8c"/>
    <ds:schemaRef ds:uri="7c1adb7a-79b9-4d00-a09f-a071addae645"/>
  </ds:schemaRefs>
</ds:datastoreItem>
</file>

<file path=customXml/itemProps4.xml><?xml version="1.0" encoding="utf-8"?>
<ds:datastoreItem xmlns:ds="http://schemas.openxmlformats.org/officeDocument/2006/customXml" ds:itemID="{88A6688B-875B-4A46-9AD0-657D466D02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Bank</Company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Gudu, Lindiwe L</dc:creator>
  <cp:keywords/>
  <dc:description/>
  <cp:lastModifiedBy>Gudu, Lindiwe L</cp:lastModifiedBy>
  <cp:revision>8</cp:revision>
  <dcterms:created xsi:type="dcterms:W3CDTF">2026-03-02T08:07:00Z</dcterms:created>
  <dcterms:modified xsi:type="dcterms:W3CDTF">2026-03-02T11:10:00Z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2026-03-01T14:48:03Z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483e41df-6447-4455-87a6-91bd409d0ff8</vt:lpwstr>
  </property>
  <property fmtid="{D5CDD505-2E9C-101B-9397-08002B2CF9AE}" pid="8" name="MSIP_Label_027a3850-2850-457c-8efb-fdd5fa4d27d3_ContentBits">
    <vt:lpwstr>0</vt:lpwstr>
  </property>
  <property fmtid="{D5CDD505-2E9C-101B-9397-08002B2CF9AE}" pid="9" name="MSIP_Label_027a3850-2850-457c-8efb-fdd5fa4d27d3_Tag">
    <vt:lpwstr>10, 3, 0, 1</vt:lpwstr>
  </property>
  <property fmtid="{D5CDD505-2E9C-101B-9397-08002B2CF9AE}" pid="10" name="ContentTypeId">
    <vt:lpwstr>0x0101003F9BA08B0F137C458A72F131DD234BC0</vt:lpwstr>
  </property>
</Properties>
</file>