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rFonts w:ascii="Times New Roman" w:hAnsi="Times New Roman"/>
          <w:b/>
          <w:sz w:val="48"/>
        </w:rPr>
        <w:t>Student Risk Early Warning</w:t>
      </w:r>
    </w:p>
    <w:p>
      <w:pPr>
        <w:spacing w:after="720"/>
        <w:jc w:val="center"/>
      </w:pPr>
      <w:r>
        <w:rPr>
          <w:rFonts w:ascii="Times New Roman" w:hAnsi="Times New Roman"/>
          <w:i/>
          <w:sz w:val="32"/>
        </w:rPr>
        <w:t>An Interactive Analytical Dashboard on the UCI Student Performance Dataset</w:t>
      </w:r>
    </w:p>
    <w:p>
      <w:pPr>
        <w:spacing w:lineRule="auto" w:line="276" w:after="120"/>
        <w:jc w:val="both"/>
      </w:pPr>
      <w:r>
        <w:rPr>
          <w:rFonts w:ascii="Times New Roman" w:hAnsi="Times New Roman"/>
          <w:b/>
          <w:sz w:val="24"/>
        </w:rPr>
        <w:t>Team members</w:t>
      </w:r>
    </w:p>
    <w:p>
      <w:pPr>
        <w:pStyle w:val="ListBullet"/>
        <w:spacing w:lineRule="auto" w:line="276" w:after="40"/>
      </w:pPr>
      <w:r>
        <w:rPr>
          <w:rFonts w:ascii="Times New Roman" w:hAnsi="Times New Roman"/>
          <w:b/>
          <w:sz w:val="24"/>
        </w:rPr>
        <w:t>Tran Nam Anh</w:t>
      </w:r>
      <w:r>
        <w:rPr>
          <w:rFonts w:ascii="Times New Roman" w:hAnsi="Times New Roman"/>
          <w:sz w:val="24"/>
        </w:rPr>
        <w:t xml:space="preserve"> — Student ID </w:t>
      </w:r>
      <w:r>
        <w:rPr>
          <w:rFonts w:ascii="Times New Roman" w:hAnsi="Times New Roman"/>
          <w:b/>
          <w:sz w:val="24"/>
        </w:rPr>
        <w:t>ITDSIU23030</w:t>
      </w:r>
      <w:r>
        <w:rPr>
          <w:rFonts w:ascii="Times New Roman" w:hAnsi="Times New Roman"/>
          <w:sz w:val="24"/>
        </w:rPr>
        <w:t xml:space="preserve"> — </w:t>
      </w:r>
      <w:r>
        <w:rPr>
          <w:rFonts w:ascii="Times New Roman" w:hAnsi="Times New Roman"/>
          <w:i/>
          <w:sz w:val="24"/>
        </w:rPr>
        <w:t>Team Leader</w:t>
      </w:r>
      <w:r>
        <w:rPr>
          <w:rFonts w:ascii="Times New Roman" w:hAnsi="Times New Roman"/>
          <w:sz w:val="24"/>
        </w:rPr>
        <w:t xml:space="preserve"> — tnanh.gdsciu@gmail.com</w:t>
      </w:r>
    </w:p>
    <w:p>
      <w:pPr>
        <w:pStyle w:val="ListBullet"/>
        <w:spacing w:lineRule="auto" w:line="276" w:after="40"/>
      </w:pPr>
      <w:r>
        <w:rPr>
          <w:rFonts w:ascii="Times New Roman" w:hAnsi="Times New Roman"/>
          <w:b/>
          <w:sz w:val="24"/>
        </w:rPr>
        <w:t>Nguyen Duc Hai</w:t>
      </w:r>
      <w:r>
        <w:rPr>
          <w:rFonts w:ascii="Times New Roman" w:hAnsi="Times New Roman"/>
          <w:sz w:val="24"/>
        </w:rPr>
        <w:t xml:space="preserve"> — Student ID </w:t>
      </w:r>
      <w:r>
        <w:rPr>
          <w:rFonts w:ascii="Times New Roman" w:hAnsi="Times New Roman"/>
          <w:b/>
          <w:sz w:val="24"/>
        </w:rPr>
        <w:t>ITDSIU23006</w:t>
      </w:r>
    </w:p>
    <w:p>
      <w:pPr>
        <w:pStyle w:val="ListBullet"/>
        <w:spacing w:lineRule="auto" w:line="276" w:after="40"/>
      </w:pPr>
      <w:r>
        <w:rPr>
          <w:rFonts w:ascii="Times New Roman" w:hAnsi="Times New Roman"/>
          <w:b/>
          <w:sz w:val="24"/>
        </w:rPr>
        <w:t>Dang Minh Phat</w:t>
      </w:r>
      <w:r>
        <w:rPr>
          <w:rFonts w:ascii="Times New Roman" w:hAnsi="Times New Roman"/>
          <w:sz w:val="24"/>
        </w:rPr>
        <w:t xml:space="preserve"> — Student ID </w:t>
      </w:r>
      <w:r>
        <w:rPr>
          <w:rFonts w:ascii="Times New Roman" w:hAnsi="Times New Roman"/>
          <w:b/>
          <w:sz w:val="24"/>
        </w:rPr>
        <w:t>ITDSIU23017</w:t>
      </w:r>
    </w:p>
    <w:p>
      <w:pPr>
        <w:spacing w:lineRule="auto" w:line="276" w:after="120"/>
        <w:jc w:val="both"/>
      </w:pPr>
      <w:r>
        <w:rPr>
          <w:rFonts w:ascii="Times New Roman" w:hAnsi="Times New Roman"/>
          <w:b/>
          <w:sz w:val="24"/>
        </w:rPr>
        <w:t>Course:</w:t>
      </w:r>
      <w:r>
        <w:rPr>
          <w:rFonts w:ascii="Times New Roman" w:hAnsi="Times New Roman"/>
          <w:sz w:val="24"/>
        </w:rPr>
        <w:t xml:space="preserve"> </w:t>
      </w:r>
      <w:r>
        <w:rPr>
          <w:rFonts w:ascii="Consolas" w:hAnsi="Consolas"/>
          <w:sz w:val="20"/>
        </w:rPr>
        <w:t>[COURSE CODE — COURSE NAME]</w:t>
      </w:r>
      <w:r>
        <w:rPr>
          <w:rFonts w:ascii="Times New Roman" w:hAnsi="Times New Roman"/>
          <w:sz w:val="24"/>
        </w:rPr>
        <w:t xml:space="preserve"> </w:t>
      </w:r>
      <w:r>
        <w:rPr>
          <w:rFonts w:ascii="Times New Roman" w:hAnsi="Times New Roman"/>
          <w:b/>
          <w:sz w:val="24"/>
        </w:rPr>
        <w:t>Instructor:</w:t>
      </w:r>
      <w:r>
        <w:rPr>
          <w:rFonts w:ascii="Times New Roman" w:hAnsi="Times New Roman"/>
          <w:sz w:val="24"/>
        </w:rPr>
        <w:t xml:space="preserve"> </w:t>
      </w:r>
      <w:r>
        <w:rPr>
          <w:rFonts w:ascii="Consolas" w:hAnsi="Consolas"/>
          <w:sz w:val="20"/>
        </w:rPr>
        <w:t>[INSTRUCTOR NAME]</w:t>
      </w:r>
      <w:r>
        <w:rPr>
          <w:rFonts w:ascii="Times New Roman" w:hAnsi="Times New Roman"/>
          <w:sz w:val="24"/>
        </w:rPr>
        <w:t xml:space="preserve"> </w:t>
      </w:r>
      <w:r>
        <w:rPr>
          <w:rFonts w:ascii="Times New Roman" w:hAnsi="Times New Roman"/>
          <w:b/>
          <w:sz w:val="24"/>
        </w:rPr>
        <w:t>Institution:</w:t>
      </w:r>
      <w:r>
        <w:rPr>
          <w:rFonts w:ascii="Times New Roman" w:hAnsi="Times New Roman"/>
          <w:sz w:val="24"/>
        </w:rPr>
        <w:t xml:space="preserve"> International University — Vietnam National University Ho Chi Minh City (IU — VNU-HCM) </w:t>
      </w:r>
      <w:r>
        <w:rPr>
          <w:rFonts w:ascii="Times New Roman" w:hAnsi="Times New Roman"/>
          <w:b/>
          <w:sz w:val="24"/>
        </w:rPr>
        <w:t>Submission date:</w:t>
      </w:r>
      <w:r>
        <w:rPr>
          <w:rFonts w:ascii="Times New Roman" w:hAnsi="Times New Roman"/>
          <w:sz w:val="24"/>
        </w:rPr>
        <w:t xml:space="preserve"> 16 May 2026</w:t>
      </w:r>
    </w:p>
    <w:p>
      <w:pPr>
        <w:spacing w:lineRule="auto" w:line="276" w:after="120"/>
        <w:jc w:val="both"/>
      </w:pPr>
      <w:r>
        <w:rPr>
          <w:rFonts w:ascii="Times New Roman" w:hAnsi="Times New Roman"/>
          <w:b/>
          <w:sz w:val="24"/>
        </w:rPr>
        <w:t>Repository:</w:t>
      </w:r>
      <w:r>
        <w:rPr>
          <w:rFonts w:ascii="Times New Roman" w:hAnsi="Times New Roman"/>
          <w:sz w:val="24"/>
        </w:rPr>
        <w:t xml:space="preserve"> https://github.com/LineLuLan/student-performance-UCI </w:t>
      </w:r>
      <w:r>
        <w:rPr>
          <w:rFonts w:ascii="Times New Roman" w:hAnsi="Times New Roman"/>
          <w:b/>
          <w:sz w:val="24"/>
        </w:rPr>
        <w:t>Live deployment:</w:t>
      </w:r>
      <w:r>
        <w:rPr>
          <w:rFonts w:ascii="Times New Roman" w:hAnsi="Times New Roman"/>
          <w:sz w:val="24"/>
        </w:rPr>
        <w:t xml:space="preserve"> https://student-uci-dashboard.vercel.app/</w:t>
      </w:r>
    </w:p>
    <w:p>
      <w:r>
        <w:br w:type="page"/>
      </w:r>
    </w:p>
    <w:p>
      <w:pPr>
        <w:keepNext/>
        <w:spacing w:before="280" w:after="120"/>
        <w:jc w:val="left"/>
      </w:pPr>
      <w:r>
        <w:rPr>
          <w:rFonts w:ascii="Times New Roman" w:hAnsi="Times New Roman"/>
          <w:b/>
          <w:sz w:val="28"/>
        </w:rPr>
        <w:t>Abstract</w:t>
      </w:r>
    </w:p>
    <w:p>
      <w:pPr>
        <w:spacing w:lineRule="auto" w:line="276" w:after="120"/>
        <w:jc w:val="both"/>
      </w:pPr>
      <w:r>
        <w:rPr>
          <w:rFonts w:ascii="Times New Roman" w:hAnsi="Times New Roman"/>
          <w:sz w:val="24"/>
        </w:rPr>
        <w:t>Early identification of secondary-school students at risk of failing their final examination is a long-standing problem in educational data mining. Conventional summary reports based on end-of-term grades arrive too late to inform intervention; predictive models, when offered as opaque scores, lack the explainability that classroom practitioners require. This project presents an end-to-end pipeline that combines exploratory statistics, unsupervised segmentation, and supervised classification with an interactive web dashboard designed for the early-warning use case. We operate on the canonical UCI Student Performance dataset of Cortez and Silva, comprising 1,044 students from two Portuguese secondary schools across two subjects. After preprocessing and binary-target construction (</w:t>
      </w:r>
      <w:r>
        <w:rPr>
          <w:rFonts w:ascii="Consolas" w:hAnsi="Consolas"/>
          <w:sz w:val="20"/>
        </w:rPr>
        <w:t>at_risk = 1</w:t>
      </w:r>
      <w:r>
        <w:rPr>
          <w:rFonts w:ascii="Times New Roman" w:hAnsi="Times New Roman"/>
          <w:sz w:val="24"/>
        </w:rPr>
        <w:t xml:space="preserve"> when the final grade falls below ten of twenty), we compute Pearson correlations for fifteen numeric features, apply K-Means clustering on four standardised lifestyle features to recover three interpretable behavioural personas, and train a Random Forest classifier on a stratified eighty-twenty split with class-balanced weights. The classifier achieves accuracy 91.4%, precision 79.2%, recall 82.6%, and F1 80.9% on the held-out test set, catching thirty-eight of forty-six at-risk students while missing eight. The dashboard, implemented as a build-free single-page application using D3.js version seven, presents these results across six linked cards on a single-viewport twenty-four-column grid. We argue that </w:t>
      </w:r>
      <w:r>
        <w:rPr>
          <w:rFonts w:ascii="Times New Roman" w:hAnsi="Times New Roman"/>
          <w:i/>
          <w:sz w:val="24"/>
        </w:rPr>
        <w:t>recall</w:t>
      </w:r>
      <w:r>
        <w:rPr>
          <w:rFonts w:ascii="Times New Roman" w:hAnsi="Times New Roman"/>
          <w:sz w:val="24"/>
        </w:rPr>
        <w:t>, not accuracy, must lead model evaluation in this context, and that the cost of missed students should be visible as a first-class element of the interface. A bimodal distribution of final grades, including a spike of fifty-three withdrawals at grade zero, illustrates a failure mode invisible to summary statistics — motivating distributional visualisations alongside predictive metrics.</w:t>
      </w:r>
    </w:p>
    <w:p>
      <w:pPr>
        <w:spacing w:lineRule="auto" w:line="276" w:after="120"/>
        <w:jc w:val="both"/>
      </w:pPr>
      <w:r>
        <w:rPr>
          <w:rFonts w:ascii="Times New Roman" w:hAnsi="Times New Roman"/>
          <w:b/>
          <w:sz w:val="24"/>
        </w:rPr>
        <w:t>Keywords</w:t>
      </w:r>
      <w:r>
        <w:rPr>
          <w:rFonts w:ascii="Times New Roman" w:hAnsi="Times New Roman"/>
          <w:sz w:val="24"/>
        </w:rPr>
        <w:t xml:space="preserve"> — educational data mining; early-warning systems; interactive visualisation; Random Forest; K-Means; visual analytics; D3.js.</w:t>
      </w:r>
    </w:p>
    <w:p>
      <w:pPr>
        <w:pBdr>
          <w:bottom w:val="single" w:sz="6" w:space="1" w:color="BFBFBF"/>
        </w:pBdr>
      </w:pPr>
    </w:p>
    <w:p>
      <w:pPr>
        <w:keepNext/>
        <w:spacing w:before="280" w:after="120"/>
        <w:jc w:val="left"/>
      </w:pPr>
      <w:r>
        <w:rPr>
          <w:rFonts w:ascii="Times New Roman" w:hAnsi="Times New Roman"/>
          <w:b/>
          <w:sz w:val="28"/>
        </w:rPr>
        <w:t>Table of Contents</w:t>
      </w:r>
    </w:p>
    <w:p>
      <w:pPr>
        <w:pStyle w:val="ListNumber"/>
        <w:spacing w:lineRule="auto" w:line="276" w:after="40"/>
      </w:pPr>
      <w:r>
        <w:rPr>
          <w:rFonts w:ascii="Times New Roman" w:hAnsi="Times New Roman"/>
          <w:sz w:val="24"/>
        </w:rPr>
        <w:t>Introduction</w:t>
      </w:r>
    </w:p>
    <w:p>
      <w:pPr>
        <w:pStyle w:val="ListNumber"/>
        <w:spacing w:lineRule="auto" w:line="276" w:after="40"/>
      </w:pPr>
      <w:r>
        <w:rPr>
          <w:rFonts w:ascii="Times New Roman" w:hAnsi="Times New Roman"/>
          <w:sz w:val="24"/>
        </w:rPr>
        <w:t>Related Work</w:t>
      </w:r>
    </w:p>
    <w:p>
      <w:pPr>
        <w:pStyle w:val="ListNumber"/>
        <w:spacing w:lineRule="auto" w:line="276" w:after="40"/>
      </w:pPr>
      <w:r>
        <w:rPr>
          <w:rFonts w:ascii="Times New Roman" w:hAnsi="Times New Roman"/>
          <w:sz w:val="24"/>
        </w:rPr>
        <w:t>Dataset</w:t>
      </w:r>
    </w:p>
    <w:p>
      <w:pPr>
        <w:pStyle w:val="ListNumber"/>
        <w:spacing w:lineRule="auto" w:line="276" w:after="40"/>
      </w:pPr>
      <w:r>
        <w:rPr>
          <w:rFonts w:ascii="Times New Roman" w:hAnsi="Times New Roman"/>
          <w:sz w:val="24"/>
        </w:rPr>
        <w:t>Methodology</w:t>
      </w:r>
    </w:p>
    <w:p>
      <w:pPr>
        <w:pStyle w:val="ListNumber"/>
        <w:spacing w:lineRule="auto" w:line="276" w:after="40"/>
      </w:pPr>
      <w:r>
        <w:rPr>
          <w:rFonts w:ascii="Times New Roman" w:hAnsi="Times New Roman"/>
          <w:sz w:val="24"/>
        </w:rPr>
        <w:t>Visualisation Design</w:t>
      </w:r>
    </w:p>
    <w:p>
      <w:pPr>
        <w:pStyle w:val="ListNumber"/>
        <w:spacing w:lineRule="auto" w:line="276" w:after="40"/>
      </w:pPr>
      <w:r>
        <w:rPr>
          <w:rFonts w:ascii="Times New Roman" w:hAnsi="Times New Roman"/>
          <w:sz w:val="24"/>
        </w:rPr>
        <w:t>Implementation</w:t>
      </w:r>
    </w:p>
    <w:p>
      <w:pPr>
        <w:pStyle w:val="ListNumber"/>
        <w:spacing w:lineRule="auto" w:line="276" w:after="40"/>
      </w:pPr>
      <w:r>
        <w:rPr>
          <w:rFonts w:ascii="Times New Roman" w:hAnsi="Times New Roman"/>
          <w:sz w:val="24"/>
        </w:rPr>
        <w:t>Results and Findings</w:t>
      </w:r>
    </w:p>
    <w:p>
      <w:pPr>
        <w:pStyle w:val="ListNumber"/>
        <w:spacing w:lineRule="auto" w:line="276" w:after="40"/>
      </w:pPr>
      <w:r>
        <w:rPr>
          <w:rFonts w:ascii="Times New Roman" w:hAnsi="Times New Roman"/>
          <w:sz w:val="24"/>
        </w:rPr>
        <w:t>Discussion</w:t>
      </w:r>
    </w:p>
    <w:p>
      <w:pPr>
        <w:pStyle w:val="ListNumber"/>
        <w:spacing w:lineRule="auto" w:line="276" w:after="40"/>
      </w:pPr>
      <w:r>
        <w:rPr>
          <w:rFonts w:ascii="Times New Roman" w:hAnsi="Times New Roman"/>
          <w:sz w:val="24"/>
        </w:rPr>
        <w:t>Conclusion and Future Work</w:t>
      </w:r>
    </w:p>
    <w:p>
      <w:pPr>
        <w:pStyle w:val="ListNumber"/>
        <w:spacing w:lineRule="auto" w:line="276" w:after="40"/>
      </w:pPr>
      <w:r>
        <w:rPr>
          <w:rFonts w:ascii="Times New Roman" w:hAnsi="Times New Roman"/>
          <w:sz w:val="24"/>
        </w:rPr>
        <w:t>References</w:t>
      </w:r>
    </w:p>
    <w:p>
      <w:pPr>
        <w:spacing w:lineRule="auto" w:line="276" w:after="120"/>
        <w:jc w:val="both"/>
      </w:pPr>
      <w:r>
        <w:rPr>
          <w:rFonts w:ascii="Times New Roman" w:hAnsi="Times New Roman"/>
          <w:sz w:val="24"/>
        </w:rPr>
        <w:t>Appendix A — Team Contributions Appendix B — Repository Layout Appendix C — Figures Appendix D — Pre-Submission Checklist</w:t>
      </w:r>
    </w:p>
    <w:p>
      <w:pPr>
        <w:pBdr>
          <w:bottom w:val="single" w:sz="6" w:space="1" w:color="BFBFBF"/>
        </w:pBdr>
      </w:pPr>
    </w:p>
    <w:p>
      <w:pPr>
        <w:keepNext/>
        <w:spacing w:before="280" w:after="120"/>
        <w:jc w:val="left"/>
      </w:pPr>
      <w:r>
        <w:rPr>
          <w:rFonts w:ascii="Times New Roman" w:hAnsi="Times New Roman"/>
          <w:b/>
          <w:sz w:val="28"/>
        </w:rPr>
        <w:t>1. Introduction</w:t>
      </w:r>
    </w:p>
    <w:p>
      <w:pPr>
        <w:keepNext/>
        <w:spacing w:before="200" w:after="80"/>
        <w:jc w:val="left"/>
      </w:pPr>
      <w:r>
        <w:rPr>
          <w:rFonts w:ascii="Times New Roman" w:hAnsi="Times New Roman"/>
          <w:b/>
          <w:sz w:val="24"/>
        </w:rPr>
        <w:t>1.1 Motivation</w:t>
      </w:r>
    </w:p>
    <w:p>
      <w:pPr>
        <w:spacing w:lineRule="auto" w:line="276" w:after="120"/>
        <w:jc w:val="both"/>
      </w:pPr>
      <w:r>
        <w:rPr>
          <w:rFonts w:ascii="Times New Roman" w:hAnsi="Times New Roman"/>
          <w:sz w:val="24"/>
        </w:rPr>
        <w:t xml:space="preserve">Secondary-school grading systems in many countries — including the Portuguese system that underlies the dataset used here — release a definitive </w:t>
      </w:r>
      <w:r>
        <w:rPr>
          <w:rFonts w:ascii="Times New Roman" w:hAnsi="Times New Roman"/>
          <w:i/>
          <w:sz w:val="24"/>
        </w:rPr>
        <w:t>G3</w:t>
      </w:r>
      <w:r>
        <w:rPr>
          <w:rFonts w:ascii="Times New Roman" w:hAnsi="Times New Roman"/>
          <w:sz w:val="24"/>
        </w:rPr>
        <w:t xml:space="preserve"> final grade only at the end of the academic period. By the time a teacher or coordinator sees that grade, the option to intervene has elapsed. Yet the data routinely collected over the academic period — two earlier midterm grades, absences, lifestyle factors, family background — already encode much of the signal needed to anticipate the final outcome.</w:t>
      </w:r>
    </w:p>
    <w:p>
      <w:pPr>
        <w:spacing w:lineRule="auto" w:line="276" w:after="120"/>
        <w:jc w:val="both"/>
      </w:pPr>
      <w:r>
        <w:rPr>
          <w:rFonts w:ascii="Times New Roman" w:hAnsi="Times New Roman"/>
          <w:sz w:val="24"/>
        </w:rPr>
        <w:t xml:space="preserve">The pedagogical question, then, is not </w:t>
      </w:r>
      <w:r>
        <w:rPr>
          <w:rFonts w:ascii="Times New Roman" w:hAnsi="Times New Roman"/>
          <w:i/>
          <w:sz w:val="24"/>
        </w:rPr>
        <w:t>who failed?</w:t>
      </w:r>
      <w:r>
        <w:rPr>
          <w:rFonts w:ascii="Times New Roman" w:hAnsi="Times New Roman"/>
          <w:sz w:val="24"/>
        </w:rPr>
        <w:t xml:space="preserve"> but </w:t>
      </w:r>
      <w:r>
        <w:rPr>
          <w:rFonts w:ascii="Times New Roman" w:hAnsi="Times New Roman"/>
          <w:i/>
          <w:sz w:val="24"/>
        </w:rPr>
        <w:t>who is going to fail, why, and what can we do about it?</w:t>
      </w:r>
      <w:r>
        <w:rPr>
          <w:rFonts w:ascii="Times New Roman" w:hAnsi="Times New Roman"/>
          <w:sz w:val="24"/>
        </w:rPr>
        <w:t xml:space="preserve"> This is a classical early-warning problem with three hard constraints:</w:t>
      </w:r>
    </w:p>
    <w:p>
      <w:pPr>
        <w:pStyle w:val="ListNumber"/>
        <w:spacing w:lineRule="auto" w:line="276" w:after="40"/>
      </w:pPr>
      <w:r>
        <w:rPr>
          <w:rFonts w:ascii="Times New Roman" w:hAnsi="Times New Roman"/>
          <w:b/>
          <w:sz w:val="24"/>
        </w:rPr>
        <w:t>It is imbalanced.</w:t>
      </w:r>
      <w:r>
        <w:rPr>
          <w:rFonts w:ascii="Times New Roman" w:hAnsi="Times New Roman"/>
          <w:sz w:val="24"/>
        </w:rPr>
        <w:t xml:space="preserve"> Approximately twenty-two percent of students in our cohort are at risk (</w:t>
      </w:r>
      <w:r>
        <w:rPr>
          <w:rFonts w:ascii="Consolas" w:hAnsi="Consolas"/>
          <w:sz w:val="20"/>
        </w:rPr>
        <w:t>grade_final &lt; 10</w:t>
      </w:r>
      <w:r>
        <w:rPr>
          <w:rFonts w:ascii="Times New Roman" w:hAnsi="Times New Roman"/>
          <w:sz w:val="24"/>
        </w:rPr>
        <w:t xml:space="preserve">). Naïve accuracy on such an imbalanced target is misleading; a model that predicts every student passes obtains roughly seventy-eight percent accuracy while catching zero at-risk students. The operational metric is </w:t>
      </w:r>
      <w:r>
        <w:rPr>
          <w:rFonts w:ascii="Times New Roman" w:hAnsi="Times New Roman"/>
          <w:i/>
          <w:sz w:val="24"/>
        </w:rPr>
        <w:t>recall</w:t>
      </w:r>
      <w:r>
        <w:rPr>
          <w:rFonts w:ascii="Times New Roman" w:hAnsi="Times New Roman"/>
          <w:sz w:val="24"/>
        </w:rPr>
        <w:t xml:space="preserve"> on the minority class.</w:t>
      </w:r>
    </w:p>
    <w:p>
      <w:pPr>
        <w:pStyle w:val="ListNumber"/>
        <w:spacing w:lineRule="auto" w:line="276" w:after="40"/>
      </w:pPr>
      <w:r>
        <w:rPr>
          <w:rFonts w:ascii="Times New Roman" w:hAnsi="Times New Roman"/>
          <w:b/>
          <w:sz w:val="24"/>
        </w:rPr>
        <w:t>It must be explainable.</w:t>
      </w:r>
      <w:r>
        <w:rPr>
          <w:rFonts w:ascii="Times New Roman" w:hAnsi="Times New Roman"/>
          <w:sz w:val="24"/>
        </w:rPr>
        <w:t xml:space="preserve"> A classroom practitioner will not act on a black-box risk score. Each at-risk flag must be accompanied by </w:t>
      </w:r>
      <w:r>
        <w:rPr>
          <w:rFonts w:ascii="Times New Roman" w:hAnsi="Times New Roman"/>
          <w:i/>
          <w:sz w:val="24"/>
        </w:rPr>
        <w:t>why</w:t>
      </w:r>
      <w:r>
        <w:rPr>
          <w:rFonts w:ascii="Times New Roman" w:hAnsi="Times New Roman"/>
          <w:sz w:val="24"/>
        </w:rPr>
        <w:t xml:space="preserve"> — which feature drove the risk, and is the student part of a recognisable behavioural pattern.</w:t>
      </w:r>
    </w:p>
    <w:p>
      <w:pPr>
        <w:pStyle w:val="ListNumber"/>
        <w:spacing w:lineRule="auto" w:line="276" w:after="40"/>
      </w:pPr>
      <w:r>
        <w:rPr>
          <w:rFonts w:ascii="Times New Roman" w:hAnsi="Times New Roman"/>
          <w:b/>
          <w:sz w:val="24"/>
        </w:rPr>
        <w:t>It must be actionable.</w:t>
      </w:r>
      <w:r>
        <w:rPr>
          <w:rFonts w:ascii="Times New Roman" w:hAnsi="Times New Roman"/>
          <w:sz w:val="24"/>
        </w:rPr>
        <w:t xml:space="preserve"> The output must point to </w:t>
      </w:r>
      <w:r>
        <w:rPr>
          <w:rFonts w:ascii="Times New Roman" w:hAnsi="Times New Roman"/>
          <w:i/>
          <w:sz w:val="24"/>
        </w:rPr>
        <w:t>levers</w:t>
      </w:r>
      <w:r>
        <w:rPr>
          <w:rFonts w:ascii="Times New Roman" w:hAnsi="Times New Roman"/>
          <w:sz w:val="24"/>
        </w:rPr>
        <w:t xml:space="preserve"> a teacher can influence — study time, attendance, absences — rather than to immutable demographic attributes alone.</w:t>
      </w:r>
    </w:p>
    <w:p>
      <w:pPr>
        <w:keepNext/>
        <w:spacing w:before="200" w:after="80"/>
        <w:jc w:val="left"/>
      </w:pPr>
      <w:r>
        <w:rPr>
          <w:rFonts w:ascii="Times New Roman" w:hAnsi="Times New Roman"/>
          <w:b/>
          <w:sz w:val="24"/>
        </w:rPr>
        <w:t>1.2 Problem statement</w:t>
      </w:r>
    </w:p>
    <w:p>
      <w:pPr>
        <w:spacing w:lineRule="auto" w:line="276" w:after="160"/>
        <w:ind w:left="567" w:right="567"/>
        <w:pBdr>
          <w:left w:val="single" w:sz="12" w:space="12" w:color="999999"/>
        </w:pBdr>
      </w:pPr>
      <w:r>
        <w:rPr>
          <w:rFonts w:ascii="Times New Roman" w:hAnsi="Times New Roman"/>
          <w:i/>
          <w:sz w:val="24"/>
        </w:rPr>
        <w:t>*Given everything we know about a student before the final exam — demographics, family, lifestyle, absences, the two earlier midterm grades — can we identify, early and explainably, who is likely to fail the final exam, so a teacher can intervene in time?*</w:t>
      </w:r>
    </w:p>
    <w:p>
      <w:pPr>
        <w:keepNext/>
        <w:spacing w:before="200" w:after="80"/>
        <w:jc w:val="left"/>
      </w:pPr>
      <w:r>
        <w:rPr>
          <w:rFonts w:ascii="Times New Roman" w:hAnsi="Times New Roman"/>
          <w:b/>
          <w:sz w:val="24"/>
        </w:rPr>
        <w:t>1.3 Contributions</w:t>
      </w:r>
    </w:p>
    <w:p>
      <w:pPr>
        <w:spacing w:lineRule="auto" w:line="276" w:after="120"/>
        <w:jc w:val="both"/>
      </w:pPr>
      <w:r>
        <w:rPr>
          <w:rFonts w:ascii="Times New Roman" w:hAnsi="Times New Roman"/>
          <w:sz w:val="24"/>
        </w:rPr>
        <w:t>This project makes three concrete contributions:</w:t>
      </w:r>
    </w:p>
    <w:p>
      <w:pPr>
        <w:pStyle w:val="ListNumber"/>
        <w:spacing w:lineRule="auto" w:line="276" w:after="40"/>
      </w:pPr>
      <w:r>
        <w:rPr>
          <w:rFonts w:ascii="Times New Roman" w:hAnsi="Times New Roman"/>
          <w:b/>
          <w:sz w:val="24"/>
        </w:rPr>
        <w:t>A reproducible end-to-end pipeline</w:t>
      </w:r>
      <w:r>
        <w:rPr>
          <w:rFonts w:ascii="Times New Roman" w:hAnsi="Times New Roman"/>
          <w:sz w:val="24"/>
        </w:rPr>
        <w:t xml:space="preserve"> from the raw UCI dataset to a deployed web dashboard. A single Python script (</w:t>
      </w:r>
      <w:r>
        <w:rPr>
          <w:rFonts w:ascii="Consolas" w:hAnsi="Consolas"/>
          <w:sz w:val="20"/>
        </w:rPr>
        <w:t>analysis/analyze.py</w:t>
      </w:r>
      <w:r>
        <w:rPr>
          <w:rFonts w:ascii="Times New Roman" w:hAnsi="Times New Roman"/>
          <w:sz w:val="24"/>
        </w:rPr>
        <w:t>) produces the cleaned data and all machine-learning numbers; the dashboard is a build-free static site that loads in any modern browser.</w:t>
      </w:r>
    </w:p>
    <w:p>
      <w:pPr>
        <w:pStyle w:val="ListNumber"/>
        <w:spacing w:lineRule="auto" w:line="276" w:after="40"/>
      </w:pPr>
      <w:r>
        <w:rPr>
          <w:rFonts w:ascii="Times New Roman" w:hAnsi="Times New Roman"/>
          <w:b/>
          <w:sz w:val="24"/>
        </w:rPr>
        <w:t>A recall-led model evaluation,</w:t>
      </w:r>
      <w:r>
        <w:rPr>
          <w:rFonts w:ascii="Times New Roman" w:hAnsi="Times New Roman"/>
          <w:sz w:val="24"/>
        </w:rPr>
        <w:t xml:space="preserve"> in which the confusion matrix is rendered as a first-class element of the user interface, with the </w:t>
      </w:r>
      <w:r>
        <w:rPr>
          <w:rFonts w:ascii="Times New Roman" w:hAnsi="Times New Roman"/>
          <w:i/>
          <w:sz w:val="24"/>
        </w:rPr>
        <w:t>missed</w:t>
      </w:r>
      <w:r>
        <w:rPr>
          <w:rFonts w:ascii="Times New Roman" w:hAnsi="Times New Roman"/>
          <w:sz w:val="24"/>
        </w:rPr>
        <w:t xml:space="preserve"> false-negative cell coloured in red to make the operational cost of error inescapable.</w:t>
      </w:r>
    </w:p>
    <w:p>
      <w:pPr>
        <w:pStyle w:val="ListNumber"/>
        <w:spacing w:lineRule="auto" w:line="276" w:after="40"/>
      </w:pPr>
      <w:r>
        <w:rPr>
          <w:rFonts w:ascii="Times New Roman" w:hAnsi="Times New Roman"/>
          <w:b/>
          <w:sz w:val="24"/>
        </w:rPr>
        <w:t>A clickable four-step reasoning interface</w:t>
      </w:r>
      <w:r>
        <w:rPr>
          <w:rFonts w:ascii="Times New Roman" w:hAnsi="Times New Roman"/>
          <w:sz w:val="24"/>
        </w:rPr>
        <w:t xml:space="preserve"> in which the user follows the early-warning logic end to end — </w:t>
      </w:r>
      <w:r>
        <w:rPr>
          <w:rFonts w:ascii="Times New Roman" w:hAnsi="Times New Roman"/>
          <w:i/>
          <w:sz w:val="24"/>
        </w:rPr>
        <w:t>which signals matter?</w:t>
      </w:r>
      <w:r>
        <w:rPr>
          <w:rFonts w:ascii="Times New Roman" w:hAnsi="Times New Roman"/>
          <w:sz w:val="24"/>
        </w:rPr>
        <w:t xml:space="preserve"> → </w:t>
      </w:r>
      <w:r>
        <w:rPr>
          <w:rFonts w:ascii="Times New Roman" w:hAnsi="Times New Roman"/>
          <w:i/>
          <w:sz w:val="24"/>
        </w:rPr>
        <w:t>is the relationship real?</w:t>
      </w:r>
      <w:r>
        <w:rPr>
          <w:rFonts w:ascii="Times New Roman" w:hAnsi="Times New Roman"/>
          <w:sz w:val="24"/>
        </w:rPr>
        <w:t xml:space="preserve"> → </w:t>
      </w:r>
      <w:r>
        <w:rPr>
          <w:rFonts w:ascii="Times New Roman" w:hAnsi="Times New Roman"/>
          <w:i/>
          <w:sz w:val="24"/>
        </w:rPr>
        <w:t>are there student types?</w:t>
      </w:r>
      <w:r>
        <w:rPr>
          <w:rFonts w:ascii="Times New Roman" w:hAnsi="Times New Roman"/>
          <w:sz w:val="24"/>
        </w:rPr>
        <w:t xml:space="preserve"> → </w:t>
      </w:r>
      <w:r>
        <w:rPr>
          <w:rFonts w:ascii="Times New Roman" w:hAnsi="Times New Roman"/>
          <w:i/>
          <w:sz w:val="24"/>
        </w:rPr>
        <w:t>can we predict?</w:t>
      </w:r>
      <w:r>
        <w:rPr>
          <w:rFonts w:ascii="Times New Roman" w:hAnsi="Times New Roman"/>
          <w:sz w:val="24"/>
        </w:rPr>
        <w:t xml:space="preserve"> — through direct manipulation, with no menu hierarchy.</w:t>
      </w:r>
    </w:p>
    <w:p>
      <w:pPr>
        <w:keepNext/>
        <w:spacing w:before="200" w:after="80"/>
        <w:jc w:val="left"/>
      </w:pPr>
      <w:r>
        <w:rPr>
          <w:rFonts w:ascii="Times New Roman" w:hAnsi="Times New Roman"/>
          <w:b/>
          <w:sz w:val="24"/>
        </w:rPr>
        <w:t>1.4 Report outline</w:t>
      </w:r>
    </w:p>
    <w:p>
      <w:pPr>
        <w:spacing w:lineRule="auto" w:line="276" w:after="120"/>
        <w:jc w:val="both"/>
      </w:pPr>
      <w:r>
        <w:rPr>
          <w:rFonts w:ascii="Times New Roman" w:hAnsi="Times New Roman"/>
          <w:sz w:val="24"/>
        </w:rPr>
        <w:t>Section 2 surveys related work in educational data mining, predictive student-risk modelling, and visual analytics for machine learning. Section 3 describes the dataset, including a deliberate migration from an earlier Kaggle source to UCI. Section 4 details the machine-learning methodology. Section 5 sets out the visualisation-design rationale. Section 6 covers implementation and deployment. Section 7 reports empirical findings. Section 8 discusses interpretation, limitations, and threats to validity. Section 9 concludes.</w:t>
      </w:r>
    </w:p>
    <w:p>
      <w:pPr>
        <w:pBdr>
          <w:bottom w:val="single" w:sz="6" w:space="1" w:color="BFBFBF"/>
        </w:pBdr>
      </w:pPr>
    </w:p>
    <w:p>
      <w:pPr>
        <w:keepNext/>
        <w:spacing w:before="280" w:after="120"/>
        <w:jc w:val="left"/>
      </w:pPr>
      <w:r>
        <w:rPr>
          <w:rFonts w:ascii="Times New Roman" w:hAnsi="Times New Roman"/>
          <w:b/>
          <w:sz w:val="28"/>
        </w:rPr>
        <w:t>2. Related Work</w:t>
      </w:r>
    </w:p>
    <w:p>
      <w:pPr>
        <w:keepNext/>
        <w:spacing w:before="200" w:after="80"/>
        <w:jc w:val="left"/>
      </w:pPr>
      <w:r>
        <w:rPr>
          <w:rFonts w:ascii="Times New Roman" w:hAnsi="Times New Roman"/>
          <w:b/>
          <w:sz w:val="24"/>
        </w:rPr>
        <w:t>2.1 The original UCI study</w:t>
      </w:r>
    </w:p>
    <w:p>
      <w:pPr>
        <w:spacing w:lineRule="auto" w:line="276" w:after="120"/>
        <w:jc w:val="both"/>
      </w:pPr>
      <w:r>
        <w:rPr>
          <w:rFonts w:ascii="Times New Roman" w:hAnsi="Times New Roman"/>
          <w:sz w:val="24"/>
        </w:rPr>
        <w:t xml:space="preserve">Cortez and Silva </w:t>
      </w:r>
      <w:r>
        <w:rPr>
          <w:rFonts w:ascii="Times New Roman" w:hAnsi="Times New Roman"/>
          <w:sz w:val="24"/>
        </w:rPr>
        <w:t>[1] introduced the dataset used in this project as part of an investigation of data-mining methods applied to secondary-school student performance. Their experiments compared decision trees, random forests, neural networks, and support vector machines on the same cohort under three input scenarios: (A) without grade information, (B) using G1, and (C) using both G1 and G2. Their headline finding — that G2 in particular is a near-deterministic predictor of G3 — is reproduced and visualised in our Section 7.</w:t>
      </w:r>
    </w:p>
    <w:p>
      <w:pPr>
        <w:keepNext/>
        <w:spacing w:before="200" w:after="80"/>
        <w:jc w:val="left"/>
      </w:pPr>
      <w:r>
        <w:rPr>
          <w:rFonts w:ascii="Times New Roman" w:hAnsi="Times New Roman"/>
          <w:b/>
          <w:sz w:val="24"/>
        </w:rPr>
        <w:t>2.2 Educational data mining</w:t>
      </w:r>
    </w:p>
    <w:p>
      <w:pPr>
        <w:spacing w:lineRule="auto" w:line="276" w:after="120"/>
        <w:jc w:val="both"/>
      </w:pPr>
      <w:r>
        <w:rPr>
          <w:rFonts w:ascii="Times New Roman" w:hAnsi="Times New Roman"/>
          <w:sz w:val="24"/>
        </w:rPr>
        <w:t xml:space="preserve">The broader field of educational data mining has accumulated a large body of work on early-warning and dropout-prediction systems. Romero and Ventura </w:t>
      </w:r>
      <w:r>
        <w:rPr>
          <w:rFonts w:ascii="Times New Roman" w:hAnsi="Times New Roman"/>
          <w:sz w:val="24"/>
        </w:rPr>
        <w:t>[2] survey the field, identifying classification, clustering, and association-rule mining as the dominant methodological strands. More recent work has emphasised explainability and stakeholder trust as prerequisites for deployment in real schools, paralleling the wider trend toward interpretable ML.</w:t>
      </w:r>
    </w:p>
    <w:p>
      <w:pPr>
        <w:keepNext/>
        <w:spacing w:before="200" w:after="80"/>
        <w:jc w:val="left"/>
      </w:pPr>
      <w:r>
        <w:rPr>
          <w:rFonts w:ascii="Times New Roman" w:hAnsi="Times New Roman"/>
          <w:b/>
          <w:sz w:val="24"/>
        </w:rPr>
        <w:t>2.3 Visual analytics for machine learning</w:t>
      </w:r>
    </w:p>
    <w:p>
      <w:pPr>
        <w:spacing w:lineRule="auto" w:line="276" w:after="120"/>
        <w:jc w:val="both"/>
      </w:pPr>
      <w:r>
        <w:rPr>
          <w:rFonts w:ascii="Times New Roman" w:hAnsi="Times New Roman"/>
          <w:sz w:val="24"/>
        </w:rPr>
        <w:t xml:space="preserve">The use of visualisation as a means to make machine-learning models explainable has been surveyed by Hohman et al. </w:t>
      </w:r>
      <w:r>
        <w:rPr>
          <w:rFonts w:ascii="Times New Roman" w:hAnsi="Times New Roman"/>
          <w:sz w:val="24"/>
        </w:rPr>
        <w:t xml:space="preserve">[3], whose taxonomy distinguishes between visualisations </w:t>
      </w:r>
      <w:r>
        <w:rPr>
          <w:rFonts w:ascii="Times New Roman" w:hAnsi="Times New Roman"/>
          <w:i/>
          <w:sz w:val="24"/>
        </w:rPr>
        <w:t>of</w:t>
      </w:r>
      <w:r>
        <w:rPr>
          <w:rFonts w:ascii="Times New Roman" w:hAnsi="Times New Roman"/>
          <w:sz w:val="24"/>
        </w:rPr>
        <w:t xml:space="preserve"> model internals (weights, activations, importance) and visualisations </w:t>
      </w:r>
      <w:r>
        <w:rPr>
          <w:rFonts w:ascii="Times New Roman" w:hAnsi="Times New Roman"/>
          <w:i/>
          <w:sz w:val="24"/>
        </w:rPr>
        <w:t>of</w:t>
      </w:r>
      <w:r>
        <w:rPr>
          <w:rFonts w:ascii="Times New Roman" w:hAnsi="Times New Roman"/>
          <w:sz w:val="24"/>
        </w:rPr>
        <w:t xml:space="preserve"> model behaviour (predictions, confusion matrices, residuals). The present work falls primarily into the second category, supplementing it with traditional exploratory visualisations (correlation lollipops, scatter plots, histograms) drawn from Few </w:t>
      </w:r>
      <w:r>
        <w:rPr>
          <w:rFonts w:ascii="Times New Roman" w:hAnsi="Times New Roman"/>
          <w:sz w:val="24"/>
        </w:rPr>
        <w:t xml:space="preserve">[4] and Munzner </w:t>
      </w:r>
      <w:r>
        <w:rPr>
          <w:rFonts w:ascii="Times New Roman" w:hAnsi="Times New Roman"/>
          <w:sz w:val="24"/>
        </w:rPr>
        <w:t>[5].</w:t>
      </w:r>
    </w:p>
    <w:p>
      <w:pPr>
        <w:keepNext/>
        <w:spacing w:before="200" w:after="80"/>
        <w:jc w:val="left"/>
      </w:pPr>
      <w:r>
        <w:rPr>
          <w:rFonts w:ascii="Times New Roman" w:hAnsi="Times New Roman"/>
          <w:b/>
          <w:sz w:val="24"/>
        </w:rPr>
        <w:t>2.4 Dashboard design principles</w:t>
      </w:r>
    </w:p>
    <w:p>
      <w:pPr>
        <w:spacing w:lineRule="auto" w:line="276" w:after="120"/>
        <w:jc w:val="both"/>
      </w:pPr>
      <w:r>
        <w:rPr>
          <w:rFonts w:ascii="Times New Roman" w:hAnsi="Times New Roman"/>
          <w:sz w:val="24"/>
        </w:rPr>
        <w:t xml:space="preserve">The single-viewport, no-scroll dashboard pattern advocated by Few </w:t>
      </w:r>
      <w:r>
        <w:rPr>
          <w:rFonts w:ascii="Times New Roman" w:hAnsi="Times New Roman"/>
          <w:sz w:val="24"/>
        </w:rPr>
        <w:t xml:space="preserve">[4] informs our 24-column grid layout. Munzner's </w:t>
      </w:r>
      <w:r>
        <w:rPr>
          <w:rFonts w:ascii="Times New Roman" w:hAnsi="Times New Roman"/>
          <w:sz w:val="24"/>
        </w:rPr>
        <w:t xml:space="preserve">[5] framework — </w:t>
      </w:r>
      <w:r>
        <w:rPr>
          <w:rFonts w:ascii="Times New Roman" w:hAnsi="Times New Roman"/>
          <w:i/>
          <w:sz w:val="24"/>
        </w:rPr>
        <w:t>what, why, how</w:t>
      </w:r>
      <w:r>
        <w:rPr>
          <w:rFonts w:ascii="Times New Roman" w:hAnsi="Times New Roman"/>
          <w:sz w:val="24"/>
        </w:rPr>
        <w:t xml:space="preserve"> — informs our chart-type selection: each visualisation is chosen for the task it answers, not for aesthetic novelty. The </w:t>
      </w:r>
      <w:r>
        <w:rPr>
          <w:rFonts w:ascii="Times New Roman" w:hAnsi="Times New Roman"/>
          <w:i/>
          <w:sz w:val="24"/>
        </w:rPr>
        <w:t>cross-card linking</w:t>
      </w:r>
      <w:r>
        <w:rPr>
          <w:rFonts w:ascii="Times New Roman" w:hAnsi="Times New Roman"/>
          <w:sz w:val="24"/>
        </w:rPr>
        <w:t xml:space="preserve"> mechanism (clicking a feature in the Pearson lollipop repoints the scatter X-axis) follows the </w:t>
      </w:r>
      <w:r>
        <w:rPr>
          <w:rFonts w:ascii="Times New Roman" w:hAnsi="Times New Roman"/>
          <w:i/>
          <w:sz w:val="24"/>
        </w:rPr>
        <w:t>linked-views</w:t>
      </w:r>
      <w:r>
        <w:rPr>
          <w:rFonts w:ascii="Times New Roman" w:hAnsi="Times New Roman"/>
          <w:sz w:val="24"/>
        </w:rPr>
        <w:t xml:space="preserve"> tradition formalised by Buja, McDonald, Michalak, and Stuetzle </w:t>
      </w:r>
      <w:r>
        <w:rPr>
          <w:rFonts w:ascii="Times New Roman" w:hAnsi="Times New Roman"/>
          <w:sz w:val="24"/>
        </w:rPr>
        <w:t>[6] and implemented in countless visual-analytics systems since.</w:t>
      </w:r>
    </w:p>
    <w:p>
      <w:pPr>
        <w:keepNext/>
        <w:spacing w:before="200" w:after="80"/>
        <w:jc w:val="left"/>
      </w:pPr>
      <w:r>
        <w:rPr>
          <w:rFonts w:ascii="Times New Roman" w:hAnsi="Times New Roman"/>
          <w:b/>
          <w:sz w:val="24"/>
        </w:rPr>
        <w:t>2.5 Gap</w:t>
      </w:r>
    </w:p>
    <w:p>
      <w:pPr>
        <w:spacing w:lineRule="auto" w:line="276" w:after="120"/>
        <w:jc w:val="both"/>
      </w:pPr>
      <w:r>
        <w:rPr>
          <w:rFonts w:ascii="Times New Roman" w:hAnsi="Times New Roman"/>
          <w:sz w:val="24"/>
        </w:rPr>
        <w:t>Public visualisations on the UCI Student Performance dataset are dominated by static notebooks — most commonly notebooks shared on Kaggle and on academic course pages, which present numerous bar charts and correlation heatmaps but do not link reasoning across views or surface the operational cost of model error. Our dashboard departs from this pattern by adopting a recall-led evaluation, a click-driven reasoning pipeline, and a deliberately bimodal-aware distribution view that exposes withdrawal cases the summary statistics would conceal.</w:t>
      </w:r>
    </w:p>
    <w:p>
      <w:pPr>
        <w:pBdr>
          <w:bottom w:val="single" w:sz="6" w:space="1" w:color="BFBFBF"/>
        </w:pBdr>
      </w:pPr>
    </w:p>
    <w:p>
      <w:pPr>
        <w:keepNext/>
        <w:spacing w:before="280" w:after="120"/>
        <w:jc w:val="left"/>
      </w:pPr>
      <w:r>
        <w:rPr>
          <w:rFonts w:ascii="Times New Roman" w:hAnsi="Times New Roman"/>
          <w:b/>
          <w:sz w:val="28"/>
        </w:rPr>
        <w:t>3. Dataset</w:t>
      </w:r>
    </w:p>
    <w:p>
      <w:pPr>
        <w:keepNext/>
        <w:spacing w:before="200" w:after="80"/>
        <w:jc w:val="left"/>
      </w:pPr>
      <w:r>
        <w:rPr>
          <w:rFonts w:ascii="Times New Roman" w:hAnsi="Times New Roman"/>
          <w:b/>
          <w:sz w:val="24"/>
        </w:rPr>
        <w:t>3.1 Source</w:t>
      </w:r>
    </w:p>
    <w:p>
      <w:pPr>
        <w:spacing w:lineRule="auto" w:line="276" w:after="120"/>
        <w:jc w:val="both"/>
      </w:pPr>
      <w:r>
        <w:rPr>
          <w:rFonts w:ascii="Times New Roman" w:hAnsi="Times New Roman"/>
          <w:sz w:val="24"/>
        </w:rPr>
        <w:t xml:space="preserve">The project uses the </w:t>
      </w:r>
      <w:r>
        <w:rPr>
          <w:rFonts w:ascii="Times New Roman" w:hAnsi="Times New Roman"/>
          <w:i/>
          <w:sz w:val="24"/>
        </w:rPr>
        <w:t>Student Performance</w:t>
      </w:r>
      <w:r>
        <w:rPr>
          <w:rFonts w:ascii="Times New Roman" w:hAnsi="Times New Roman"/>
          <w:sz w:val="24"/>
        </w:rPr>
        <w:t xml:space="preserve"> dataset published on the UCI Machine Learning Repository </w:t>
      </w:r>
      <w:r>
        <w:rPr>
          <w:rFonts w:ascii="Times New Roman" w:hAnsi="Times New Roman"/>
          <w:sz w:val="24"/>
        </w:rPr>
        <w:t xml:space="preserve">[7], collected by Cortez and Silva </w:t>
      </w:r>
      <w:r>
        <w:rPr>
          <w:rFonts w:ascii="Times New Roman" w:hAnsi="Times New Roman"/>
          <w:sz w:val="24"/>
        </w:rPr>
        <w:t>[1] from two Portuguese secondary schools — Gabriel Pereira and Mousinho da Silveira — during the 2005–2006 academic year. The dataset is distributed as two CSV files, one for the Mathematics class (</w:t>
      </w:r>
      <w:r>
        <w:rPr>
          <w:rFonts w:ascii="Consolas" w:hAnsi="Consolas"/>
          <w:sz w:val="20"/>
        </w:rPr>
        <w:t>student-mat.csv</w:t>
      </w:r>
      <w:r>
        <w:rPr>
          <w:rFonts w:ascii="Times New Roman" w:hAnsi="Times New Roman"/>
          <w:sz w:val="24"/>
        </w:rPr>
        <w:t xml:space="preserve">, </w:t>
      </w:r>
      <w:r>
        <w:rPr>
          <w:rFonts w:ascii="Times New Roman" w:hAnsi="Times New Roman"/>
          <w:i/>
          <w:sz w:val="24"/>
        </w:rPr>
        <w:t>n</w:t>
      </w:r>
      <w:r>
        <w:rPr>
          <w:rFonts w:ascii="Times New Roman" w:hAnsi="Times New Roman"/>
          <w:sz w:val="24"/>
        </w:rPr>
        <w:t xml:space="preserve"> = 395) and one for the Portuguese-language class (</w:t>
      </w:r>
      <w:r>
        <w:rPr>
          <w:rFonts w:ascii="Consolas" w:hAnsi="Consolas"/>
          <w:sz w:val="20"/>
        </w:rPr>
        <w:t>student-por.csv</w:t>
      </w:r>
      <w:r>
        <w:rPr>
          <w:rFonts w:ascii="Times New Roman" w:hAnsi="Times New Roman"/>
          <w:sz w:val="24"/>
        </w:rPr>
        <w:t xml:space="preserve">, </w:t>
      </w:r>
      <w:r>
        <w:rPr>
          <w:rFonts w:ascii="Times New Roman" w:hAnsi="Times New Roman"/>
          <w:i/>
          <w:sz w:val="24"/>
        </w:rPr>
        <w:t>n</w:t>
      </w:r>
      <w:r>
        <w:rPr>
          <w:rFonts w:ascii="Times New Roman" w:hAnsi="Times New Roman"/>
          <w:sz w:val="24"/>
        </w:rPr>
        <w:t xml:space="preserve"> = 649), each containing thirty-three attributes covering demographics, family background, schooling support, lifestyle factors, and three grade periods (G1, G2, G3) on a zero-to-twenty scale.</w:t>
      </w:r>
    </w:p>
    <w:p>
      <w:pPr>
        <w:keepNext/>
        <w:spacing w:before="200" w:after="80"/>
        <w:jc w:val="left"/>
      </w:pPr>
      <w:r>
        <w:rPr>
          <w:rFonts w:ascii="Times New Roman" w:hAnsi="Times New Roman"/>
          <w:b/>
          <w:sz w:val="24"/>
        </w:rPr>
        <w:t>3.2 Dataset migration and rationale</w:t>
      </w:r>
    </w:p>
    <w:p>
      <w:pPr>
        <w:spacing w:lineRule="auto" w:line="276" w:after="120"/>
        <w:jc w:val="both"/>
      </w:pPr>
      <w:r>
        <w:rPr>
          <w:rFonts w:ascii="Times New Roman" w:hAnsi="Times New Roman"/>
          <w:sz w:val="24"/>
        </w:rPr>
        <w:t xml:space="preserve">The project was originally scoped against the </w:t>
      </w:r>
      <w:r>
        <w:rPr>
          <w:rFonts w:ascii="Times New Roman" w:hAnsi="Times New Roman"/>
          <w:b/>
          <w:sz w:val="24"/>
        </w:rPr>
        <w:t>Student Performance Factors</w:t>
      </w:r>
      <w:r>
        <w:rPr>
          <w:rFonts w:ascii="Times New Roman" w:hAnsi="Times New Roman"/>
          <w:sz w:val="24"/>
        </w:rPr>
        <w:t xml:space="preserve"> dataset published on Kaggle by user </w:t>
      </w:r>
      <w:r>
        <w:rPr>
          <w:rFonts w:ascii="Times New Roman" w:hAnsi="Times New Roman"/>
          <w:i/>
          <w:sz w:val="24"/>
        </w:rPr>
        <w:t>lainguyn123</w:t>
      </w:r>
      <w:r>
        <w:rPr>
          <w:rFonts w:ascii="Times New Roman" w:hAnsi="Times New Roman"/>
          <w:sz w:val="24"/>
        </w:rPr>
        <w:t xml:space="preserve"> (URL: &lt;https://www.kaggle.com/datasets/lainguyn123/student-performance-factors&gt;), an aggregator-style dataset characterised by a single composite outcome (</w:t>
      </w:r>
      <w:r>
        <w:rPr>
          <w:rFonts w:ascii="Consolas" w:hAnsi="Consolas"/>
          <w:sz w:val="20"/>
        </w:rPr>
        <w:t>Exam_Score</w:t>
      </w:r>
      <w:r>
        <w:rPr>
          <w:rFonts w:ascii="Times New Roman" w:hAnsi="Times New Roman"/>
          <w:sz w:val="24"/>
        </w:rPr>
        <w:t>) and a moderate set of behavioural and demographic predictors (hours studied, attendance, parental involvement, access to resources, motivation level, family income, and so on). After preliminary exploration and chart prototyping on this source we migrated to the UCI Student Performance dataset of Cortez and Silva. The migration was deliberate and is justified on four methodological grounds.</w:t>
      </w:r>
    </w:p>
    <w:p>
      <w:pPr>
        <w:spacing w:lineRule="auto" w:line="276" w:after="120"/>
        <w:jc w:val="both"/>
      </w:pPr>
      <w:r>
        <w:rPr>
          <w:rFonts w:ascii="Times New Roman" w:hAnsi="Times New Roman"/>
          <w:b/>
          <w:sz w:val="24"/>
        </w:rPr>
        <w:t>First, provenance and validation.</w:t>
      </w:r>
      <w:r>
        <w:rPr>
          <w:rFonts w:ascii="Times New Roman" w:hAnsi="Times New Roman"/>
          <w:sz w:val="24"/>
        </w:rPr>
        <w:t xml:space="preserve"> The UCI dataset is the canonical academic reference for this problem, accompanied by a peer-reviewed publication </w:t>
      </w:r>
      <w:r>
        <w:rPr>
          <w:rFonts w:ascii="Times New Roman" w:hAnsi="Times New Roman"/>
          <w:sz w:val="24"/>
        </w:rPr>
        <w:t xml:space="preserve">[1] and hosted by a curated repository </w:t>
      </w:r>
      <w:r>
        <w:rPr>
          <w:rFonts w:ascii="Times New Roman" w:hAnsi="Times New Roman"/>
          <w:sz w:val="24"/>
        </w:rPr>
        <w:t>[7]. Its variables and recording conventions have been examined and reused by subsequent researchers, providing a stable basis for reproducibility and external comparability. The earlier Kaggle source, while convenient, lacks an accompanying peer-reviewed publication, and its variable semantics are not always documented to the same standard.</w:t>
      </w:r>
    </w:p>
    <w:p>
      <w:pPr>
        <w:spacing w:lineRule="auto" w:line="276" w:after="120"/>
        <w:jc w:val="both"/>
      </w:pPr>
      <w:r>
        <w:rPr>
          <w:rFonts w:ascii="Times New Roman" w:hAnsi="Times New Roman"/>
          <w:b/>
          <w:sz w:val="24"/>
        </w:rPr>
        <w:t>Second, richer signal structure.</w:t>
      </w:r>
      <w:r>
        <w:rPr>
          <w:rFonts w:ascii="Times New Roman" w:hAnsi="Times New Roman"/>
          <w:sz w:val="24"/>
        </w:rPr>
        <w:t xml:space="preserve"> The UCI dataset records three time-stamped grade periods — the first midterm (G1), the second midterm (G2), and the final grade (G3) — rather than a single outcome score. This is essential to the early-warning framing of our project: we want to predict the final outcome </w:t>
      </w:r>
      <w:r>
        <w:rPr>
          <w:rFonts w:ascii="Times New Roman" w:hAnsi="Times New Roman"/>
          <w:i/>
          <w:sz w:val="24"/>
        </w:rPr>
        <w:t>before</w:t>
      </w:r>
      <w:r>
        <w:rPr>
          <w:rFonts w:ascii="Times New Roman" w:hAnsi="Times New Roman"/>
          <w:sz w:val="24"/>
        </w:rPr>
        <w:t xml:space="preserve"> it is known, using the earlier midterms as the most recent academic signal available to the teacher. A dataset with only a single composite outcome cannot support this question. Additionally, the UCI dataset includes thirty-three attributes spanning four semantic layers (static context, lifestyle, academic progress, outcome), versus the smaller, behaviour-and-demographics feature set in the original Kaggle source.</w:t>
      </w:r>
    </w:p>
    <w:p>
      <w:pPr>
        <w:spacing w:lineRule="auto" w:line="276" w:after="120"/>
        <w:jc w:val="both"/>
      </w:pPr>
      <w:r>
        <w:rPr>
          <w:rFonts w:ascii="Times New Roman" w:hAnsi="Times New Roman"/>
          <w:b/>
          <w:sz w:val="24"/>
        </w:rPr>
        <w:t>Third, realistic class imbalance and distributional structure.</w:t>
      </w:r>
      <w:r>
        <w:rPr>
          <w:rFonts w:ascii="Times New Roman" w:hAnsi="Times New Roman"/>
          <w:sz w:val="24"/>
        </w:rPr>
        <w:t xml:space="preserve"> The UCI dataset exhibits a 22.0% at-risk minority class — a realistic imbalance that motivates recall-led evaluation, class-weight balancing, and confusion-matrix-led visualisation. Crucially, the distribution of G3 is </w:t>
      </w:r>
      <w:r>
        <w:rPr>
          <w:rFonts w:ascii="Times New Roman" w:hAnsi="Times New Roman"/>
          <w:i/>
          <w:sz w:val="24"/>
        </w:rPr>
        <w:t>bimodal</w:t>
      </w:r>
      <w:r>
        <w:rPr>
          <w:rFonts w:ascii="Times New Roman" w:hAnsi="Times New Roman"/>
          <w:sz w:val="24"/>
        </w:rPr>
        <w:t>: a primary mode near eleven out of twenty, plus a secondary spike at G3 = 0 corresponding to fifty-three students who withdrew before the final examination. This pedagogically valuable feature — a failure mode invisible to summary statistics alone — is what motivates our distribution visualisation as a diagnostic complement to the predictive model. The original Kaggle source did not exhibit this bimodality.</w:t>
      </w:r>
    </w:p>
    <w:p>
      <w:pPr>
        <w:spacing w:lineRule="auto" w:line="276" w:after="120"/>
        <w:jc w:val="both"/>
      </w:pPr>
      <w:r>
        <w:rPr>
          <w:rFonts w:ascii="Times New Roman" w:hAnsi="Times New Roman"/>
          <w:b/>
          <w:sz w:val="24"/>
        </w:rPr>
        <w:t>Fourth, and decisively, empirically realistic noise.</w:t>
      </w:r>
      <w:r>
        <w:rPr>
          <w:rFonts w:ascii="Times New Roman" w:hAnsi="Times New Roman"/>
          <w:sz w:val="24"/>
        </w:rPr>
        <w:t xml:space="preserve"> When we prototyped the </w:t>
      </w:r>
      <w:r>
        <w:rPr>
          <w:rFonts w:ascii="Times New Roman" w:hAnsi="Times New Roman"/>
          <w:i/>
          <w:sz w:val="24"/>
        </w:rPr>
        <w:t>Key Drivers</w:t>
      </w:r>
      <w:r>
        <w:rPr>
          <w:rFonts w:ascii="Times New Roman" w:hAnsi="Times New Roman"/>
          <w:sz w:val="24"/>
        </w:rPr>
        <w:t xml:space="preserve"> lollipop and the </w:t>
      </w:r>
      <w:r>
        <w:rPr>
          <w:rFonts w:ascii="Times New Roman" w:hAnsi="Times New Roman"/>
          <w:i/>
          <w:sz w:val="24"/>
        </w:rPr>
        <w:t>Grade Correlation</w:t>
      </w:r>
      <w:r>
        <w:rPr>
          <w:rFonts w:ascii="Times New Roman" w:hAnsi="Times New Roman"/>
          <w:sz w:val="24"/>
        </w:rPr>
        <w:t xml:space="preserve"> scatter on the Kaggle source, the resulting charts looked suspiciously clean: the relationships between predictors and </w:t>
      </w:r>
      <w:r>
        <w:rPr>
          <w:rFonts w:ascii="Consolas" w:hAnsi="Consolas"/>
          <w:sz w:val="20"/>
        </w:rPr>
        <w:t>Exam_Score</w:t>
      </w:r>
      <w:r>
        <w:rPr>
          <w:rFonts w:ascii="Times New Roman" w:hAnsi="Times New Roman"/>
          <w:sz w:val="24"/>
        </w:rPr>
        <w:t xml:space="preserve"> were almost noise-free, producing near-perfect linear fits and a Random Forest that approached training-set accuracy with very little dispersion. The pattern is consistent with a dataset where the outcome is generated by an underlying formula of the features rather than measured empirically, so a model that recovers the formula appears to "predict" exam scores with implausible accuracy — that is, the visualisations </w:t>
      </w:r>
      <w:r>
        <w:rPr>
          <w:rFonts w:ascii="Times New Roman" w:hAnsi="Times New Roman"/>
          <w:i/>
          <w:sz w:val="24"/>
        </w:rPr>
        <w:t>overfit visually</w:t>
      </w:r>
      <w:r>
        <w:rPr>
          <w:rFonts w:ascii="Times New Roman" w:hAnsi="Times New Roman"/>
          <w:sz w:val="24"/>
        </w:rPr>
        <w:t xml:space="preserve"> to a generative regularity rather than communicating an authentic predictive signal. The UCI dataset, by contrast, exhibits genuine empirical noise — a Pearson </w:t>
      </w:r>
      <w:r>
        <w:rPr>
          <w:rFonts w:ascii="Times New Roman" w:hAnsi="Times New Roman"/>
          <w:i/>
          <w:sz w:val="24"/>
        </w:rPr>
        <w:t>r</w:t>
      </w:r>
      <w:r>
        <w:rPr>
          <w:rFonts w:ascii="Times New Roman" w:hAnsi="Times New Roman"/>
          <w:sz w:val="24"/>
        </w:rPr>
        <w:t xml:space="preserve"> of 0.91 between G2 and G3 is striking but not deterministic, past failures correlate at only </w:t>
      </w:r>
      <w:r>
        <w:rPr>
          <w:rFonts w:ascii="Times New Roman" w:hAnsi="Times New Roman"/>
          <w:i/>
          <w:sz w:val="24"/>
        </w:rPr>
        <w:t>r</w:t>
      </w:r>
      <w:r>
        <w:rPr>
          <w:rFonts w:ascii="Times New Roman" w:hAnsi="Times New Roman"/>
          <w:sz w:val="24"/>
        </w:rPr>
        <w:t xml:space="preserve"> = −0.38, and the Random Forest's recall on a held-out test set is 82.6% with a non-trivial false-negative cell. Migrating to UCI was therefore not only a provenance upgrade but a precondition for the dashboard to communicate a </w:t>
      </w:r>
      <w:r>
        <w:rPr>
          <w:rFonts w:ascii="Times New Roman" w:hAnsi="Times New Roman"/>
          <w:i/>
          <w:sz w:val="24"/>
        </w:rPr>
        <w:t>real</w:t>
      </w:r>
      <w:r>
        <w:rPr>
          <w:rFonts w:ascii="Times New Roman" w:hAnsi="Times New Roman"/>
          <w:sz w:val="24"/>
        </w:rPr>
        <w:t xml:space="preserve"> early-warning problem rather than a synthetic-looking one.</w:t>
      </w:r>
    </w:p>
    <w:p>
      <w:pPr>
        <w:spacing w:lineRule="auto" w:line="276" w:after="120"/>
        <w:jc w:val="both"/>
      </w:pPr>
      <w:r>
        <w:rPr>
          <w:rFonts w:ascii="Times New Roman" w:hAnsi="Times New Roman"/>
          <w:sz w:val="24"/>
        </w:rPr>
        <w:t>The migration is therefore framed not as a switch of convenience but as a methodological upgrade: from a single-outcome, suspiciously-clean aggregator dataset to a peer-reviewed, time-stamped, realistically imbalanced dataset that the early-warning research community has used for two decades.</w:t>
      </w:r>
    </w:p>
    <w:p>
      <w:pPr>
        <w:keepNext/>
        <w:spacing w:before="200" w:after="80"/>
        <w:jc w:val="left"/>
      </w:pPr>
      <w:r>
        <w:rPr>
          <w:rFonts w:ascii="Times New Roman" w:hAnsi="Times New Roman"/>
          <w:b/>
          <w:sz w:val="24"/>
        </w:rPr>
        <w:t>3.3 Schema</w:t>
      </w:r>
    </w:p>
    <w:p>
      <w:pPr>
        <w:spacing w:lineRule="auto" w:line="276" w:after="120"/>
        <w:jc w:val="both"/>
      </w:pPr>
      <w:r>
        <w:rPr>
          <w:rFonts w:ascii="Times New Roman" w:hAnsi="Times New Roman"/>
          <w:sz w:val="24"/>
        </w:rPr>
        <w:t>The two raw CSV files share a thirty-three-column schema. We group these columns into four semantic layers, summarised in Table 1.</w:t>
      </w:r>
    </w:p>
    <w:p>
      <w:pPr>
        <w:spacing w:lineRule="auto" w:line="276" w:after="120"/>
        <w:jc w:val="both"/>
      </w:pPr>
      <w:r>
        <w:rPr>
          <w:rFonts w:ascii="Times New Roman" w:hAnsi="Times New Roman"/>
          <w:b/>
          <w:sz w:val="24"/>
        </w:rPr>
        <w:t>Table 1 — Schema layers</w:t>
      </w:r>
    </w:p>
    <w:tbl>
      <w:tblPr>
        <w:tblW w:type="auto" w:w="0"/>
        <w:tblLayout w:type="autofit"/>
        <w:tblLook w:firstColumn="1" w:firstRow="1" w:lastColumn="0" w:lastRow="0" w:noHBand="0" w:noVBand="1" w:val="04A0"/>
      </w:tblPr>
      <w:tblGrid>
        <w:gridCol w:w="3120"/>
        <w:gridCol w:w="3120"/>
        <w:gridCol w:w="3120"/>
      </w:tblGrid>
      <w:tr>
        <w:tc>
          <w:tcPr>
            <w:tcW w:type="dxa" w:w="312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Layer</w:t>
            </w:r>
          </w:p>
        </w:tc>
        <w:tc>
          <w:tcPr>
            <w:tcW w:type="dxa" w:w="312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Variables</w:t>
            </w:r>
          </w:p>
        </w:tc>
        <w:tc>
          <w:tcPr>
            <w:tcW w:type="dxa" w:w="312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Role in the use case</w:t>
            </w:r>
          </w:p>
        </w:tc>
      </w:tr>
      <w:tr>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Static context</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school, sex, age, address, famsize, pstatus, mother_edu, father_edu, mother_job, father_job, reason, guardian, traveltime</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Background and segmentation — rarely actionable</w:t>
            </w:r>
          </w:p>
        </w:tc>
      </w:tr>
      <w:tr>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Lifestyle</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studytime, failures, schoolsup, famsup, paid, activities, nursery, higher, internet, romantic, famrel, freetime, goout, alcohol_weekday, alcohol_weekend, health, absences</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Actionable levers — what a teacher can coach</w:t>
            </w:r>
          </w:p>
        </w:tc>
      </w:tr>
      <w:tr>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Academic progress</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grade_mid1 (G1), grade_mid2 (G2)</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Strongest pre-final predictors</w:t>
            </w:r>
          </w:p>
        </w:tc>
      </w:tr>
      <w:tr>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Outcome (target)</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grade_final (G3), at_risk (derived)</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Ground truth</w:t>
            </w:r>
          </w:p>
        </w:tc>
      </w:tr>
    </w:tbl>
    <w:p>
      <w:pPr>
        <w:spacing w:after="120"/>
      </w:pPr>
    </w:p>
    <w:p>
      <w:pPr>
        <w:spacing w:lineRule="auto" w:line="276" w:after="120"/>
        <w:jc w:val="both"/>
      </w:pPr>
      <w:r>
        <w:rPr>
          <w:rFonts w:ascii="Times New Roman" w:hAnsi="Times New Roman"/>
          <w:sz w:val="24"/>
        </w:rPr>
        <w:t xml:space="preserve">After preprocessing we add two further engineered columns: </w:t>
      </w:r>
      <w:r>
        <w:rPr>
          <w:rFonts w:ascii="Consolas" w:hAnsi="Consolas"/>
          <w:sz w:val="20"/>
        </w:rPr>
        <w:t>subject</w:t>
      </w:r>
      <w:r>
        <w:rPr>
          <w:rFonts w:ascii="Times New Roman" w:hAnsi="Times New Roman"/>
          <w:sz w:val="24"/>
        </w:rPr>
        <w:t xml:space="preserve"> (whether the row came from the Math or Portuguese file) and </w:t>
      </w:r>
      <w:r>
        <w:rPr>
          <w:rFonts w:ascii="Consolas" w:hAnsi="Consolas"/>
          <w:sz w:val="20"/>
        </w:rPr>
        <w:t>cluster</w:t>
      </w:r>
      <w:r>
        <w:rPr>
          <w:rFonts w:ascii="Times New Roman" w:hAnsi="Times New Roman"/>
          <w:sz w:val="24"/>
        </w:rPr>
        <w:t xml:space="preserve"> (the K-Means assignment described in §4.3).</w:t>
      </w:r>
    </w:p>
    <w:p>
      <w:pPr>
        <w:keepNext/>
        <w:spacing w:before="200" w:after="80"/>
        <w:jc w:val="left"/>
      </w:pPr>
      <w:r>
        <w:rPr>
          <w:rFonts w:ascii="Times New Roman" w:hAnsi="Times New Roman"/>
          <w:b/>
          <w:sz w:val="24"/>
        </w:rPr>
        <w:t>3.4 Preprocessing pipeline</w:t>
      </w:r>
    </w:p>
    <w:p>
      <w:pPr>
        <w:spacing w:lineRule="auto" w:line="276" w:after="120"/>
        <w:jc w:val="both"/>
      </w:pPr>
      <w:r>
        <w:rPr>
          <w:rFonts w:ascii="Times New Roman" w:hAnsi="Times New Roman"/>
          <w:sz w:val="24"/>
        </w:rPr>
        <w:t xml:space="preserve">All preprocessing is implemented in </w:t>
      </w:r>
      <w:r>
        <w:rPr>
          <w:rFonts w:ascii="Consolas" w:hAnsi="Consolas"/>
          <w:sz w:val="20"/>
        </w:rPr>
        <w:t>analysis/analyze.py</w:t>
      </w:r>
      <w:r>
        <w:rPr>
          <w:rFonts w:ascii="Times New Roman" w:hAnsi="Times New Roman"/>
          <w:sz w:val="24"/>
        </w:rPr>
        <w:t>. The pipeline executes the following ordered steps:</w:t>
      </w:r>
    </w:p>
    <w:p>
      <w:pPr>
        <w:pStyle w:val="ListNumber"/>
        <w:spacing w:lineRule="auto" w:line="276" w:after="40"/>
      </w:pPr>
      <w:r>
        <w:rPr>
          <w:rFonts w:ascii="Times New Roman" w:hAnsi="Times New Roman"/>
          <w:b/>
          <w:sz w:val="24"/>
        </w:rPr>
        <w:t>Load</w:t>
      </w:r>
      <w:r>
        <w:rPr>
          <w:rFonts w:ascii="Times New Roman" w:hAnsi="Times New Roman"/>
          <w:sz w:val="24"/>
        </w:rPr>
        <w:t xml:space="preserve"> the two raw CSVs from </w:t>
      </w:r>
      <w:r>
        <w:rPr>
          <w:rFonts w:ascii="Consolas" w:hAnsi="Consolas"/>
          <w:sz w:val="20"/>
        </w:rPr>
        <w:t>data/raw/</w:t>
      </w:r>
      <w:r>
        <w:rPr>
          <w:rFonts w:ascii="Times New Roman" w:hAnsi="Times New Roman"/>
          <w:sz w:val="24"/>
        </w:rPr>
        <w:t>, both semicolon-delimited with header rows.</w:t>
      </w:r>
    </w:p>
    <w:p>
      <w:pPr>
        <w:pStyle w:val="ListNumber"/>
        <w:spacing w:lineRule="auto" w:line="276" w:after="40"/>
      </w:pPr>
      <w:r>
        <w:rPr>
          <w:rFonts w:ascii="Times New Roman" w:hAnsi="Times New Roman"/>
          <w:b/>
          <w:sz w:val="24"/>
        </w:rPr>
        <w:t>Add a `subject` column</w:t>
      </w:r>
      <w:r>
        <w:rPr>
          <w:rFonts w:ascii="Times New Roman" w:hAnsi="Times New Roman"/>
          <w:sz w:val="24"/>
        </w:rPr>
        <w:t xml:space="preserve"> to each file (</w:t>
      </w:r>
      <w:r>
        <w:rPr>
          <w:rFonts w:ascii="Consolas" w:hAnsi="Consolas"/>
          <w:sz w:val="20"/>
        </w:rPr>
        <w:t>"math"</w:t>
      </w:r>
      <w:r>
        <w:rPr>
          <w:rFonts w:ascii="Times New Roman" w:hAnsi="Times New Roman"/>
          <w:sz w:val="24"/>
        </w:rPr>
        <w:t xml:space="preserve"> and </w:t>
      </w:r>
      <w:r>
        <w:rPr>
          <w:rFonts w:ascii="Consolas" w:hAnsi="Consolas"/>
          <w:sz w:val="20"/>
        </w:rPr>
        <w:t>"portuguese"</w:t>
      </w:r>
      <w:r>
        <w:rPr>
          <w:rFonts w:ascii="Times New Roman" w:hAnsi="Times New Roman"/>
          <w:sz w:val="24"/>
        </w:rPr>
        <w:t xml:space="preserve">) and concatenate vertically, yielding </w:t>
      </w:r>
      <w:r>
        <w:rPr>
          <w:rFonts w:ascii="Consolas" w:hAnsi="Consolas"/>
          <w:sz w:val="20"/>
        </w:rPr>
        <w:t>n = 1,044</w:t>
      </w:r>
      <w:r>
        <w:rPr>
          <w:rFonts w:ascii="Times New Roman" w:hAnsi="Times New Roman"/>
          <w:sz w:val="24"/>
        </w:rPr>
        <w:t xml:space="preserve"> rows.</w:t>
      </w:r>
    </w:p>
    <w:p>
      <w:pPr>
        <w:pStyle w:val="ListNumber"/>
        <w:spacing w:lineRule="auto" w:line="276" w:after="40"/>
      </w:pPr>
      <w:r>
        <w:rPr>
          <w:rFonts w:ascii="Times New Roman" w:hAnsi="Times New Roman"/>
          <w:b/>
          <w:sz w:val="24"/>
        </w:rPr>
        <w:t>Standardise column names</w:t>
      </w:r>
      <w:r>
        <w:rPr>
          <w:rFonts w:ascii="Times New Roman" w:hAnsi="Times New Roman"/>
          <w:sz w:val="24"/>
        </w:rPr>
        <w:t xml:space="preserve"> to lower-case snake_case (</w:t>
      </w:r>
      <w:r>
        <w:rPr>
          <w:rFonts w:ascii="Consolas" w:hAnsi="Consolas"/>
          <w:sz w:val="20"/>
        </w:rPr>
        <w:t>Medu → mother_edu</w:t>
      </w:r>
      <w:r>
        <w:rPr>
          <w:rFonts w:ascii="Times New Roman" w:hAnsi="Times New Roman"/>
          <w:sz w:val="24"/>
        </w:rPr>
        <w:t xml:space="preserve">, </w:t>
      </w:r>
      <w:r>
        <w:rPr>
          <w:rFonts w:ascii="Consolas" w:hAnsi="Consolas"/>
          <w:sz w:val="20"/>
        </w:rPr>
        <w:t>Fedu → father_edu</w:t>
      </w:r>
      <w:r>
        <w:rPr>
          <w:rFonts w:ascii="Times New Roman" w:hAnsi="Times New Roman"/>
          <w:sz w:val="24"/>
        </w:rPr>
        <w:t xml:space="preserve">, </w:t>
      </w:r>
      <w:r>
        <w:rPr>
          <w:rFonts w:ascii="Consolas" w:hAnsi="Consolas"/>
          <w:sz w:val="20"/>
        </w:rPr>
        <w:t>Mjob → mother_job</w:t>
      </w:r>
      <w:r>
        <w:rPr>
          <w:rFonts w:ascii="Times New Roman" w:hAnsi="Times New Roman"/>
          <w:sz w:val="24"/>
        </w:rPr>
        <w:t xml:space="preserve">, </w:t>
      </w:r>
      <w:r>
        <w:rPr>
          <w:rFonts w:ascii="Consolas" w:hAnsi="Consolas"/>
          <w:sz w:val="20"/>
        </w:rPr>
        <w:t>Dalc → alcohol_weekday</w:t>
      </w:r>
      <w:r>
        <w:rPr>
          <w:rFonts w:ascii="Times New Roman" w:hAnsi="Times New Roman"/>
          <w:sz w:val="24"/>
        </w:rPr>
        <w:t xml:space="preserve">, </w:t>
      </w:r>
      <w:r>
        <w:rPr>
          <w:rFonts w:ascii="Consolas" w:hAnsi="Consolas"/>
          <w:sz w:val="20"/>
        </w:rPr>
        <w:t>Walc → alcohol_weekend</w:t>
      </w:r>
      <w:r>
        <w:rPr>
          <w:rFonts w:ascii="Times New Roman" w:hAnsi="Times New Roman"/>
          <w:sz w:val="24"/>
        </w:rPr>
        <w:t xml:space="preserve">, </w:t>
      </w:r>
      <w:r>
        <w:rPr>
          <w:rFonts w:ascii="Consolas" w:hAnsi="Consolas"/>
          <w:sz w:val="20"/>
        </w:rPr>
        <w:t>G1 → grade_mid1</w:t>
      </w:r>
      <w:r>
        <w:rPr>
          <w:rFonts w:ascii="Times New Roman" w:hAnsi="Times New Roman"/>
          <w:sz w:val="24"/>
        </w:rPr>
        <w:t xml:space="preserve">, </w:t>
      </w:r>
      <w:r>
        <w:rPr>
          <w:rFonts w:ascii="Consolas" w:hAnsi="Consolas"/>
          <w:sz w:val="20"/>
        </w:rPr>
        <w:t>G2 → grade_mid2</w:t>
      </w:r>
      <w:r>
        <w:rPr>
          <w:rFonts w:ascii="Times New Roman" w:hAnsi="Times New Roman"/>
          <w:sz w:val="24"/>
        </w:rPr>
        <w:t xml:space="preserve">, </w:t>
      </w:r>
      <w:r>
        <w:rPr>
          <w:rFonts w:ascii="Consolas" w:hAnsi="Consolas"/>
          <w:sz w:val="20"/>
        </w:rPr>
        <w:t>G3 → grade_final</w:t>
      </w:r>
      <w:r>
        <w:rPr>
          <w:rFonts w:ascii="Times New Roman" w:hAnsi="Times New Roman"/>
          <w:sz w:val="24"/>
        </w:rPr>
        <w:t>).</w:t>
      </w:r>
    </w:p>
    <w:p>
      <w:pPr>
        <w:pStyle w:val="ListNumber"/>
        <w:spacing w:lineRule="auto" w:line="276" w:after="40"/>
      </w:pPr>
      <w:r>
        <w:rPr>
          <w:rFonts w:ascii="Times New Roman" w:hAnsi="Times New Roman"/>
          <w:b/>
          <w:sz w:val="24"/>
        </w:rPr>
        <w:t>Encode binary categorical features</w:t>
      </w:r>
      <w:r>
        <w:rPr>
          <w:rFonts w:ascii="Times New Roman" w:hAnsi="Times New Roman"/>
          <w:sz w:val="24"/>
        </w:rPr>
        <w:t xml:space="preserve"> that take </w:t>
      </w:r>
      <w:r>
        <w:rPr>
          <w:rFonts w:ascii="Consolas" w:hAnsi="Consolas"/>
          <w:sz w:val="20"/>
        </w:rPr>
        <w:t>yes</w:t>
      </w:r>
      <w:r>
        <w:rPr>
          <w:rFonts w:ascii="Times New Roman" w:hAnsi="Times New Roman"/>
          <w:sz w:val="24"/>
        </w:rPr>
        <w:t>/</w:t>
      </w:r>
      <w:r>
        <w:rPr>
          <w:rFonts w:ascii="Consolas" w:hAnsi="Consolas"/>
          <w:sz w:val="20"/>
        </w:rPr>
        <w:t>no</w:t>
      </w:r>
      <w:r>
        <w:rPr>
          <w:rFonts w:ascii="Times New Roman" w:hAnsi="Times New Roman"/>
          <w:sz w:val="24"/>
        </w:rPr>
        <w:t xml:space="preserve"> values (schoolsup, famsup, paid, activities, nursery, higher, internet, romantic) as numeric 1/0.</w:t>
      </w:r>
    </w:p>
    <w:p>
      <w:pPr>
        <w:pStyle w:val="ListNumber"/>
        <w:spacing w:lineRule="auto" w:line="276" w:after="40"/>
      </w:pPr>
      <w:r>
        <w:rPr>
          <w:rFonts w:ascii="Times New Roman" w:hAnsi="Times New Roman"/>
          <w:b/>
          <w:sz w:val="24"/>
        </w:rPr>
        <w:t>Construct the binary target</w:t>
      </w:r>
      <w:r>
        <w:rPr>
          <w:rFonts w:ascii="Times New Roman" w:hAnsi="Times New Roman"/>
          <w:sz w:val="24"/>
        </w:rPr>
        <w:t xml:space="preserve"> </w:t>
      </w:r>
      <w:r>
        <w:rPr>
          <w:rFonts w:ascii="Consolas" w:hAnsi="Consolas"/>
          <w:sz w:val="20"/>
        </w:rPr>
        <w:t>at_risk = 1 if grade_final &lt; 10 else 0</w:t>
      </w:r>
      <w:r>
        <w:rPr>
          <w:rFonts w:ascii="Times New Roman" w:hAnsi="Times New Roman"/>
          <w:sz w:val="24"/>
        </w:rPr>
        <w:t>. The threshold matches the Portuguese pass requirement.</w:t>
      </w:r>
    </w:p>
    <w:p>
      <w:pPr>
        <w:pStyle w:val="ListNumber"/>
        <w:spacing w:lineRule="auto" w:line="276" w:after="40"/>
      </w:pPr>
      <w:r>
        <w:rPr>
          <w:rFonts w:ascii="Times New Roman" w:hAnsi="Times New Roman"/>
          <w:b/>
          <w:sz w:val="24"/>
        </w:rPr>
        <w:t>Persist</w:t>
      </w:r>
      <w:r>
        <w:rPr>
          <w:rFonts w:ascii="Times New Roman" w:hAnsi="Times New Roman"/>
          <w:sz w:val="24"/>
        </w:rPr>
        <w:t xml:space="preserve"> the cleaned dataset to </w:t>
      </w:r>
      <w:r>
        <w:rPr>
          <w:rFonts w:ascii="Consolas" w:hAnsi="Consolas"/>
          <w:sz w:val="20"/>
        </w:rPr>
        <w:t>data/processed/clean_students.csv</w:t>
      </w:r>
      <w:r>
        <w:rPr>
          <w:rFonts w:ascii="Times New Roman" w:hAnsi="Times New Roman"/>
          <w:sz w:val="24"/>
        </w:rPr>
        <w:t xml:space="preserve"> and copy it to </w:t>
      </w:r>
      <w:r>
        <w:rPr>
          <w:rFonts w:ascii="Consolas" w:hAnsi="Consolas"/>
          <w:sz w:val="20"/>
        </w:rPr>
        <w:t>web/data/clean_students.csv</w:t>
      </w:r>
      <w:r>
        <w:rPr>
          <w:rFonts w:ascii="Times New Roman" w:hAnsi="Times New Roman"/>
          <w:sz w:val="24"/>
        </w:rPr>
        <w:t xml:space="preserve"> so the dashboard front-end can fetch it directly.</w:t>
      </w:r>
    </w:p>
    <w:p>
      <w:pPr>
        <w:spacing w:lineRule="auto" w:line="276" w:after="120"/>
        <w:jc w:val="both"/>
      </w:pPr>
      <w:r>
        <w:rPr>
          <w:rFonts w:ascii="Times New Roman" w:hAnsi="Times New Roman"/>
          <w:sz w:val="24"/>
        </w:rPr>
        <w:t xml:space="preserve">The pipeline is deterministic — all random operations (K-Means initialisation, train-test split, Random Forest seeding) use the fixed seed </w:t>
      </w:r>
      <w:r>
        <w:rPr>
          <w:rFonts w:ascii="Consolas" w:hAnsi="Consolas"/>
          <w:sz w:val="20"/>
        </w:rPr>
        <w:t>random_state = 42</w:t>
      </w:r>
      <w:r>
        <w:rPr>
          <w:rFonts w:ascii="Times New Roman" w:hAnsi="Times New Roman"/>
          <w:sz w:val="24"/>
        </w:rPr>
        <w:t>.</w:t>
      </w:r>
    </w:p>
    <w:p>
      <w:pPr>
        <w:keepNext/>
        <w:spacing w:before="200" w:after="80"/>
        <w:jc w:val="left"/>
      </w:pPr>
      <w:r>
        <w:rPr>
          <w:rFonts w:ascii="Times New Roman" w:hAnsi="Times New Roman"/>
          <w:b/>
          <w:sz w:val="24"/>
        </w:rPr>
        <w:t>3.5 Descriptive statistics</w:t>
      </w:r>
    </w:p>
    <w:p>
      <w:pPr>
        <w:spacing w:lineRule="auto" w:line="276" w:after="120"/>
        <w:jc w:val="both"/>
      </w:pPr>
      <w:r>
        <w:rPr>
          <w:rFonts w:ascii="Times New Roman" w:hAnsi="Times New Roman"/>
          <w:sz w:val="24"/>
        </w:rPr>
        <w:t xml:space="preserve">After preprocessing the cleaned dataset contains 1,044 rows and 35 columns (the 33 source attributes, plus </w:t>
      </w:r>
      <w:r>
        <w:rPr>
          <w:rFonts w:ascii="Consolas" w:hAnsi="Consolas"/>
          <w:sz w:val="20"/>
        </w:rPr>
        <w:t>subject</w:t>
      </w:r>
      <w:r>
        <w:rPr>
          <w:rFonts w:ascii="Times New Roman" w:hAnsi="Times New Roman"/>
          <w:sz w:val="24"/>
        </w:rPr>
        <w:t xml:space="preserve"> and </w:t>
      </w:r>
      <w:r>
        <w:rPr>
          <w:rFonts w:ascii="Consolas" w:hAnsi="Consolas"/>
          <w:sz w:val="20"/>
        </w:rPr>
        <w:t>at_risk</w:t>
      </w:r>
      <w:r>
        <w:rPr>
          <w:rFonts w:ascii="Times New Roman" w:hAnsi="Times New Roman"/>
          <w:sz w:val="24"/>
        </w:rPr>
        <w:t xml:space="preserve">, with </w:t>
      </w:r>
      <w:r>
        <w:rPr>
          <w:rFonts w:ascii="Consolas" w:hAnsi="Consolas"/>
          <w:sz w:val="20"/>
        </w:rPr>
        <w:t>cluster</w:t>
      </w:r>
      <w:r>
        <w:rPr>
          <w:rFonts w:ascii="Times New Roman" w:hAnsi="Times New Roman"/>
          <w:sz w:val="24"/>
        </w:rPr>
        <w:t xml:space="preserve"> added later in §4.3). Key descriptive properties:</w:t>
      </w:r>
    </w:p>
    <w:p>
      <w:pPr>
        <w:pStyle w:val="ListBullet"/>
        <w:spacing w:lineRule="auto" w:line="276" w:after="40"/>
      </w:pPr>
      <w:r>
        <w:rPr>
          <w:rFonts w:ascii="Times New Roman" w:hAnsi="Times New Roman"/>
          <w:b/>
          <w:sz w:val="24"/>
        </w:rPr>
        <w:t>Class imbalance.</w:t>
      </w:r>
      <w:r>
        <w:rPr>
          <w:rFonts w:ascii="Times New Roman" w:hAnsi="Times New Roman"/>
          <w:sz w:val="24"/>
        </w:rPr>
        <w:t xml:space="preserve"> 230 students (22.0%) are at-risk; 814 (78.0%) pass. This 1 : 3.5 imbalance is moderate but operationally meaningful.</w:t>
      </w:r>
    </w:p>
    <w:p>
      <w:pPr>
        <w:pStyle w:val="ListBullet"/>
        <w:spacing w:lineRule="auto" w:line="276" w:after="40"/>
      </w:pPr>
      <w:r>
        <w:rPr>
          <w:rFonts w:ascii="Times New Roman" w:hAnsi="Times New Roman"/>
          <w:b/>
          <w:sz w:val="24"/>
        </w:rPr>
        <w:t>Grade distribution.</w:t>
      </w:r>
      <w:r>
        <w:rPr>
          <w:rFonts w:ascii="Times New Roman" w:hAnsi="Times New Roman"/>
          <w:sz w:val="24"/>
        </w:rPr>
        <w:t xml:space="preserve"> G3 is bimodal: a primary Gaussian-like mode centred near eleven, plus a secondary mode at G3 = 0 corresponding to 53 students (5.1%) who withdrew before the final exam. The mean and median of G3 are misleadingly close to the pass threshold; the bimodality is only visible in a histogram or kernel-density overlay.</w:t>
      </w:r>
    </w:p>
    <w:p>
      <w:pPr>
        <w:pStyle w:val="ListBullet"/>
        <w:spacing w:lineRule="auto" w:line="276" w:after="40"/>
      </w:pPr>
      <w:r>
        <w:rPr>
          <w:rFonts w:ascii="Times New Roman" w:hAnsi="Times New Roman"/>
          <w:b/>
          <w:sz w:val="24"/>
        </w:rPr>
        <w:t>Subject split.</w:t>
      </w:r>
      <w:r>
        <w:rPr>
          <w:rFonts w:ascii="Times New Roman" w:hAnsi="Times New Roman"/>
          <w:sz w:val="24"/>
        </w:rPr>
        <w:t xml:space="preserve"> Mathematics: 395 students; Portuguese: 649. The Portuguese cohort is larger and has a different pass rate, which motivates the </w:t>
      </w:r>
      <w:r>
        <w:rPr>
          <w:rFonts w:ascii="Times New Roman" w:hAnsi="Times New Roman"/>
          <w:i/>
          <w:sz w:val="24"/>
        </w:rPr>
        <w:t>Subject</w:t>
      </w:r>
      <w:r>
        <w:rPr>
          <w:rFonts w:ascii="Times New Roman" w:hAnsi="Times New Roman"/>
          <w:sz w:val="24"/>
        </w:rPr>
        <w:t xml:space="preserve"> toggle in the dashboard.</w:t>
      </w:r>
    </w:p>
    <w:p>
      <w:pPr>
        <w:pStyle w:val="ListBullet"/>
        <w:spacing w:lineRule="auto" w:line="276" w:after="40"/>
      </w:pPr>
      <w:r>
        <w:rPr>
          <w:rFonts w:ascii="Times New Roman" w:hAnsi="Times New Roman"/>
          <w:b/>
          <w:sz w:val="24"/>
        </w:rPr>
        <w:t>Missing values.</w:t>
      </w:r>
      <w:r>
        <w:rPr>
          <w:rFonts w:ascii="Times New Roman" w:hAnsi="Times New Roman"/>
          <w:sz w:val="24"/>
        </w:rPr>
        <w:t xml:space="preserve"> None in the cleaned dataset — the source UCI files are fully populated.</w:t>
      </w:r>
    </w:p>
    <w:p>
      <w:pPr>
        <w:pBdr>
          <w:bottom w:val="single" w:sz="6" w:space="1" w:color="BFBFBF"/>
        </w:pBdr>
      </w:pPr>
    </w:p>
    <w:p>
      <w:pPr>
        <w:keepNext/>
        <w:spacing w:before="280" w:after="120"/>
        <w:jc w:val="left"/>
      </w:pPr>
      <w:r>
        <w:rPr>
          <w:rFonts w:ascii="Times New Roman" w:hAnsi="Times New Roman"/>
          <w:b/>
          <w:sz w:val="28"/>
        </w:rPr>
        <w:t>4. Methodology</w:t>
      </w:r>
    </w:p>
    <w:p>
      <w:pPr>
        <w:spacing w:lineRule="auto" w:line="276" w:after="120"/>
        <w:jc w:val="both"/>
      </w:pPr>
      <w:r>
        <w:rPr>
          <w:rFonts w:ascii="Times New Roman" w:hAnsi="Times New Roman"/>
          <w:sz w:val="24"/>
        </w:rPr>
        <w:t>This section describes the analytical methods that produce the numbers visualised in the dashboard. Each method maps onto one or more of the six research questions (Table 2).</w:t>
      </w:r>
    </w:p>
    <w:p>
      <w:pPr>
        <w:spacing w:lineRule="auto" w:line="276" w:after="120"/>
        <w:jc w:val="both"/>
      </w:pPr>
      <w:r>
        <w:rPr>
          <w:rFonts w:ascii="Times New Roman" w:hAnsi="Times New Roman"/>
          <w:b/>
          <w:sz w:val="24"/>
        </w:rPr>
        <w:t>Table 2 — Research questions and methods</w:t>
      </w:r>
    </w:p>
    <w:tbl>
      <w:tblPr>
        <w:tblW w:type="auto" w:w="0"/>
        <w:tblLayout w:type="autofit"/>
        <w:tblLook w:firstColumn="1" w:firstRow="1" w:lastColumn="0" w:lastRow="0" w:noHBand="0" w:noVBand="1" w:val="04A0"/>
      </w:tblPr>
      <w:tblGrid>
        <w:gridCol w:w="2340"/>
        <w:gridCol w:w="2340"/>
        <w:gridCol w:w="2340"/>
        <w:gridCol w:w="2340"/>
      </w:tblGrid>
      <w:tr>
        <w:tc>
          <w:tcPr>
            <w:tcW w:type="dxa" w:w="234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w:t>
            </w:r>
          </w:p>
        </w:tc>
        <w:tc>
          <w:tcPr>
            <w:tcW w:type="dxa" w:w="234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Question</w:t>
            </w:r>
          </w:p>
        </w:tc>
        <w:tc>
          <w:tcPr>
            <w:tcW w:type="dxa" w:w="234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Method</w:t>
            </w:r>
          </w:p>
        </w:tc>
        <w:tc>
          <w:tcPr>
            <w:tcW w:type="dxa" w:w="234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Dashboard card</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RQ1</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Which numeric features correlate most strongly with G3?</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 xml:space="preserve">Pearson </w:t>
            </w:r>
            <w:r>
              <w:rPr>
                <w:rFonts w:ascii="Times New Roman" w:hAnsi="Times New Roman"/>
                <w:i/>
                <w:sz w:val="20"/>
              </w:rPr>
              <w:t>r</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i/>
                <w:sz w:val="20"/>
              </w:rPr>
              <w:t>Key Drivers of Final Grade</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RQ2</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How well does each feature predict G3 at the individual level?</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Scatter + OLS (r, R², slope)</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i/>
                <w:sz w:val="20"/>
              </w:rPr>
              <w:t>Grade Correlation</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RQ3</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Can students be grouped into interpretable behavioural personas?</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K-Means clustering (k = 3) on standardised lifestyle features</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i/>
                <w:sz w:val="20"/>
              </w:rPr>
              <w:t>Student Behavioural Profiles</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RQ4</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Can a model flag at-risk students accurately enough to act on, and which errors matter?</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Random Forest + confusion matrix</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i/>
                <w:sz w:val="20"/>
              </w:rPr>
              <w:t>Dropout Risk Predictor</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RQ5</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How do grades evolve G1 → G2 → G3, and do subgroups diverge?</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Group means ± 1σ bands across periods</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i/>
                <w:sz w:val="20"/>
              </w:rPr>
              <w:t>Period-by-Period Progression</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RQ6</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What structure does the grade distribution reveal?</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Histogram + KDE</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i/>
                <w:sz w:val="20"/>
              </w:rPr>
              <w:t>Grade Distribution</w:t>
            </w:r>
          </w:p>
        </w:tc>
      </w:tr>
    </w:tbl>
    <w:p>
      <w:pPr>
        <w:spacing w:after="120"/>
      </w:pPr>
    </w:p>
    <w:p>
      <w:pPr>
        <w:keepNext/>
        <w:spacing w:before="200" w:after="80"/>
        <w:jc w:val="left"/>
      </w:pPr>
      <w:r>
        <w:rPr>
          <w:rFonts w:ascii="Times New Roman" w:hAnsi="Times New Roman"/>
          <w:b/>
          <w:sz w:val="24"/>
        </w:rPr>
        <w:t>4.1 Pearson correlation (RQ1)</w:t>
      </w:r>
    </w:p>
    <w:p>
      <w:pPr>
        <w:spacing w:lineRule="auto" w:line="276" w:after="120"/>
        <w:jc w:val="both"/>
      </w:pPr>
      <w:r>
        <w:rPr>
          <w:rFonts w:ascii="Times New Roman" w:hAnsi="Times New Roman"/>
          <w:sz w:val="24"/>
        </w:rPr>
        <w:t xml:space="preserve">We compute the Pearson product-moment correlation coefficient between each of fifteen numeric features and the target </w:t>
      </w:r>
      <w:r>
        <w:rPr>
          <w:rFonts w:ascii="Consolas" w:hAnsi="Consolas"/>
          <w:sz w:val="20"/>
        </w:rPr>
        <w:t>grade_final</w:t>
      </w:r>
      <w:r>
        <w:rPr>
          <w:rFonts w:ascii="Times New Roman" w:hAnsi="Times New Roman"/>
          <w:sz w:val="24"/>
        </w:rPr>
        <w:t xml:space="preserve">. The fifteen features are: </w:t>
      </w:r>
      <w:r>
        <w:rPr>
          <w:rFonts w:ascii="Consolas" w:hAnsi="Consolas"/>
          <w:sz w:val="20"/>
        </w:rPr>
        <w:t>grade_mid1</w:t>
      </w:r>
      <w:r>
        <w:rPr>
          <w:rFonts w:ascii="Times New Roman" w:hAnsi="Times New Roman"/>
          <w:sz w:val="24"/>
        </w:rPr>
        <w:t xml:space="preserve">, </w:t>
      </w:r>
      <w:r>
        <w:rPr>
          <w:rFonts w:ascii="Consolas" w:hAnsi="Consolas"/>
          <w:sz w:val="20"/>
        </w:rPr>
        <w:t>grade_mid2</w:t>
      </w:r>
      <w:r>
        <w:rPr>
          <w:rFonts w:ascii="Times New Roman" w:hAnsi="Times New Roman"/>
          <w:sz w:val="24"/>
        </w:rPr>
        <w:t xml:space="preserve">, </w:t>
      </w:r>
      <w:r>
        <w:rPr>
          <w:rFonts w:ascii="Consolas" w:hAnsi="Consolas"/>
          <w:sz w:val="20"/>
        </w:rPr>
        <w:t>absences</w:t>
      </w:r>
      <w:r>
        <w:rPr>
          <w:rFonts w:ascii="Times New Roman" w:hAnsi="Times New Roman"/>
          <w:sz w:val="24"/>
        </w:rPr>
        <w:t xml:space="preserve">, </w:t>
      </w:r>
      <w:r>
        <w:rPr>
          <w:rFonts w:ascii="Consolas" w:hAnsi="Consolas"/>
          <w:sz w:val="20"/>
        </w:rPr>
        <w:t>failures</w:t>
      </w:r>
      <w:r>
        <w:rPr>
          <w:rFonts w:ascii="Times New Roman" w:hAnsi="Times New Roman"/>
          <w:sz w:val="24"/>
        </w:rPr>
        <w:t xml:space="preserve">, </w:t>
      </w:r>
      <w:r>
        <w:rPr>
          <w:rFonts w:ascii="Consolas" w:hAnsi="Consolas"/>
          <w:sz w:val="20"/>
        </w:rPr>
        <w:t>studytime</w:t>
      </w:r>
      <w:r>
        <w:rPr>
          <w:rFonts w:ascii="Times New Roman" w:hAnsi="Times New Roman"/>
          <w:sz w:val="24"/>
        </w:rPr>
        <w:t xml:space="preserve">, </w:t>
      </w:r>
      <w:r>
        <w:rPr>
          <w:rFonts w:ascii="Consolas" w:hAnsi="Consolas"/>
          <w:sz w:val="20"/>
        </w:rPr>
        <w:t>mother_edu</w:t>
      </w:r>
      <w:r>
        <w:rPr>
          <w:rFonts w:ascii="Times New Roman" w:hAnsi="Times New Roman"/>
          <w:sz w:val="24"/>
        </w:rPr>
        <w:t xml:space="preserve">, </w:t>
      </w:r>
      <w:r>
        <w:rPr>
          <w:rFonts w:ascii="Consolas" w:hAnsi="Consolas"/>
          <w:sz w:val="20"/>
        </w:rPr>
        <w:t>father_edu</w:t>
      </w:r>
      <w:r>
        <w:rPr>
          <w:rFonts w:ascii="Times New Roman" w:hAnsi="Times New Roman"/>
          <w:sz w:val="24"/>
        </w:rPr>
        <w:t xml:space="preserve">, </w:t>
      </w:r>
      <w:r>
        <w:rPr>
          <w:rFonts w:ascii="Consolas" w:hAnsi="Consolas"/>
          <w:sz w:val="20"/>
        </w:rPr>
        <w:t>goout</w:t>
      </w:r>
      <w:r>
        <w:rPr>
          <w:rFonts w:ascii="Times New Roman" w:hAnsi="Times New Roman"/>
          <w:sz w:val="24"/>
        </w:rPr>
        <w:t xml:space="preserve">, </w:t>
      </w:r>
      <w:r>
        <w:rPr>
          <w:rFonts w:ascii="Consolas" w:hAnsi="Consolas"/>
          <w:sz w:val="20"/>
        </w:rPr>
        <w:t>alcohol_weekday</w:t>
      </w:r>
      <w:r>
        <w:rPr>
          <w:rFonts w:ascii="Times New Roman" w:hAnsi="Times New Roman"/>
          <w:sz w:val="24"/>
        </w:rPr>
        <w:t xml:space="preserve">, </w:t>
      </w:r>
      <w:r>
        <w:rPr>
          <w:rFonts w:ascii="Consolas" w:hAnsi="Consolas"/>
          <w:sz w:val="20"/>
        </w:rPr>
        <w:t>alcohol_weekend</w:t>
      </w:r>
      <w:r>
        <w:rPr>
          <w:rFonts w:ascii="Times New Roman" w:hAnsi="Times New Roman"/>
          <w:sz w:val="24"/>
        </w:rPr>
        <w:t xml:space="preserve">, </w:t>
      </w:r>
      <w:r>
        <w:rPr>
          <w:rFonts w:ascii="Consolas" w:hAnsi="Consolas"/>
          <w:sz w:val="20"/>
        </w:rPr>
        <w:t>health</w:t>
      </w:r>
      <w:r>
        <w:rPr>
          <w:rFonts w:ascii="Times New Roman" w:hAnsi="Times New Roman"/>
          <w:sz w:val="24"/>
        </w:rPr>
        <w:t xml:space="preserve">, </w:t>
      </w:r>
      <w:r>
        <w:rPr>
          <w:rFonts w:ascii="Consolas" w:hAnsi="Consolas"/>
          <w:sz w:val="20"/>
        </w:rPr>
        <w:t>freetime</w:t>
      </w:r>
      <w:r>
        <w:rPr>
          <w:rFonts w:ascii="Times New Roman" w:hAnsi="Times New Roman"/>
          <w:sz w:val="24"/>
        </w:rPr>
        <w:t xml:space="preserve">, </w:t>
      </w:r>
      <w:r>
        <w:rPr>
          <w:rFonts w:ascii="Consolas" w:hAnsi="Consolas"/>
          <w:sz w:val="20"/>
        </w:rPr>
        <w:t>famrel</w:t>
      </w:r>
      <w:r>
        <w:rPr>
          <w:rFonts w:ascii="Times New Roman" w:hAnsi="Times New Roman"/>
          <w:sz w:val="24"/>
        </w:rPr>
        <w:t xml:space="preserve">, </w:t>
      </w:r>
      <w:r>
        <w:rPr>
          <w:rFonts w:ascii="Consolas" w:hAnsi="Consolas"/>
          <w:sz w:val="20"/>
        </w:rPr>
        <w:t>age</w:t>
      </w:r>
      <w:r>
        <w:rPr>
          <w:rFonts w:ascii="Times New Roman" w:hAnsi="Times New Roman"/>
          <w:sz w:val="24"/>
        </w:rPr>
        <w:t xml:space="preserve">, </w:t>
      </w:r>
      <w:r>
        <w:rPr>
          <w:rFonts w:ascii="Consolas" w:hAnsi="Consolas"/>
          <w:sz w:val="20"/>
        </w:rPr>
        <w:t>traveltime</w:t>
      </w:r>
      <w:r>
        <w:rPr>
          <w:rFonts w:ascii="Times New Roman" w:hAnsi="Times New Roman"/>
          <w:sz w:val="24"/>
        </w:rPr>
        <w:t xml:space="preserve">. All fifteen are reported in Table 3 of §7.1; the </w:t>
      </w:r>
      <w:r>
        <w:rPr>
          <w:rFonts w:ascii="Times New Roman" w:hAnsi="Times New Roman"/>
          <w:i/>
          <w:sz w:val="24"/>
        </w:rPr>
        <w:t>Key Drivers</w:t>
      </w:r>
      <w:r>
        <w:rPr>
          <w:rFonts w:ascii="Times New Roman" w:hAnsi="Times New Roman"/>
          <w:sz w:val="24"/>
        </w:rPr>
        <w:t xml:space="preserve"> card visualises only the </w:t>
      </w:r>
      <w:r>
        <w:rPr>
          <w:rFonts w:ascii="Times New Roman" w:hAnsi="Times New Roman"/>
          <w:b/>
          <w:sz w:val="24"/>
        </w:rPr>
        <w:t>top ten by |r|</w:t>
      </w:r>
      <w:r>
        <w:rPr>
          <w:rFonts w:ascii="Times New Roman" w:hAnsi="Times New Roman"/>
          <w:sz w:val="24"/>
        </w:rPr>
        <w:t xml:space="preserve"> (cutoff |r| ≥ 0.10) — the five weakest correlates (</w:t>
      </w:r>
      <w:r>
        <w:rPr>
          <w:rFonts w:ascii="Consolas" w:hAnsi="Consolas"/>
          <w:sz w:val="20"/>
        </w:rPr>
        <w:t>goout</w:t>
      </w:r>
      <w:r>
        <w:rPr>
          <w:rFonts w:ascii="Times New Roman" w:hAnsi="Times New Roman"/>
          <w:sz w:val="24"/>
        </w:rPr>
        <w:t xml:space="preserve">, </w:t>
      </w:r>
      <w:r>
        <w:rPr>
          <w:rFonts w:ascii="Consolas" w:hAnsi="Consolas"/>
          <w:sz w:val="20"/>
        </w:rPr>
        <w:t>health</w:t>
      </w:r>
      <w:r>
        <w:rPr>
          <w:rFonts w:ascii="Times New Roman" w:hAnsi="Times New Roman"/>
          <w:sz w:val="24"/>
        </w:rPr>
        <w:t xml:space="preserve">, </w:t>
      </w:r>
      <w:r>
        <w:rPr>
          <w:rFonts w:ascii="Consolas" w:hAnsi="Consolas"/>
          <w:sz w:val="20"/>
        </w:rPr>
        <w:t>freetime</w:t>
      </w:r>
      <w:r>
        <w:rPr>
          <w:rFonts w:ascii="Times New Roman" w:hAnsi="Times New Roman"/>
          <w:sz w:val="24"/>
        </w:rPr>
        <w:t xml:space="preserve">, </w:t>
      </w:r>
      <w:r>
        <w:rPr>
          <w:rFonts w:ascii="Consolas" w:hAnsi="Consolas"/>
          <w:sz w:val="20"/>
        </w:rPr>
        <w:t>famrel</w:t>
      </w:r>
      <w:r>
        <w:rPr>
          <w:rFonts w:ascii="Times New Roman" w:hAnsi="Times New Roman"/>
          <w:sz w:val="24"/>
        </w:rPr>
        <w:t xml:space="preserve">, </w:t>
      </w:r>
      <w:r>
        <w:rPr>
          <w:rFonts w:ascii="Consolas" w:hAnsi="Consolas"/>
          <w:sz w:val="20"/>
        </w:rPr>
        <w:t>absences</w:t>
      </w:r>
      <w:r>
        <w:rPr>
          <w:rFonts w:ascii="Times New Roman" w:hAnsi="Times New Roman"/>
          <w:sz w:val="24"/>
        </w:rPr>
        <w:t>, all with |r| &lt; 0.10) are omitted from the lollipop chart for visual clarity but remain in the academic table.</w:t>
      </w:r>
    </w:p>
    <w:p>
      <w:pPr>
        <w:keepNext/>
        <w:spacing w:before="200" w:after="80"/>
        <w:jc w:val="left"/>
      </w:pPr>
      <w:r>
        <w:rPr>
          <w:rFonts w:ascii="Times New Roman" w:hAnsi="Times New Roman"/>
          <w:b/>
          <w:sz w:val="24"/>
        </w:rPr>
        <w:t>4.1.1 Dual-mode importance: Pearson r and Random Forest gini</w:t>
      </w:r>
    </w:p>
    <w:p>
      <w:pPr>
        <w:spacing w:lineRule="auto" w:line="276" w:after="120"/>
        <w:jc w:val="both"/>
      </w:pPr>
      <w:r>
        <w:rPr>
          <w:rFonts w:ascii="Times New Roman" w:hAnsi="Times New Roman"/>
          <w:sz w:val="24"/>
        </w:rPr>
        <w:t xml:space="preserve">Pearson r captures </w:t>
      </w:r>
      <w:r>
        <w:rPr>
          <w:rFonts w:ascii="Times New Roman" w:hAnsi="Times New Roman"/>
          <w:i/>
          <w:sz w:val="24"/>
        </w:rPr>
        <w:t>linear</w:t>
      </w:r>
      <w:r>
        <w:rPr>
          <w:rFonts w:ascii="Times New Roman" w:hAnsi="Times New Roman"/>
          <w:sz w:val="24"/>
        </w:rPr>
        <w:t xml:space="preserve"> association only. To expose the </w:t>
      </w:r>
      <w:r>
        <w:rPr>
          <w:rFonts w:ascii="Times New Roman" w:hAnsi="Times New Roman"/>
          <w:i/>
          <w:sz w:val="24"/>
        </w:rPr>
        <w:t>non-linear</w:t>
      </w:r>
      <w:r>
        <w:rPr>
          <w:rFonts w:ascii="Times New Roman" w:hAnsi="Times New Roman"/>
          <w:sz w:val="24"/>
        </w:rPr>
        <w:t xml:space="preserve"> and </w:t>
      </w:r>
      <w:r>
        <w:rPr>
          <w:rFonts w:ascii="Times New Roman" w:hAnsi="Times New Roman"/>
          <w:i/>
          <w:sz w:val="24"/>
        </w:rPr>
        <w:t>threshold</w:t>
      </w:r>
      <w:r>
        <w:rPr>
          <w:rFonts w:ascii="Times New Roman" w:hAnsi="Times New Roman"/>
          <w:sz w:val="24"/>
        </w:rPr>
        <w:t xml:space="preserve"> effects the linear coefficient understates, the </w:t>
      </w:r>
      <w:r>
        <w:rPr>
          <w:rFonts w:ascii="Times New Roman" w:hAnsi="Times New Roman"/>
          <w:i/>
          <w:sz w:val="24"/>
        </w:rPr>
        <w:t>Key Drivers</w:t>
      </w:r>
      <w:r>
        <w:rPr>
          <w:rFonts w:ascii="Times New Roman" w:hAnsi="Times New Roman"/>
          <w:sz w:val="24"/>
        </w:rPr>
        <w:t xml:space="preserve"> card now toggles between two metrics:</w:t>
      </w:r>
    </w:p>
    <w:p>
      <w:pPr>
        <w:pStyle w:val="ListBullet"/>
        <w:spacing w:lineRule="auto" w:line="276" w:after="40"/>
      </w:pPr>
      <w:r>
        <w:rPr>
          <w:rFonts w:ascii="Times New Roman" w:hAnsi="Times New Roman"/>
          <w:b/>
          <w:sz w:val="24"/>
        </w:rPr>
        <w:t>Pearson r mode</w:t>
      </w:r>
      <w:r>
        <w:rPr>
          <w:rFonts w:ascii="Times New Roman" w:hAnsi="Times New Roman"/>
          <w:sz w:val="24"/>
        </w:rPr>
        <w:t xml:space="preserve"> (default) — green-positive / red-negative lollipops over the top ten numeric features by |r|, as described above.</w:t>
      </w:r>
    </w:p>
    <w:p>
      <w:pPr>
        <w:pStyle w:val="ListBullet"/>
        <w:spacing w:lineRule="auto" w:line="276" w:after="40"/>
      </w:pPr>
      <w:r>
        <w:rPr>
          <w:rFonts w:ascii="Times New Roman" w:hAnsi="Times New Roman"/>
          <w:b/>
          <w:sz w:val="24"/>
        </w:rPr>
        <w:t>Random Forest importance mode</w:t>
      </w:r>
      <w:r>
        <w:rPr>
          <w:rFonts w:ascii="Times New Roman" w:hAnsi="Times New Roman"/>
          <w:sz w:val="24"/>
        </w:rPr>
        <w:t xml:space="preserve"> — single-colour lollipops sorted by </w:t>
      </w:r>
      <w:r>
        <w:rPr>
          <w:rFonts w:ascii="Consolas" w:hAnsi="Consolas"/>
          <w:sz w:val="20"/>
        </w:rPr>
        <w:t>feature_importances_</w:t>
      </w:r>
      <w:r>
        <w:rPr>
          <w:rFonts w:ascii="Times New Roman" w:hAnsi="Times New Roman"/>
          <w:sz w:val="24"/>
        </w:rPr>
        <w:t xml:space="preserve"> (Gini-impurity reduction) from the trained Random Forest of §4.4, normalised to sum to 1 across the RF's thirteen input features; the top ten are shown.</w:t>
      </w:r>
    </w:p>
    <w:p>
      <w:pPr>
        <w:spacing w:lineRule="auto" w:line="276" w:after="120"/>
        <w:jc w:val="both"/>
      </w:pPr>
      <w:r>
        <w:rPr>
          <w:rFonts w:ascii="Times New Roman" w:hAnsi="Times New Roman"/>
          <w:sz w:val="24"/>
        </w:rPr>
        <w:t xml:space="preserve">The two modes agree on the top three drivers (G2, G1, </w:t>
      </w:r>
      <w:r>
        <w:rPr>
          <w:rFonts w:ascii="Consolas" w:hAnsi="Consolas"/>
          <w:sz w:val="20"/>
        </w:rPr>
        <w:t>failures</w:t>
      </w:r>
      <w:r>
        <w:rPr>
          <w:rFonts w:ascii="Times New Roman" w:hAnsi="Times New Roman"/>
          <w:sz w:val="24"/>
        </w:rPr>
        <w:t xml:space="preserve">) but diverge sharply lower down. The most diagnostic example is </w:t>
      </w:r>
      <w:r>
        <w:rPr>
          <w:rFonts w:ascii="Consolas" w:hAnsi="Consolas"/>
          <w:sz w:val="20"/>
        </w:rPr>
        <w:t>absences</w:t>
      </w:r>
      <w:r>
        <w:rPr>
          <w:rFonts w:ascii="Times New Roman" w:hAnsi="Times New Roman"/>
          <w:sz w:val="24"/>
        </w:rPr>
        <w:t xml:space="preserve">: Pearson r = −0.046 (rank 15 of 15, dropped from the lollipop visual at |r| ≥ 0.10) versus RF importance 0.052 (rank 4 of 13). The discrepancy is consistent with a </w:t>
      </w:r>
      <w:r>
        <w:rPr>
          <w:rFonts w:ascii="Times New Roman" w:hAnsi="Times New Roman"/>
          <w:i/>
          <w:sz w:val="24"/>
        </w:rPr>
        <w:t>threshold</w:t>
      </w:r>
      <w:r>
        <w:rPr>
          <w:rFonts w:ascii="Times New Roman" w:hAnsi="Times New Roman"/>
          <w:sz w:val="24"/>
        </w:rPr>
        <w:t xml:space="preserve"> relationship — a student with zero-to-three absences is essentially as likely to pass as the cohort average, but a student with ten or more absences is sharply more at-risk — which a Pearson coefficient averages out to near zero but a tree ensemble captures through repeated splits at the threshold. The dual-mode toggle therefore turns an otherwise hidden statistical phenomenon into a directly inspectable card behaviour.</w:t>
      </w:r>
    </w:p>
    <w:p>
      <w:pPr>
        <w:spacing w:lineRule="auto" w:line="276" w:after="120"/>
        <w:jc w:val="both"/>
      </w:pPr>
      <w:r>
        <w:rPr>
          <w:rFonts w:ascii="Times New Roman" w:hAnsi="Times New Roman"/>
          <w:sz w:val="24"/>
        </w:rPr>
        <w:t xml:space="preserve">Correlations are sorted by absolute value, with sign preserved. The sign carries operational meaning: positive correlation indicates a </w:t>
      </w:r>
      <w:r>
        <w:rPr>
          <w:rFonts w:ascii="Times New Roman" w:hAnsi="Times New Roman"/>
          <w:i/>
          <w:sz w:val="24"/>
        </w:rPr>
        <w:t>protective</w:t>
      </w:r>
      <w:r>
        <w:rPr>
          <w:rFonts w:ascii="Times New Roman" w:hAnsi="Times New Roman"/>
          <w:sz w:val="24"/>
        </w:rPr>
        <w:t xml:space="preserve"> factor (e.g., higher G2 predicts higher G3), negative correlation indicates a </w:t>
      </w:r>
      <w:r>
        <w:rPr>
          <w:rFonts w:ascii="Times New Roman" w:hAnsi="Times New Roman"/>
          <w:i/>
          <w:sz w:val="24"/>
        </w:rPr>
        <w:t>risk</w:t>
      </w:r>
      <w:r>
        <w:rPr>
          <w:rFonts w:ascii="Times New Roman" w:hAnsi="Times New Roman"/>
          <w:sz w:val="24"/>
        </w:rPr>
        <w:t xml:space="preserve"> factor (e.g., more past failures predicts lower G3). Both are rendered distinctly in the dashboard (green and red lollipop stems).</w:t>
      </w:r>
    </w:p>
    <w:p>
      <w:pPr>
        <w:keepNext/>
        <w:spacing w:before="200" w:after="80"/>
        <w:jc w:val="left"/>
      </w:pPr>
      <w:r>
        <w:rPr>
          <w:rFonts w:ascii="Times New Roman" w:hAnsi="Times New Roman"/>
          <w:b/>
          <w:sz w:val="24"/>
        </w:rPr>
        <w:t>4.2 Bivariate regression visualisation (RQ2)</w:t>
      </w:r>
    </w:p>
    <w:p>
      <w:pPr>
        <w:spacing w:lineRule="auto" w:line="276" w:after="120"/>
        <w:jc w:val="both"/>
      </w:pPr>
      <w:r>
        <w:rPr>
          <w:rFonts w:ascii="Times New Roman" w:hAnsi="Times New Roman"/>
          <w:sz w:val="24"/>
        </w:rPr>
        <w:t>For each chosen feature we plot G3 against that feature as a two-dimensional scatter. Two practical issues require deliberate handling.</w:t>
      </w:r>
    </w:p>
    <w:p>
      <w:pPr>
        <w:spacing w:lineRule="auto" w:line="276" w:after="120"/>
        <w:jc w:val="both"/>
      </w:pPr>
      <w:r>
        <w:rPr>
          <w:rFonts w:ascii="Times New Roman" w:hAnsi="Times New Roman"/>
          <w:b/>
          <w:sz w:val="24"/>
        </w:rPr>
        <w:t>Integer grades and overplotting.</w:t>
      </w:r>
      <w:r>
        <w:rPr>
          <w:rFonts w:ascii="Times New Roman" w:hAnsi="Times New Roman"/>
          <w:sz w:val="24"/>
        </w:rPr>
        <w:t xml:space="preserve"> Both axes are commonly integer-valued (G3 is 0–20 integer; many features such as </w:t>
      </w:r>
      <w:r>
        <w:rPr>
          <w:rFonts w:ascii="Consolas" w:hAnsi="Consolas"/>
          <w:sz w:val="20"/>
        </w:rPr>
        <w:t>failures</w:t>
      </w:r>
      <w:r>
        <w:rPr>
          <w:rFonts w:ascii="Times New Roman" w:hAnsi="Times New Roman"/>
          <w:sz w:val="24"/>
        </w:rPr>
        <w:t xml:space="preserve">, </w:t>
      </w:r>
      <w:r>
        <w:rPr>
          <w:rFonts w:ascii="Consolas" w:hAnsi="Consolas"/>
          <w:sz w:val="20"/>
        </w:rPr>
        <w:t>studytime</w:t>
      </w:r>
      <w:r>
        <w:rPr>
          <w:rFonts w:ascii="Times New Roman" w:hAnsi="Times New Roman"/>
          <w:sz w:val="24"/>
        </w:rPr>
        <w:t xml:space="preserve">, </w:t>
      </w:r>
      <w:r>
        <w:rPr>
          <w:rFonts w:ascii="Consolas" w:hAnsi="Consolas"/>
          <w:sz w:val="20"/>
        </w:rPr>
        <w:t>goout</w:t>
      </w:r>
      <w:r>
        <w:rPr>
          <w:rFonts w:ascii="Times New Roman" w:hAnsi="Times New Roman"/>
          <w:sz w:val="24"/>
        </w:rPr>
        <w:t xml:space="preserve"> are 0–4 or 1–5 ordinals). Without jitter, hundreds of students collapse onto identical pixel coordinates, hiding density. We therefore add Gaussian jitter with σ = 0.35, generated from a seeded linear-congruential generator (</w:t>
      </w:r>
      <w:r>
        <w:rPr>
          <w:rFonts w:ascii="Consolas" w:hAnsi="Consolas"/>
          <w:sz w:val="20"/>
        </w:rPr>
        <w:t>d3.randomLcg(0.42)</w:t>
      </w:r>
      <w:r>
        <w:rPr>
          <w:rFonts w:ascii="Times New Roman" w:hAnsi="Times New Roman"/>
          <w:sz w:val="24"/>
        </w:rPr>
        <w:t>) so identical filter state always produces identical jitter — the chart never visually flickers between redraws.</w:t>
      </w:r>
    </w:p>
    <w:p>
      <w:pPr>
        <w:spacing w:lineRule="auto" w:line="276" w:after="120"/>
        <w:jc w:val="both"/>
      </w:pPr>
      <w:r>
        <w:rPr>
          <w:rFonts w:ascii="Times New Roman" w:hAnsi="Times New Roman"/>
          <w:b/>
          <w:sz w:val="24"/>
        </w:rPr>
        <w:t>Ordinary least squares.</w:t>
      </w:r>
      <w:r>
        <w:rPr>
          <w:rFonts w:ascii="Times New Roman" w:hAnsi="Times New Roman"/>
          <w:sz w:val="24"/>
        </w:rPr>
        <w:t xml:space="preserve"> We fit a simple OLS regression line on the visible (filtered) data using the closed-form solution for slope and intercept. The header reports r, R², and the slope, so the reader can see both the strength and the rate of the relationship. The pass threshold is drawn at G3 = 10 as a horizontal reference line.</w:t>
      </w:r>
    </w:p>
    <w:p>
      <w:pPr>
        <w:keepNext/>
        <w:spacing w:before="200" w:after="80"/>
        <w:jc w:val="left"/>
      </w:pPr>
      <w:r>
        <w:rPr>
          <w:rFonts w:ascii="Times New Roman" w:hAnsi="Times New Roman"/>
          <w:b/>
          <w:sz w:val="24"/>
        </w:rPr>
        <w:t>4.3 K-Means clustering (RQ3)</w:t>
      </w:r>
    </w:p>
    <w:p>
      <w:pPr>
        <w:spacing w:lineRule="auto" w:line="276" w:after="120"/>
        <w:jc w:val="both"/>
      </w:pPr>
      <w:r>
        <w:rPr>
          <w:rFonts w:ascii="Times New Roman" w:hAnsi="Times New Roman"/>
          <w:sz w:val="24"/>
        </w:rPr>
        <w:t>We segment students into behavioural personas using K-Means clustering. Three design choices are critical.</w:t>
      </w:r>
    </w:p>
    <w:p>
      <w:pPr>
        <w:spacing w:lineRule="auto" w:line="276" w:after="120"/>
        <w:jc w:val="both"/>
      </w:pPr>
      <w:r>
        <w:rPr>
          <w:rFonts w:ascii="Times New Roman" w:hAnsi="Times New Roman"/>
          <w:b/>
          <w:sz w:val="24"/>
        </w:rPr>
        <w:t>Feature selection.</w:t>
      </w:r>
      <w:r>
        <w:rPr>
          <w:rFonts w:ascii="Times New Roman" w:hAnsi="Times New Roman"/>
          <w:sz w:val="24"/>
        </w:rPr>
        <w:t xml:space="preserve"> We cluster on four standardised lifestyle features: </w:t>
      </w:r>
      <w:r>
        <w:rPr>
          <w:rFonts w:ascii="Consolas" w:hAnsi="Consolas"/>
          <w:sz w:val="20"/>
        </w:rPr>
        <w:t>studytime</w:t>
      </w:r>
      <w:r>
        <w:rPr>
          <w:rFonts w:ascii="Times New Roman" w:hAnsi="Times New Roman"/>
          <w:sz w:val="24"/>
        </w:rPr>
        <w:t xml:space="preserve">, </w:t>
      </w:r>
      <w:r>
        <w:rPr>
          <w:rFonts w:ascii="Consolas" w:hAnsi="Consolas"/>
          <w:sz w:val="20"/>
        </w:rPr>
        <w:t>absences</w:t>
      </w:r>
      <w:r>
        <w:rPr>
          <w:rFonts w:ascii="Times New Roman" w:hAnsi="Times New Roman"/>
          <w:sz w:val="24"/>
        </w:rPr>
        <w:t xml:space="preserve">, </w:t>
      </w:r>
      <w:r>
        <w:rPr>
          <w:rFonts w:ascii="Consolas" w:hAnsi="Consolas"/>
          <w:sz w:val="20"/>
        </w:rPr>
        <w:t>goout</w:t>
      </w:r>
      <w:r>
        <w:rPr>
          <w:rFonts w:ascii="Times New Roman" w:hAnsi="Times New Roman"/>
          <w:sz w:val="24"/>
        </w:rPr>
        <w:t xml:space="preserve">, </w:t>
      </w:r>
      <w:r>
        <w:rPr>
          <w:rFonts w:ascii="Consolas" w:hAnsi="Consolas"/>
          <w:sz w:val="20"/>
        </w:rPr>
        <w:t>alcohol_weekend</w:t>
      </w:r>
      <w:r>
        <w:rPr>
          <w:rFonts w:ascii="Times New Roman" w:hAnsi="Times New Roman"/>
          <w:sz w:val="24"/>
        </w:rPr>
        <w:t xml:space="preserve">. The choice deliberately excludes the grade variables (G1, G2, G3). Clustering on grades would yield trivially obvious clusters that recover the pass threshold — circular reasoning. By excluding grades from the clustering input but reporting each cluster's at-risk rate as an </w:t>
      </w:r>
      <w:r>
        <w:rPr>
          <w:rFonts w:ascii="Times New Roman" w:hAnsi="Times New Roman"/>
          <w:i/>
          <w:sz w:val="24"/>
        </w:rPr>
        <w:t>output</w:t>
      </w:r>
      <w:r>
        <w:rPr>
          <w:rFonts w:ascii="Times New Roman" w:hAnsi="Times New Roman"/>
          <w:sz w:val="24"/>
        </w:rPr>
        <w:t>, we test whether lifestyle alone carries independent signal.</w:t>
      </w:r>
    </w:p>
    <w:p>
      <w:pPr>
        <w:spacing w:lineRule="auto" w:line="276" w:after="120"/>
        <w:jc w:val="both"/>
      </w:pPr>
      <w:r>
        <w:rPr>
          <w:rFonts w:ascii="Times New Roman" w:hAnsi="Times New Roman"/>
          <w:b/>
          <w:sz w:val="24"/>
        </w:rPr>
        <w:t>Standardisation.</w:t>
      </w:r>
      <w:r>
        <w:rPr>
          <w:rFonts w:ascii="Times New Roman" w:hAnsi="Times New Roman"/>
          <w:sz w:val="24"/>
        </w:rPr>
        <w:t xml:space="preserve"> Features are standardised to zero mean and unit variance using </w:t>
      </w:r>
      <w:r>
        <w:rPr>
          <w:rFonts w:ascii="Consolas" w:hAnsi="Consolas"/>
          <w:sz w:val="20"/>
        </w:rPr>
        <w:t>StandardScaler</w:t>
      </w:r>
      <w:r>
        <w:rPr>
          <w:rFonts w:ascii="Times New Roman" w:hAnsi="Times New Roman"/>
          <w:sz w:val="24"/>
        </w:rPr>
        <w:t xml:space="preserve"> before clustering, because K-Means is sensitive to feature scale.</w:t>
      </w:r>
    </w:p>
    <w:p>
      <w:pPr>
        <w:spacing w:lineRule="auto" w:line="276" w:after="120"/>
        <w:jc w:val="both"/>
      </w:pPr>
      <w:r>
        <w:rPr>
          <w:rFonts w:ascii="Times New Roman" w:hAnsi="Times New Roman"/>
          <w:b/>
          <w:sz w:val="24"/>
        </w:rPr>
        <w:t>Choosing k.</w:t>
      </w:r>
      <w:r>
        <w:rPr>
          <w:rFonts w:ascii="Times New Roman" w:hAnsi="Times New Roman"/>
          <w:sz w:val="24"/>
        </w:rPr>
        <w:t xml:space="preserve"> We chose </w:t>
      </w:r>
      <w:r>
        <w:rPr>
          <w:rFonts w:ascii="Times New Roman" w:hAnsi="Times New Roman"/>
          <w:i/>
          <w:sz w:val="24"/>
        </w:rPr>
        <w:t>k</w:t>
      </w:r>
      <w:r>
        <w:rPr>
          <w:rFonts w:ascii="Times New Roman" w:hAnsi="Times New Roman"/>
          <w:sz w:val="24"/>
        </w:rPr>
        <w:t xml:space="preserve"> = 3 based on the elbow method applied to within-cluster sum of squares (visual/elbow.png in the repository) and on interpretability — three named personas are easier for a stakeholder to remember and act on than five or seven.</w:t>
      </w:r>
    </w:p>
    <w:p>
      <w:pPr>
        <w:spacing w:lineRule="auto" w:line="276" w:after="120"/>
        <w:jc w:val="both"/>
      </w:pPr>
      <w:r>
        <w:rPr>
          <w:rFonts w:ascii="Times New Roman" w:hAnsi="Times New Roman"/>
          <w:b/>
          <w:sz w:val="24"/>
        </w:rPr>
        <w:t>Algorithm parameters.</w:t>
      </w:r>
      <w:r>
        <w:rPr>
          <w:rFonts w:ascii="Times New Roman" w:hAnsi="Times New Roman"/>
          <w:sz w:val="24"/>
        </w:rPr>
        <w:t xml:space="preserve"> </w:t>
      </w:r>
      <w:r>
        <w:rPr>
          <w:rFonts w:ascii="Consolas" w:hAnsi="Consolas"/>
          <w:sz w:val="20"/>
        </w:rPr>
        <w:t>sklearn.cluster.KMeans</w:t>
      </w:r>
      <w:r>
        <w:rPr>
          <w:rFonts w:ascii="Times New Roman" w:hAnsi="Times New Roman"/>
          <w:sz w:val="24"/>
        </w:rPr>
        <w:t xml:space="preserve"> is configured with </w:t>
      </w:r>
      <w:r>
        <w:rPr>
          <w:rFonts w:ascii="Consolas" w:hAnsi="Consolas"/>
          <w:sz w:val="20"/>
        </w:rPr>
        <w:t>n_clusters = 3</w:t>
      </w:r>
      <w:r>
        <w:rPr>
          <w:rFonts w:ascii="Times New Roman" w:hAnsi="Times New Roman"/>
          <w:sz w:val="24"/>
        </w:rPr>
        <w:t xml:space="preserve">, </w:t>
      </w:r>
      <w:r>
        <w:rPr>
          <w:rFonts w:ascii="Consolas" w:hAnsi="Consolas"/>
          <w:sz w:val="20"/>
        </w:rPr>
        <w:t>random_state = 42</w:t>
      </w:r>
      <w:r>
        <w:rPr>
          <w:rFonts w:ascii="Times New Roman" w:hAnsi="Times New Roman"/>
          <w:sz w:val="24"/>
        </w:rPr>
        <w:t xml:space="preserve">, </w:t>
      </w:r>
      <w:r>
        <w:rPr>
          <w:rFonts w:ascii="Consolas" w:hAnsi="Consolas"/>
          <w:sz w:val="20"/>
        </w:rPr>
        <w:t>n_init = 10</w:t>
      </w:r>
      <w:r>
        <w:rPr>
          <w:rFonts w:ascii="Times New Roman" w:hAnsi="Times New Roman"/>
          <w:sz w:val="24"/>
        </w:rPr>
        <w:t xml:space="preserve"> (multiple restarts to escape local minima).</w:t>
      </w:r>
    </w:p>
    <w:p>
      <w:pPr>
        <w:spacing w:lineRule="auto" w:line="276" w:after="120"/>
        <w:jc w:val="both"/>
      </w:pPr>
      <w:r>
        <w:rPr>
          <w:rFonts w:ascii="Times New Roman" w:hAnsi="Times New Roman"/>
          <w:sz w:val="24"/>
        </w:rPr>
        <w:t>The resulting three clusters, with hand-assigned plain-language names, are:</w:t>
      </w:r>
    </w:p>
    <w:p>
      <w:pPr>
        <w:pStyle w:val="ListBullet"/>
        <w:spacing w:lineRule="auto" w:line="276" w:after="40"/>
      </w:pPr>
      <w:r>
        <w:rPr>
          <w:rFonts w:ascii="Times New Roman" w:hAnsi="Times New Roman"/>
          <w:i/>
          <w:sz w:val="24"/>
        </w:rPr>
        <w:t>Focused Achievers</w:t>
      </w:r>
      <w:r>
        <w:rPr>
          <w:rFonts w:ascii="Times New Roman" w:hAnsi="Times New Roman"/>
          <w:sz w:val="24"/>
        </w:rPr>
        <w:t xml:space="preserve"> — </w:t>
      </w:r>
      <w:r>
        <w:rPr>
          <w:rFonts w:ascii="Times New Roman" w:hAnsi="Times New Roman"/>
          <w:i/>
          <w:sz w:val="24"/>
        </w:rPr>
        <w:t>n</w:t>
      </w:r>
      <w:r>
        <w:rPr>
          <w:rFonts w:ascii="Times New Roman" w:hAnsi="Times New Roman"/>
          <w:sz w:val="24"/>
        </w:rPr>
        <w:t xml:space="preserve"> = 207, mean grade 12.52, mean study time 3.28, mean absences 3.20, mean goout 2.82, mean weekend alcohol 1.67, at-risk rate 12.6%.</w:t>
      </w:r>
    </w:p>
    <w:p>
      <w:pPr>
        <w:pStyle w:val="ListBullet"/>
        <w:spacing w:lineRule="auto" w:line="276" w:after="40"/>
      </w:pPr>
      <w:r>
        <w:rPr>
          <w:rFonts w:ascii="Times New Roman" w:hAnsi="Times New Roman"/>
          <w:i/>
          <w:sz w:val="24"/>
        </w:rPr>
        <w:t>Average Learners</w:t>
      </w:r>
      <w:r>
        <w:rPr>
          <w:rFonts w:ascii="Times New Roman" w:hAnsi="Times New Roman"/>
          <w:sz w:val="24"/>
        </w:rPr>
        <w:t xml:space="preserve"> — </w:t>
      </w:r>
      <w:r>
        <w:rPr>
          <w:rFonts w:ascii="Times New Roman" w:hAnsi="Times New Roman"/>
          <w:i/>
          <w:sz w:val="24"/>
        </w:rPr>
        <w:t>n</w:t>
      </w:r>
      <w:r>
        <w:rPr>
          <w:rFonts w:ascii="Times New Roman" w:hAnsi="Times New Roman"/>
          <w:sz w:val="24"/>
        </w:rPr>
        <w:t xml:space="preserve"> = 524, mean grade 11.34, mean study time 1.64, mean absences 3.28, mean goout 2.67, mean weekend alcohol 1.69, at-risk rate 21.4%.</w:t>
      </w:r>
    </w:p>
    <w:p>
      <w:pPr>
        <w:pStyle w:val="ListBullet"/>
        <w:spacing w:lineRule="auto" w:line="276" w:after="40"/>
      </w:pPr>
      <w:r>
        <w:rPr>
          <w:rFonts w:ascii="Times New Roman" w:hAnsi="Times New Roman"/>
          <w:i/>
          <w:sz w:val="24"/>
        </w:rPr>
        <w:t>Social Risk Group</w:t>
      </w:r>
      <w:r>
        <w:rPr>
          <w:rFonts w:ascii="Times New Roman" w:hAnsi="Times New Roman"/>
          <w:sz w:val="24"/>
        </w:rPr>
        <w:t xml:space="preserve"> — </w:t>
      </w:r>
      <w:r>
        <w:rPr>
          <w:rFonts w:ascii="Times New Roman" w:hAnsi="Times New Roman"/>
          <w:i/>
          <w:sz w:val="24"/>
        </w:rPr>
        <w:t>n</w:t>
      </w:r>
      <w:r>
        <w:rPr>
          <w:rFonts w:ascii="Times New Roman" w:hAnsi="Times New Roman"/>
          <w:sz w:val="24"/>
        </w:rPr>
        <w:t xml:space="preserve"> = 313, mean grade 10.56, mean study time 1.66, mean absences 7.18, mean goout 4.20, mean weekend alcohol 3.68, at-risk rate 29.4%.</w:t>
      </w:r>
    </w:p>
    <w:p>
      <w:pPr>
        <w:keepNext/>
        <w:spacing w:before="200" w:after="80"/>
        <w:jc w:val="left"/>
      </w:pPr>
      <w:r>
        <w:rPr>
          <w:rFonts w:ascii="Times New Roman" w:hAnsi="Times New Roman"/>
          <w:b/>
          <w:sz w:val="24"/>
        </w:rPr>
        <w:t>4.4 Random Forest classification (RQ4)</w:t>
      </w:r>
    </w:p>
    <w:p>
      <w:pPr>
        <w:spacing w:lineRule="auto" w:line="276" w:after="120"/>
        <w:jc w:val="both"/>
      </w:pPr>
      <w:r>
        <w:rPr>
          <w:rFonts w:ascii="Times New Roman" w:hAnsi="Times New Roman"/>
          <w:sz w:val="24"/>
        </w:rPr>
        <w:t xml:space="preserve">We train a Random Forest classifier to predict the binary </w:t>
      </w:r>
      <w:r>
        <w:rPr>
          <w:rFonts w:ascii="Consolas" w:hAnsi="Consolas"/>
          <w:sz w:val="20"/>
        </w:rPr>
        <w:t>at_risk</w:t>
      </w:r>
      <w:r>
        <w:rPr>
          <w:rFonts w:ascii="Times New Roman" w:hAnsi="Times New Roman"/>
          <w:sz w:val="24"/>
        </w:rPr>
        <w:t xml:space="preserve"> target.</w:t>
      </w:r>
    </w:p>
    <w:p>
      <w:pPr>
        <w:spacing w:lineRule="auto" w:line="276" w:after="120"/>
        <w:jc w:val="both"/>
      </w:pPr>
      <w:r>
        <w:rPr>
          <w:rFonts w:ascii="Times New Roman" w:hAnsi="Times New Roman"/>
          <w:b/>
          <w:sz w:val="24"/>
        </w:rPr>
        <w:t>Feature set.</w:t>
      </w:r>
      <w:r>
        <w:rPr>
          <w:rFonts w:ascii="Times New Roman" w:hAnsi="Times New Roman"/>
          <w:sz w:val="24"/>
        </w:rPr>
        <w:t xml:space="preserve"> Thirteen pre-final features are used as inputs: </w:t>
      </w:r>
      <w:r>
        <w:rPr>
          <w:rFonts w:ascii="Consolas" w:hAnsi="Consolas"/>
          <w:sz w:val="20"/>
        </w:rPr>
        <w:t>grade_mid1</w:t>
      </w:r>
      <w:r>
        <w:rPr>
          <w:rFonts w:ascii="Times New Roman" w:hAnsi="Times New Roman"/>
          <w:sz w:val="24"/>
        </w:rPr>
        <w:t xml:space="preserve">, </w:t>
      </w:r>
      <w:r>
        <w:rPr>
          <w:rFonts w:ascii="Consolas" w:hAnsi="Consolas"/>
          <w:sz w:val="20"/>
        </w:rPr>
        <w:t>grade_mid2</w:t>
      </w:r>
      <w:r>
        <w:rPr>
          <w:rFonts w:ascii="Times New Roman" w:hAnsi="Times New Roman"/>
          <w:sz w:val="24"/>
        </w:rPr>
        <w:t xml:space="preserve">, </w:t>
      </w:r>
      <w:r>
        <w:rPr>
          <w:rFonts w:ascii="Consolas" w:hAnsi="Consolas"/>
          <w:sz w:val="20"/>
        </w:rPr>
        <w:t>absences</w:t>
      </w:r>
      <w:r>
        <w:rPr>
          <w:rFonts w:ascii="Times New Roman" w:hAnsi="Times New Roman"/>
          <w:sz w:val="24"/>
        </w:rPr>
        <w:t xml:space="preserve">, </w:t>
      </w:r>
      <w:r>
        <w:rPr>
          <w:rFonts w:ascii="Consolas" w:hAnsi="Consolas"/>
          <w:sz w:val="20"/>
        </w:rPr>
        <w:t>failures</w:t>
      </w:r>
      <w:r>
        <w:rPr>
          <w:rFonts w:ascii="Times New Roman" w:hAnsi="Times New Roman"/>
          <w:sz w:val="24"/>
        </w:rPr>
        <w:t xml:space="preserve">, </w:t>
      </w:r>
      <w:r>
        <w:rPr>
          <w:rFonts w:ascii="Consolas" w:hAnsi="Consolas"/>
          <w:sz w:val="20"/>
        </w:rPr>
        <w:t>studytime</w:t>
      </w:r>
      <w:r>
        <w:rPr>
          <w:rFonts w:ascii="Times New Roman" w:hAnsi="Times New Roman"/>
          <w:sz w:val="24"/>
        </w:rPr>
        <w:t xml:space="preserve">, </w:t>
      </w:r>
      <w:r>
        <w:rPr>
          <w:rFonts w:ascii="Consolas" w:hAnsi="Consolas"/>
          <w:sz w:val="20"/>
        </w:rPr>
        <w:t>mother_edu</w:t>
      </w:r>
      <w:r>
        <w:rPr>
          <w:rFonts w:ascii="Times New Roman" w:hAnsi="Times New Roman"/>
          <w:sz w:val="24"/>
        </w:rPr>
        <w:t xml:space="preserve">, </w:t>
      </w:r>
      <w:r>
        <w:rPr>
          <w:rFonts w:ascii="Consolas" w:hAnsi="Consolas"/>
          <w:sz w:val="20"/>
        </w:rPr>
        <w:t>father_edu</w:t>
      </w:r>
      <w:r>
        <w:rPr>
          <w:rFonts w:ascii="Times New Roman" w:hAnsi="Times New Roman"/>
          <w:sz w:val="24"/>
        </w:rPr>
        <w:t xml:space="preserve">, </w:t>
      </w:r>
      <w:r>
        <w:rPr>
          <w:rFonts w:ascii="Consolas" w:hAnsi="Consolas"/>
          <w:sz w:val="20"/>
        </w:rPr>
        <w:t>goout</w:t>
      </w:r>
      <w:r>
        <w:rPr>
          <w:rFonts w:ascii="Times New Roman" w:hAnsi="Times New Roman"/>
          <w:sz w:val="24"/>
        </w:rPr>
        <w:t xml:space="preserve">, </w:t>
      </w:r>
      <w:r>
        <w:rPr>
          <w:rFonts w:ascii="Consolas" w:hAnsi="Consolas"/>
          <w:sz w:val="20"/>
        </w:rPr>
        <w:t>alcohol_weekend</w:t>
      </w:r>
      <w:r>
        <w:rPr>
          <w:rFonts w:ascii="Times New Roman" w:hAnsi="Times New Roman"/>
          <w:sz w:val="24"/>
        </w:rPr>
        <w:t xml:space="preserve">, </w:t>
      </w:r>
      <w:r>
        <w:rPr>
          <w:rFonts w:ascii="Consolas" w:hAnsi="Consolas"/>
          <w:sz w:val="20"/>
        </w:rPr>
        <w:t>romantic</w:t>
      </w:r>
      <w:r>
        <w:rPr>
          <w:rFonts w:ascii="Times New Roman" w:hAnsi="Times New Roman"/>
          <w:sz w:val="24"/>
        </w:rPr>
        <w:t xml:space="preserve">, </w:t>
      </w:r>
      <w:r>
        <w:rPr>
          <w:rFonts w:ascii="Consolas" w:hAnsi="Consolas"/>
          <w:sz w:val="20"/>
        </w:rPr>
        <w:t>internet</w:t>
      </w:r>
      <w:r>
        <w:rPr>
          <w:rFonts w:ascii="Times New Roman" w:hAnsi="Times New Roman"/>
          <w:sz w:val="24"/>
        </w:rPr>
        <w:t xml:space="preserve">, </w:t>
      </w:r>
      <w:r>
        <w:rPr>
          <w:rFonts w:ascii="Consolas" w:hAnsi="Consolas"/>
          <w:sz w:val="20"/>
        </w:rPr>
        <w:t>schoolsup</w:t>
      </w:r>
      <w:r>
        <w:rPr>
          <w:rFonts w:ascii="Times New Roman" w:hAnsi="Times New Roman"/>
          <w:sz w:val="24"/>
        </w:rPr>
        <w:t xml:space="preserve">, </w:t>
      </w:r>
      <w:r>
        <w:rPr>
          <w:rFonts w:ascii="Consolas" w:hAnsi="Consolas"/>
          <w:sz w:val="20"/>
        </w:rPr>
        <w:t>activities</w:t>
      </w:r>
      <w:r>
        <w:rPr>
          <w:rFonts w:ascii="Times New Roman" w:hAnsi="Times New Roman"/>
          <w:sz w:val="24"/>
        </w:rPr>
        <w:t xml:space="preserve">. Demographic variables that are not actionable (e.g., </w:t>
      </w:r>
      <w:r>
        <w:rPr>
          <w:rFonts w:ascii="Consolas" w:hAnsi="Consolas"/>
          <w:sz w:val="20"/>
        </w:rPr>
        <w:t>age</w:t>
      </w:r>
      <w:r>
        <w:rPr>
          <w:rFonts w:ascii="Times New Roman" w:hAnsi="Times New Roman"/>
          <w:sz w:val="24"/>
        </w:rPr>
        <w:t xml:space="preserve">, </w:t>
      </w:r>
      <w:r>
        <w:rPr>
          <w:rFonts w:ascii="Consolas" w:hAnsi="Consolas"/>
          <w:sz w:val="20"/>
        </w:rPr>
        <w:t>traveltime</w:t>
      </w:r>
      <w:r>
        <w:rPr>
          <w:rFonts w:ascii="Times New Roman" w:hAnsi="Times New Roman"/>
          <w:sz w:val="24"/>
        </w:rPr>
        <w:t>) are excluded.</w:t>
      </w:r>
    </w:p>
    <w:p>
      <w:pPr>
        <w:spacing w:lineRule="auto" w:line="276" w:after="120"/>
        <w:jc w:val="both"/>
      </w:pPr>
      <w:r>
        <w:rPr>
          <w:rFonts w:ascii="Times New Roman" w:hAnsi="Times New Roman"/>
          <w:b/>
          <w:sz w:val="24"/>
        </w:rPr>
        <w:t>Train–test split.</w:t>
      </w:r>
      <w:r>
        <w:rPr>
          <w:rFonts w:ascii="Times New Roman" w:hAnsi="Times New Roman"/>
          <w:sz w:val="24"/>
        </w:rPr>
        <w:t xml:space="preserve"> The data are split eighty–twenty with stratification on the target, using </w:t>
      </w:r>
      <w:r>
        <w:rPr>
          <w:rFonts w:ascii="Consolas" w:hAnsi="Consolas"/>
          <w:sz w:val="20"/>
        </w:rPr>
        <w:t>random_state = 42</w:t>
      </w:r>
      <w:r>
        <w:rPr>
          <w:rFonts w:ascii="Times New Roman" w:hAnsi="Times New Roman"/>
          <w:sz w:val="24"/>
        </w:rPr>
        <w:t>. The test set contains 209 students, of whom 46 are at-risk (22.0% — the same imbalance as the full cohort, by construction).</w:t>
      </w:r>
    </w:p>
    <w:p>
      <w:pPr>
        <w:spacing w:lineRule="auto" w:line="276" w:after="120"/>
        <w:jc w:val="both"/>
      </w:pPr>
      <w:r>
        <w:rPr>
          <w:rFonts w:ascii="Times New Roman" w:hAnsi="Times New Roman"/>
          <w:b/>
          <w:sz w:val="24"/>
        </w:rPr>
        <w:t>Hyperparameters.</w:t>
      </w:r>
      <w:r>
        <w:rPr>
          <w:rFonts w:ascii="Times New Roman" w:hAnsi="Times New Roman"/>
          <w:sz w:val="24"/>
        </w:rPr>
        <w:t xml:space="preserve"> </w:t>
      </w:r>
      <w:r>
        <w:rPr>
          <w:rFonts w:ascii="Consolas" w:hAnsi="Consolas"/>
          <w:sz w:val="20"/>
        </w:rPr>
        <w:t>RandomForestClassifier</w:t>
      </w:r>
      <w:r>
        <w:rPr>
          <w:rFonts w:ascii="Times New Roman" w:hAnsi="Times New Roman"/>
          <w:sz w:val="24"/>
        </w:rPr>
        <w:t xml:space="preserve"> is configured with </w:t>
      </w:r>
      <w:r>
        <w:rPr>
          <w:rFonts w:ascii="Consolas" w:hAnsi="Consolas"/>
          <w:sz w:val="20"/>
        </w:rPr>
        <w:t>n_estimators = 200</w:t>
      </w:r>
      <w:r>
        <w:rPr>
          <w:rFonts w:ascii="Times New Roman" w:hAnsi="Times New Roman"/>
          <w:sz w:val="24"/>
        </w:rPr>
        <w:t xml:space="preserve">, </w:t>
      </w:r>
      <w:r>
        <w:rPr>
          <w:rFonts w:ascii="Consolas" w:hAnsi="Consolas"/>
          <w:sz w:val="20"/>
        </w:rPr>
        <w:t>class_weight = "balanced"</w:t>
      </w:r>
      <w:r>
        <w:rPr>
          <w:rFonts w:ascii="Times New Roman" w:hAnsi="Times New Roman"/>
          <w:sz w:val="24"/>
        </w:rPr>
        <w:t xml:space="preserve">, </w:t>
      </w:r>
      <w:r>
        <w:rPr>
          <w:rFonts w:ascii="Consolas" w:hAnsi="Consolas"/>
          <w:sz w:val="20"/>
        </w:rPr>
        <w:t>random_state = 42</w:t>
      </w:r>
      <w:r>
        <w:rPr>
          <w:rFonts w:ascii="Times New Roman" w:hAnsi="Times New Roman"/>
          <w:sz w:val="24"/>
        </w:rPr>
        <w:t xml:space="preserve">, </w:t>
      </w:r>
      <w:r>
        <w:rPr>
          <w:rFonts w:ascii="Consolas" w:hAnsi="Consolas"/>
          <w:sz w:val="20"/>
        </w:rPr>
        <w:t>n_jobs = -1</w:t>
      </w:r>
      <w:r>
        <w:rPr>
          <w:rFonts w:ascii="Times New Roman" w:hAnsi="Times New Roman"/>
          <w:sz w:val="24"/>
        </w:rPr>
        <w:t xml:space="preserve">. The </w:t>
      </w:r>
      <w:r>
        <w:rPr>
          <w:rFonts w:ascii="Consolas" w:hAnsi="Consolas"/>
          <w:sz w:val="20"/>
        </w:rPr>
        <w:t>class_weight = "balanced"</w:t>
      </w:r>
      <w:r>
        <w:rPr>
          <w:rFonts w:ascii="Times New Roman" w:hAnsi="Times New Roman"/>
          <w:sz w:val="24"/>
        </w:rPr>
        <w:t xml:space="preserve"> setting penalises misclassification of the minority at-risk class in inverse proportion to its frequency, which is critical for an early-warning system in which a </w:t>
      </w:r>
      <w:r>
        <w:rPr>
          <w:rFonts w:ascii="Times New Roman" w:hAnsi="Times New Roman"/>
          <w:i/>
          <w:sz w:val="24"/>
        </w:rPr>
        <w:t>missed</w:t>
      </w:r>
      <w:r>
        <w:rPr>
          <w:rFonts w:ascii="Times New Roman" w:hAnsi="Times New Roman"/>
          <w:sz w:val="24"/>
        </w:rPr>
        <w:t xml:space="preserve"> student is much more costly than a false alarm.</w:t>
      </w:r>
    </w:p>
    <w:p>
      <w:pPr>
        <w:spacing w:lineRule="auto" w:line="276" w:after="120"/>
        <w:jc w:val="both"/>
      </w:pPr>
      <w:r>
        <w:rPr>
          <w:rFonts w:ascii="Times New Roman" w:hAnsi="Times New Roman"/>
          <w:b/>
          <w:sz w:val="24"/>
        </w:rPr>
        <w:t>Evaluation.</w:t>
      </w:r>
      <w:r>
        <w:rPr>
          <w:rFonts w:ascii="Times New Roman" w:hAnsi="Times New Roman"/>
          <w:sz w:val="24"/>
        </w:rPr>
        <w:t xml:space="preserve"> We compute accuracy, precision, recall, F1, and the confusion matrix on the held-out test set. To complement the held-out evaluation, we additionally report </w:t>
      </w:r>
      <w:r>
        <w:rPr>
          <w:rFonts w:ascii="Times New Roman" w:hAnsi="Times New Roman"/>
          <w:b/>
          <w:sz w:val="24"/>
        </w:rPr>
        <w:t>5-fold stratified cross-validation</w:t>
      </w:r>
      <w:r>
        <w:rPr>
          <w:rFonts w:ascii="Times New Roman" w:hAnsi="Times New Roman"/>
          <w:sz w:val="24"/>
        </w:rPr>
        <w:t xml:space="preserve"> (</w:t>
      </w:r>
      <w:r>
        <w:rPr>
          <w:rFonts w:ascii="Consolas" w:hAnsi="Consolas"/>
          <w:sz w:val="20"/>
        </w:rPr>
        <w:t>StratifiedKFold</w:t>
      </w:r>
      <w:r>
        <w:rPr>
          <w:rFonts w:ascii="Times New Roman" w:hAnsi="Times New Roman"/>
          <w:sz w:val="24"/>
        </w:rPr>
        <w:t xml:space="preserve">, </w:t>
      </w:r>
      <w:r>
        <w:rPr>
          <w:rFonts w:ascii="Consolas" w:hAnsi="Consolas"/>
          <w:sz w:val="20"/>
        </w:rPr>
        <w:t>shuffle=True</w:t>
      </w:r>
      <w:r>
        <w:rPr>
          <w:rFonts w:ascii="Times New Roman" w:hAnsi="Times New Roman"/>
          <w:sz w:val="24"/>
        </w:rPr>
        <w:t xml:space="preserve">, </w:t>
      </w:r>
      <w:r>
        <w:rPr>
          <w:rFonts w:ascii="Consolas" w:hAnsi="Consolas"/>
          <w:sz w:val="20"/>
        </w:rPr>
        <w:t>random_state=42</w:t>
      </w:r>
      <w:r>
        <w:rPr>
          <w:rFonts w:ascii="Times New Roman" w:hAnsi="Times New Roman"/>
          <w:sz w:val="24"/>
        </w:rPr>
        <w:t xml:space="preserve">) over the full cohort, scoring on accuracy, precision, recall, and F1. The CV results in §7.3 are the methodologically primary numbers; the hold-out matrix (Table 6) is retained so the operational cost of each cell (caught, false alarm, </w:t>
      </w:r>
      <w:r>
        <w:rPr>
          <w:rFonts w:ascii="Times New Roman" w:hAnsi="Times New Roman"/>
          <w:b/>
          <w:sz w:val="24"/>
        </w:rPr>
        <w:t>MISSED</w:t>
      </w:r>
      <w:r>
        <w:rPr>
          <w:rFonts w:ascii="Times New Roman" w:hAnsi="Times New Roman"/>
          <w:sz w:val="24"/>
        </w:rPr>
        <w:t>, all-clear) can be interpreted directly.</w:t>
      </w:r>
    </w:p>
    <w:p>
      <w:pPr>
        <w:keepNext/>
        <w:spacing w:before="200" w:after="80"/>
        <w:jc w:val="left"/>
      </w:pPr>
      <w:r>
        <w:rPr>
          <w:rFonts w:ascii="Times New Roman" w:hAnsi="Times New Roman"/>
          <w:b/>
          <w:sz w:val="24"/>
        </w:rPr>
        <w:t>4.4.1 Baseline models</w:t>
      </w:r>
    </w:p>
    <w:p>
      <w:pPr>
        <w:spacing w:lineRule="auto" w:line="276" w:after="120"/>
        <w:jc w:val="both"/>
      </w:pPr>
      <w:r>
        <w:rPr>
          <w:rFonts w:ascii="Times New Roman" w:hAnsi="Times New Roman"/>
          <w:sz w:val="24"/>
        </w:rPr>
        <w:t xml:space="preserve">For comparison we train two baselines on the same stratified 80/20 split. (i) </w:t>
      </w:r>
      <w:r>
        <w:rPr>
          <w:rFonts w:ascii="Consolas" w:hAnsi="Consolas"/>
          <w:sz w:val="20"/>
        </w:rPr>
        <w:t>LogisticRegression(class_weight="balanced", max_iter=1000, random_state=42)</w:t>
      </w:r>
      <w:r>
        <w:rPr>
          <w:rFonts w:ascii="Times New Roman" w:hAnsi="Times New Roman"/>
          <w:sz w:val="24"/>
        </w:rPr>
        <w:t xml:space="preserve"> on standardised features (a </w:t>
      </w:r>
      <w:r>
        <w:rPr>
          <w:rFonts w:ascii="Consolas" w:hAnsi="Consolas"/>
          <w:sz w:val="20"/>
        </w:rPr>
        <w:t>StandardScaler</w:t>
      </w:r>
      <w:r>
        <w:rPr>
          <w:rFonts w:ascii="Times New Roman" w:hAnsi="Times New Roman"/>
          <w:sz w:val="24"/>
        </w:rPr>
        <w:t xml:space="preserve"> is fit on the training split and applied to the test split). (ii) </w:t>
      </w:r>
      <w:r>
        <w:rPr>
          <w:rFonts w:ascii="Consolas" w:hAnsi="Consolas"/>
          <w:sz w:val="20"/>
        </w:rPr>
        <w:t>DecisionTreeClassifier(class_weight="balanced", random_state=42)</w:t>
      </w:r>
      <w:r>
        <w:rPr>
          <w:rFonts w:ascii="Times New Roman" w:hAnsi="Times New Roman"/>
          <w:sz w:val="24"/>
        </w:rPr>
        <w:t xml:space="preserve"> on the raw features. Both baselines are evaluated with the same recall-led framing as the Random Forest. We report the comparison in §7.3 (Table 5).</w:t>
      </w:r>
    </w:p>
    <w:p>
      <w:pPr>
        <w:keepNext/>
        <w:spacing w:before="200" w:after="80"/>
        <w:jc w:val="left"/>
      </w:pPr>
      <w:r>
        <w:rPr>
          <w:rFonts w:ascii="Times New Roman" w:hAnsi="Times New Roman"/>
          <w:b/>
          <w:sz w:val="24"/>
        </w:rPr>
        <w:t>4.5 Progression analysis (RQ5)</w:t>
      </w:r>
    </w:p>
    <w:p>
      <w:pPr>
        <w:spacing w:lineRule="auto" w:line="276" w:after="120"/>
        <w:jc w:val="both"/>
      </w:pPr>
      <w:r>
        <w:rPr>
          <w:rFonts w:ascii="Times New Roman" w:hAnsi="Times New Roman"/>
          <w:sz w:val="24"/>
        </w:rPr>
        <w:t xml:space="preserve">We compute group means and standard deviations of each grade period (G1, G2, G3) within each subgroup of the active </w:t>
      </w:r>
      <w:r>
        <w:rPr>
          <w:rFonts w:ascii="Times New Roman" w:hAnsi="Times New Roman"/>
          <w:i/>
          <w:sz w:val="24"/>
        </w:rPr>
        <w:t>view-by</w:t>
      </w:r>
      <w:r>
        <w:rPr>
          <w:rFonts w:ascii="Times New Roman" w:hAnsi="Times New Roman"/>
          <w:sz w:val="24"/>
        </w:rPr>
        <w:t xml:space="preserve"> dimension (sex, school, internet, higher-education aspiration). The progression card overlays up to 120 individual student trajectories (sampled deterministically from the cohort) as light spaghetti lines beneath the bold mean lines, with shaded ±1σ bands around each mean. The Y-axis is data-tight: it spans from the minimum of the lower band edge to the maximum of the upper band edge, with a ±1.5-grade buffer, so that one- or two-point differences between subgroup means are visually resolvable (a fixed </w:t>
      </w:r>
      <w:r>
        <w:rPr>
          <w:rFonts w:ascii="Times New Roman" w:hAnsi="Times New Roman"/>
          <w:sz w:val="24"/>
        </w:rPr>
        <w:t>[0, 20] domain renders these differences invisible).</w:t>
      </w:r>
    </w:p>
    <w:p>
      <w:pPr>
        <w:keepNext/>
        <w:spacing w:before="200" w:after="80"/>
        <w:jc w:val="left"/>
      </w:pPr>
      <w:r>
        <w:rPr>
          <w:rFonts w:ascii="Times New Roman" w:hAnsi="Times New Roman"/>
          <w:b/>
          <w:sz w:val="24"/>
        </w:rPr>
        <w:t>4.6 Distribution analysis (RQ6)</w:t>
      </w:r>
    </w:p>
    <w:p>
      <w:pPr>
        <w:spacing w:lineRule="auto" w:line="276" w:after="120"/>
        <w:jc w:val="both"/>
      </w:pPr>
      <w:r>
        <w:rPr>
          <w:rFonts w:ascii="Times New Roman" w:hAnsi="Times New Roman"/>
          <w:sz w:val="24"/>
        </w:rPr>
        <w:t>We render a histogram of G1, G2, or G3 (toggleable), with bars coloured by pass-fail at the threshold G3 = 10. A kernel-density estimate (Gaussian kernel, bandwidth = 1.2) is overlaid to highlight the shape of the distribution. The G3 view annotates the spike at G3 = 0 with the count of withdrawals (53, or 5.1% of cohort).</w:t>
      </w:r>
    </w:p>
    <w:p>
      <w:pPr>
        <w:keepNext/>
        <w:spacing w:before="200" w:after="80"/>
        <w:jc w:val="left"/>
      </w:pPr>
      <w:r>
        <w:rPr>
          <w:rFonts w:ascii="Times New Roman" w:hAnsi="Times New Roman"/>
          <w:b/>
          <w:sz w:val="24"/>
        </w:rPr>
        <w:t>4.7 Reproducibility</w:t>
      </w:r>
    </w:p>
    <w:p>
      <w:pPr>
        <w:spacing w:lineRule="auto" w:line="276" w:after="120"/>
        <w:jc w:val="both"/>
      </w:pPr>
      <w:r>
        <w:rPr>
          <w:rFonts w:ascii="Times New Roman" w:hAnsi="Times New Roman"/>
          <w:sz w:val="24"/>
        </w:rPr>
        <w:t xml:space="preserve">All random operations use fixed seeds: </w:t>
      </w:r>
      <w:r>
        <w:rPr>
          <w:rFonts w:ascii="Consolas" w:hAnsi="Consolas"/>
          <w:sz w:val="20"/>
        </w:rPr>
        <w:t>random_state = 42</w:t>
      </w:r>
      <w:r>
        <w:rPr>
          <w:rFonts w:ascii="Times New Roman" w:hAnsi="Times New Roman"/>
          <w:sz w:val="24"/>
        </w:rPr>
        <w:t xml:space="preserve"> for the train-test split, K-Means initialisation, and Random Forest; </w:t>
      </w:r>
      <w:r>
        <w:rPr>
          <w:rFonts w:ascii="Consolas" w:hAnsi="Consolas"/>
          <w:sz w:val="20"/>
        </w:rPr>
        <w:t>d3.randomLcg(0.42)</w:t>
      </w:r>
      <w:r>
        <w:rPr>
          <w:rFonts w:ascii="Times New Roman" w:hAnsi="Times New Roman"/>
          <w:sz w:val="24"/>
        </w:rPr>
        <w:t xml:space="preserve"> for scatter jitter. Re-running </w:t>
      </w:r>
      <w:r>
        <w:rPr>
          <w:rFonts w:ascii="Consolas" w:hAnsi="Consolas"/>
          <w:sz w:val="20"/>
        </w:rPr>
        <w:t>analysis/analyze.py</w:t>
      </w:r>
      <w:r>
        <w:rPr>
          <w:rFonts w:ascii="Times New Roman" w:hAnsi="Times New Roman"/>
          <w:sz w:val="24"/>
        </w:rPr>
        <w:t xml:space="preserve"> reproduces the cleaned dataset and machine-learning numbers bit-for-bit. The exact numerical values reported in §7 are stable across machines.</w:t>
      </w:r>
    </w:p>
    <w:p>
      <w:pPr>
        <w:pBdr>
          <w:bottom w:val="single" w:sz="6" w:space="1" w:color="BFBFBF"/>
        </w:pBdr>
      </w:pPr>
    </w:p>
    <w:p>
      <w:pPr>
        <w:keepNext/>
        <w:spacing w:before="280" w:after="120"/>
        <w:jc w:val="left"/>
      </w:pPr>
      <w:r>
        <w:rPr>
          <w:rFonts w:ascii="Times New Roman" w:hAnsi="Times New Roman"/>
          <w:b/>
          <w:sz w:val="28"/>
        </w:rPr>
        <w:t>5. Visualisation Design</w:t>
      </w:r>
    </w:p>
    <w:p>
      <w:pPr>
        <w:spacing w:lineRule="auto" w:line="276" w:after="120"/>
        <w:jc w:val="both"/>
      </w:pPr>
      <w:r>
        <w:rPr>
          <w:rFonts w:ascii="Times New Roman" w:hAnsi="Times New Roman"/>
          <w:sz w:val="24"/>
        </w:rPr>
        <w:t>This section sets out the rationale for the chart-type and interaction choices in the dashboard. Each decision is grounded in the early-warning use case rather than in chart aesthetics.</w:t>
      </w:r>
    </w:p>
    <w:p>
      <w:pPr>
        <w:keepNext/>
        <w:spacing w:before="200" w:after="80"/>
        <w:jc w:val="left"/>
      </w:pPr>
      <w:r>
        <w:rPr>
          <w:rFonts w:ascii="Times New Roman" w:hAnsi="Times New Roman"/>
          <w:b/>
          <w:sz w:val="24"/>
        </w:rPr>
        <w:t>5.1 Design principles</w:t>
      </w:r>
    </w:p>
    <w:p>
      <w:pPr>
        <w:spacing w:lineRule="auto" w:line="276" w:after="120"/>
        <w:jc w:val="both"/>
      </w:pPr>
      <w:r>
        <w:rPr>
          <w:rFonts w:ascii="Times New Roman" w:hAnsi="Times New Roman"/>
          <w:b/>
          <w:sz w:val="24"/>
        </w:rPr>
        <w:t>Recall, not accuracy, leads.</w:t>
      </w:r>
      <w:r>
        <w:rPr>
          <w:rFonts w:ascii="Times New Roman" w:hAnsi="Times New Roman"/>
          <w:sz w:val="24"/>
        </w:rPr>
        <w:t xml:space="preserve"> A 91% accuracy on a 22% minority class is misleading. The dashboard renders the </w:t>
      </w:r>
      <w:r>
        <w:rPr>
          <w:rFonts w:ascii="Times New Roman" w:hAnsi="Times New Roman"/>
          <w:i/>
          <w:sz w:val="24"/>
        </w:rPr>
        <w:t>MISSED ⚠</w:t>
      </w:r>
      <w:r>
        <w:rPr>
          <w:rFonts w:ascii="Times New Roman" w:hAnsi="Times New Roman"/>
          <w:sz w:val="24"/>
        </w:rPr>
        <w:t xml:space="preserve"> false-negative cell in red precisely because that is the operational cost of model error in an early-warning context.</w:t>
      </w:r>
    </w:p>
    <w:p>
      <w:pPr>
        <w:spacing w:lineRule="auto" w:line="276" w:after="120"/>
        <w:jc w:val="both"/>
      </w:pPr>
      <w:r>
        <w:rPr>
          <w:rFonts w:ascii="Times New Roman" w:hAnsi="Times New Roman"/>
          <w:b/>
          <w:sz w:val="24"/>
        </w:rPr>
        <w:t>Cross-card linking — reasoning by clicks.</w:t>
      </w:r>
      <w:r>
        <w:rPr>
          <w:rFonts w:ascii="Times New Roman" w:hAnsi="Times New Roman"/>
          <w:sz w:val="24"/>
        </w:rPr>
        <w:t xml:space="preserve"> Clicking a feature in </w:t>
      </w:r>
      <w:r>
        <w:rPr>
          <w:rFonts w:ascii="Times New Roman" w:hAnsi="Times New Roman"/>
          <w:i/>
          <w:sz w:val="24"/>
        </w:rPr>
        <w:t>Key Drivers</w:t>
      </w:r>
      <w:r>
        <w:rPr>
          <w:rFonts w:ascii="Times New Roman" w:hAnsi="Times New Roman"/>
          <w:sz w:val="24"/>
        </w:rPr>
        <w:t xml:space="preserve"> repoints the </w:t>
      </w:r>
      <w:r>
        <w:rPr>
          <w:rFonts w:ascii="Times New Roman" w:hAnsi="Times New Roman"/>
          <w:i/>
          <w:sz w:val="24"/>
        </w:rPr>
        <w:t>Grade Correlation</w:t>
      </w:r>
      <w:r>
        <w:rPr>
          <w:rFonts w:ascii="Times New Roman" w:hAnsi="Times New Roman"/>
          <w:sz w:val="24"/>
        </w:rPr>
        <w:t xml:space="preserve"> scatter to that feature. The four-step reasoning pipeline (which signals matter? → is the relationship real? → are there student types? → can we predict?) is literally clickable in order, with no menu hierarchy.</w:t>
      </w:r>
    </w:p>
    <w:p>
      <w:pPr>
        <w:spacing w:lineRule="auto" w:line="276" w:after="120"/>
        <w:jc w:val="both"/>
      </w:pPr>
      <w:r>
        <w:rPr>
          <w:rFonts w:ascii="Times New Roman" w:hAnsi="Times New Roman"/>
          <w:b/>
          <w:sz w:val="24"/>
        </w:rPr>
        <w:t>Single-viewport, no-scroll layout.</w:t>
      </w:r>
      <w:r>
        <w:rPr>
          <w:rFonts w:ascii="Times New Roman" w:hAnsi="Times New Roman"/>
          <w:sz w:val="24"/>
        </w:rPr>
        <w:t xml:space="preserve"> Six cards on a 24-column CSS grid fit on a standard 1440 × 900 display without scrolling. The reasoning fits on one screen.</w:t>
      </w:r>
    </w:p>
    <w:p>
      <w:pPr>
        <w:spacing w:lineRule="auto" w:line="276" w:after="120"/>
        <w:jc w:val="both"/>
      </w:pPr>
      <w:r>
        <w:rPr>
          <w:rFonts w:ascii="Times New Roman" w:hAnsi="Times New Roman"/>
          <w:b/>
          <w:sz w:val="24"/>
        </w:rPr>
        <w:t>Seeded jitter for stability.</w:t>
      </w:r>
      <w:r>
        <w:rPr>
          <w:rFonts w:ascii="Times New Roman" w:hAnsi="Times New Roman"/>
          <w:sz w:val="24"/>
        </w:rPr>
        <w:t xml:space="preserve"> Grades are integer-valued and heavily overplotted. Jitter is generated from a deterministic LCG seeded at </w:t>
      </w:r>
      <w:r>
        <w:rPr>
          <w:rFonts w:ascii="Consolas" w:hAnsi="Consolas"/>
          <w:sz w:val="20"/>
        </w:rPr>
        <w:t>0.42</w:t>
      </w:r>
      <w:r>
        <w:rPr>
          <w:rFonts w:ascii="Times New Roman" w:hAnsi="Times New Roman"/>
          <w:sz w:val="24"/>
        </w:rPr>
        <w:t>, so identical filter state always produces identical dot positions across redraws — the chart never visually flickers when the user toggles a filter.</w:t>
      </w:r>
    </w:p>
    <w:p>
      <w:pPr>
        <w:spacing w:lineRule="auto" w:line="276" w:after="120"/>
        <w:jc w:val="both"/>
      </w:pPr>
      <w:r>
        <w:rPr>
          <w:rFonts w:ascii="Times New Roman" w:hAnsi="Times New Roman"/>
          <w:b/>
          <w:sz w:val="24"/>
        </w:rPr>
        <w:t>Data-tight Y-axis on the trajectory chart.</w:t>
      </w:r>
      <w:r>
        <w:rPr>
          <w:rFonts w:ascii="Times New Roman" w:hAnsi="Times New Roman"/>
          <w:sz w:val="24"/>
        </w:rPr>
        <w:t xml:space="preserve"> A fixed </w:t>
      </w:r>
      <w:r>
        <w:rPr>
          <w:rFonts w:ascii="Times New Roman" w:hAnsi="Times New Roman"/>
          <w:sz w:val="24"/>
        </w:rPr>
        <w:t>[0, 20] domain makes 1–2-point group differences invisible. The progression chart auto-zooms to where the mean lines actually live, with a ±1.5-grade buffer.</w:t>
      </w:r>
    </w:p>
    <w:p>
      <w:pPr>
        <w:spacing w:lineRule="auto" w:line="276" w:after="120"/>
        <w:jc w:val="both"/>
      </w:pPr>
      <w:r>
        <w:rPr>
          <w:rFonts w:ascii="Times New Roman" w:hAnsi="Times New Roman"/>
          <w:b/>
          <w:sz w:val="24"/>
        </w:rPr>
        <w:t>Theme that persists.</w:t>
      </w:r>
      <w:r>
        <w:rPr>
          <w:rFonts w:ascii="Times New Roman" w:hAnsi="Times New Roman"/>
          <w:sz w:val="24"/>
        </w:rPr>
        <w:t xml:space="preserve"> Toggling dark mode survives a page reload via </w:t>
      </w:r>
      <w:r>
        <w:rPr>
          <w:rFonts w:ascii="Consolas" w:hAnsi="Consolas"/>
          <w:sz w:val="20"/>
        </w:rPr>
        <w:t>localStorage</w:t>
      </w:r>
      <w:r>
        <w:rPr>
          <w:rFonts w:ascii="Times New Roman" w:hAnsi="Times New Roman"/>
          <w:sz w:val="24"/>
        </w:rPr>
        <w:t xml:space="preserve">. First load respects the operating-system </w:t>
      </w:r>
      <w:r>
        <w:rPr>
          <w:rFonts w:ascii="Consolas" w:hAnsi="Consolas"/>
          <w:sz w:val="20"/>
        </w:rPr>
        <w:t>prefers-color-scheme</w:t>
      </w:r>
      <w:r>
        <w:rPr>
          <w:rFonts w:ascii="Times New Roman" w:hAnsi="Times New Roman"/>
          <w:sz w:val="24"/>
        </w:rPr>
        <w:t xml:space="preserve"> preference. All charts redraw on theme change — no stale cached colours.</w:t>
      </w:r>
    </w:p>
    <w:p>
      <w:pPr>
        <w:keepNext/>
        <w:spacing w:before="200" w:after="80"/>
        <w:jc w:val="left"/>
      </w:pPr>
      <w:r>
        <w:rPr>
          <w:rFonts w:ascii="Times New Roman" w:hAnsi="Times New Roman"/>
          <w:b/>
          <w:sz w:val="24"/>
        </w:rPr>
        <w:t>5.2 Chart-type rationale</w:t>
      </w:r>
    </w:p>
    <w:p>
      <w:pPr>
        <w:spacing w:lineRule="auto" w:line="276" w:after="120"/>
        <w:jc w:val="both"/>
      </w:pPr>
      <w:r>
        <w:rPr>
          <w:rFonts w:ascii="Times New Roman" w:hAnsi="Times New Roman"/>
          <w:b/>
          <w:sz w:val="24"/>
        </w:rPr>
        <w:t>Lollipop, not bar (Key Drivers).</w:t>
      </w:r>
      <w:r>
        <w:rPr>
          <w:rFonts w:ascii="Times New Roman" w:hAnsi="Times New Roman"/>
          <w:sz w:val="24"/>
        </w:rPr>
        <w:t xml:space="preserve"> Lollipop charts read the same as bar charts but use less ink for the same data — a Tufte-inspired choice. The dot at the tip allows precise hover targeting; the stem encodes magnitude.</w:t>
      </w:r>
    </w:p>
    <w:p>
      <w:pPr>
        <w:spacing w:lineRule="auto" w:line="276" w:after="120"/>
        <w:jc w:val="both"/>
      </w:pPr>
      <w:r>
        <w:rPr>
          <w:rFonts w:ascii="Times New Roman" w:hAnsi="Times New Roman"/>
          <w:b/>
          <w:sz w:val="24"/>
        </w:rPr>
        <w:t>Scatter with OLS line, not heatmap (Grade Correlation).</w:t>
      </w:r>
      <w:r>
        <w:rPr>
          <w:rFonts w:ascii="Times New Roman" w:hAnsi="Times New Roman"/>
          <w:sz w:val="24"/>
        </w:rPr>
        <w:t xml:space="preserve"> A scatter preserves individual students as discrete marks, which is essential when the unit of intervention is the individual student. A heatmap would aggregate them away.</w:t>
      </w:r>
    </w:p>
    <w:p>
      <w:pPr>
        <w:spacing w:lineRule="auto" w:line="276" w:after="120"/>
        <w:jc w:val="both"/>
      </w:pPr>
      <w:r>
        <w:rPr>
          <w:rFonts w:ascii="Times New Roman" w:hAnsi="Times New Roman"/>
          <w:b/>
          <w:sz w:val="24"/>
        </w:rPr>
        <w:t>Tabbed personas, not radar chart (Behavioural Profiles).</w:t>
      </w:r>
      <w:r>
        <w:rPr>
          <w:rFonts w:ascii="Times New Roman" w:hAnsi="Times New Roman"/>
          <w:sz w:val="24"/>
        </w:rPr>
        <w:t xml:space="preserve"> Radar charts are notoriously hard to compare across categories because the polygon area is non-linear in the underlying values. Tabs with side-by-side attribute bars preserve linear comparability and add a clear at-risk-rate badge.</w:t>
      </w:r>
    </w:p>
    <w:p>
      <w:pPr>
        <w:spacing w:lineRule="auto" w:line="276" w:after="120"/>
        <w:jc w:val="both"/>
      </w:pPr>
      <w:r>
        <w:rPr>
          <w:rFonts w:ascii="Times New Roman" w:hAnsi="Times New Roman"/>
          <w:b/>
          <w:sz w:val="24"/>
        </w:rPr>
        <w:t>Confusion matrix, not single accuracy number (Dropout Risk Predictor).</w:t>
      </w:r>
      <w:r>
        <w:rPr>
          <w:rFonts w:ascii="Times New Roman" w:hAnsi="Times New Roman"/>
          <w:sz w:val="24"/>
        </w:rPr>
        <w:t xml:space="preserve"> A 2 × 2 matrix exposes the four outcome types — correctly caught, false alarm, missed, all-clear — independently. The asymmetric cost of </w:t>
      </w:r>
      <w:r>
        <w:rPr>
          <w:rFonts w:ascii="Times New Roman" w:hAnsi="Times New Roman"/>
          <w:i/>
          <w:sz w:val="24"/>
        </w:rPr>
        <w:t>missed</w:t>
      </w:r>
      <w:r>
        <w:rPr>
          <w:rFonts w:ascii="Times New Roman" w:hAnsi="Times New Roman"/>
          <w:sz w:val="24"/>
        </w:rPr>
        <w:t xml:space="preserve"> versus </w:t>
      </w:r>
      <w:r>
        <w:rPr>
          <w:rFonts w:ascii="Times New Roman" w:hAnsi="Times New Roman"/>
          <w:i/>
          <w:sz w:val="24"/>
        </w:rPr>
        <w:t>false alarm</w:t>
      </w:r>
      <w:r>
        <w:rPr>
          <w:rFonts w:ascii="Times New Roman" w:hAnsi="Times New Roman"/>
          <w:sz w:val="24"/>
        </w:rPr>
        <w:t xml:space="preserve"> in our use case demands this exposure; a single accuracy figure conceals it.</w:t>
      </w:r>
    </w:p>
    <w:p>
      <w:pPr>
        <w:spacing w:lineRule="auto" w:line="276" w:after="120"/>
        <w:jc w:val="both"/>
      </w:pPr>
      <w:r>
        <w:rPr>
          <w:rFonts w:ascii="Times New Roman" w:hAnsi="Times New Roman"/>
          <w:b/>
          <w:sz w:val="24"/>
        </w:rPr>
        <w:t>Spaghetti + group means with bands, not box plot (Progression).</w:t>
      </w:r>
      <w:r>
        <w:rPr>
          <w:rFonts w:ascii="Times New Roman" w:hAnsi="Times New Roman"/>
          <w:sz w:val="24"/>
        </w:rPr>
        <w:t xml:space="preserve"> A box plot collapses each period into five summary numbers and obscures the trajectory of individual students. Spaghetti preserves trajectories; bold group means and ±1σ bands provide the comparative reading.</w:t>
      </w:r>
    </w:p>
    <w:p>
      <w:pPr>
        <w:spacing w:lineRule="auto" w:line="276" w:after="120"/>
        <w:jc w:val="both"/>
      </w:pPr>
      <w:r>
        <w:rPr>
          <w:rFonts w:ascii="Times New Roman" w:hAnsi="Times New Roman"/>
          <w:b/>
          <w:sz w:val="24"/>
        </w:rPr>
        <w:t>Histogram + KDE, not boxplot (Distribution).</w:t>
      </w:r>
      <w:r>
        <w:rPr>
          <w:rFonts w:ascii="Times New Roman" w:hAnsi="Times New Roman"/>
          <w:sz w:val="24"/>
        </w:rPr>
        <w:t xml:space="preserve"> A box plot would entirely conceal the bimodality. The histogram exposes the secondary mode at G3 = 0 directly; the KDE overlay smooths the central distribution for shape reading.</w:t>
      </w:r>
    </w:p>
    <w:p>
      <w:pPr>
        <w:keepNext/>
        <w:spacing w:before="200" w:after="80"/>
        <w:jc w:val="left"/>
      </w:pPr>
      <w:r>
        <w:rPr>
          <w:rFonts w:ascii="Times New Roman" w:hAnsi="Times New Roman"/>
          <w:b/>
          <w:sz w:val="24"/>
        </w:rPr>
        <w:t>5.3 Interaction model</w:t>
      </w:r>
    </w:p>
    <w:p>
      <w:pPr>
        <w:spacing w:lineRule="auto" w:line="276" w:after="120"/>
        <w:jc w:val="both"/>
      </w:pPr>
      <w:r>
        <w:rPr>
          <w:rFonts w:ascii="Times New Roman" w:hAnsi="Times New Roman"/>
          <w:b/>
          <w:sz w:val="24"/>
        </w:rPr>
        <w:t>Global controls.</w:t>
      </w:r>
      <w:r>
        <w:rPr>
          <w:rFonts w:ascii="Times New Roman" w:hAnsi="Times New Roman"/>
          <w:sz w:val="24"/>
        </w:rPr>
        <w:t xml:space="preserve"> Four bands of global controls personalise every step of reasoning:</w:t>
      </w:r>
    </w:p>
    <w:p>
      <w:pPr>
        <w:pStyle w:val="ListBullet"/>
        <w:spacing w:lineRule="auto" w:line="276" w:after="40"/>
      </w:pPr>
      <w:r>
        <w:rPr>
          <w:rFonts w:ascii="Times New Roman" w:hAnsi="Times New Roman"/>
          <w:i/>
          <w:sz w:val="24"/>
        </w:rPr>
        <w:t>Subject toggle</w:t>
      </w:r>
      <w:r>
        <w:rPr>
          <w:rFonts w:ascii="Times New Roman" w:hAnsi="Times New Roman"/>
          <w:sz w:val="24"/>
        </w:rPr>
        <w:t xml:space="preserve"> — Both / Math / Portuguese.</w:t>
      </w:r>
    </w:p>
    <w:p>
      <w:pPr>
        <w:pStyle w:val="ListBullet"/>
        <w:spacing w:lineRule="auto" w:line="276" w:after="40"/>
      </w:pPr>
      <w:r>
        <w:rPr>
          <w:rFonts w:ascii="Times New Roman" w:hAnsi="Times New Roman"/>
          <w:i/>
          <w:sz w:val="24"/>
        </w:rPr>
        <w:t>View-by switcher</w:t>
      </w:r>
      <w:r>
        <w:rPr>
          <w:rFonts w:ascii="Times New Roman" w:hAnsi="Times New Roman"/>
          <w:sz w:val="24"/>
        </w:rPr>
        <w:t xml:space="preserve"> — Gender / School / Internet / Higher-Education Goal — the semantic colour axis.</w:t>
      </w:r>
    </w:p>
    <w:p>
      <w:pPr>
        <w:pStyle w:val="ListBullet"/>
        <w:spacing w:lineRule="auto" w:line="276" w:after="40"/>
      </w:pPr>
      <w:r>
        <w:rPr>
          <w:rFonts w:ascii="Times New Roman" w:hAnsi="Times New Roman"/>
          <w:i/>
          <w:sz w:val="24"/>
        </w:rPr>
        <w:t>Chip filter</w:t>
      </w:r>
      <w:r>
        <w:rPr>
          <w:rFonts w:ascii="Times New Roman" w:hAnsi="Times New Roman"/>
          <w:sz w:val="24"/>
        </w:rPr>
        <w:t xml:space="preserve"> — per-view subgroup toggles, additive.</w:t>
      </w:r>
    </w:p>
    <w:p>
      <w:pPr>
        <w:pStyle w:val="ListBullet"/>
        <w:spacing w:lineRule="auto" w:line="276" w:after="40"/>
      </w:pPr>
      <w:r>
        <w:rPr>
          <w:rFonts w:ascii="Times New Roman" w:hAnsi="Times New Roman"/>
          <w:i/>
          <w:sz w:val="24"/>
        </w:rPr>
        <w:t>Dark-mode toggle</w:t>
      </w:r>
      <w:r>
        <w:rPr>
          <w:rFonts w:ascii="Times New Roman" w:hAnsi="Times New Roman"/>
          <w:sz w:val="24"/>
        </w:rPr>
        <w:t xml:space="preserve"> — persisted; respects OS preference.</w:t>
      </w:r>
    </w:p>
    <w:p>
      <w:pPr>
        <w:spacing w:lineRule="auto" w:line="276" w:after="120"/>
        <w:jc w:val="both"/>
      </w:pPr>
      <w:r>
        <w:rPr>
          <w:rFonts w:ascii="Times New Roman" w:hAnsi="Times New Roman"/>
          <w:b/>
          <w:sz w:val="24"/>
        </w:rPr>
        <w:t>Cross-card linking.</w:t>
      </w:r>
      <w:r>
        <w:rPr>
          <w:rFonts w:ascii="Times New Roman" w:hAnsi="Times New Roman"/>
          <w:sz w:val="24"/>
        </w:rPr>
        <w:t xml:space="preserve"> Clicking a feature in </w:t>
      </w:r>
      <w:r>
        <w:rPr>
          <w:rFonts w:ascii="Times New Roman" w:hAnsi="Times New Roman"/>
          <w:i/>
          <w:sz w:val="24"/>
        </w:rPr>
        <w:t>Key Drivers</w:t>
      </w:r>
      <w:r>
        <w:rPr>
          <w:rFonts w:ascii="Times New Roman" w:hAnsi="Times New Roman"/>
          <w:sz w:val="24"/>
        </w:rPr>
        <w:t xml:space="preserve"> repoints the </w:t>
      </w:r>
      <w:r>
        <w:rPr>
          <w:rFonts w:ascii="Times New Roman" w:hAnsi="Times New Roman"/>
          <w:i/>
          <w:sz w:val="24"/>
        </w:rPr>
        <w:t>Grade Correlation</w:t>
      </w:r>
      <w:r>
        <w:rPr>
          <w:rFonts w:ascii="Times New Roman" w:hAnsi="Times New Roman"/>
          <w:sz w:val="24"/>
        </w:rPr>
        <w:t xml:space="preserve"> scatter to that feature. This single linkage encodes the four-step reasoning pipeline in clicks — the user does not need menus.</w:t>
      </w:r>
    </w:p>
    <w:p>
      <w:pPr>
        <w:spacing w:lineRule="auto" w:line="276" w:after="120"/>
        <w:jc w:val="both"/>
      </w:pPr>
      <w:r>
        <w:rPr>
          <w:rFonts w:ascii="Times New Roman" w:hAnsi="Times New Roman"/>
          <w:b/>
          <w:sz w:val="24"/>
        </w:rPr>
        <w:t>KPI bar and insight strip.</w:t>
      </w:r>
      <w:r>
        <w:rPr>
          <w:rFonts w:ascii="Times New Roman" w:hAnsi="Times New Roman"/>
          <w:sz w:val="24"/>
        </w:rPr>
        <w:t xml:space="preserve"> A six-metric KPI bar (cohort size, average G3, pass rate, average absences, at-risk %, top risk factor) sits above the cards and recomputes live on every control change. An insight strip below it converts the current view into a one-sentence headline (e.g. </w:t>
      </w:r>
      <w:r>
        <w:rPr>
          <w:rFonts w:ascii="Times New Roman" w:hAnsi="Times New Roman"/>
          <w:i/>
          <w:sz w:val="24"/>
        </w:rPr>
        <w:t>"Gender gap: +0.2 pts — avg grade: Female 11.4 · Male 11.2"</w:t>
      </w:r>
      <w:r>
        <w:rPr>
          <w:rFonts w:ascii="Times New Roman" w:hAnsi="Times New Roman"/>
          <w:sz w:val="24"/>
        </w:rPr>
        <w:t xml:space="preserve">). Both regions are </w:t>
      </w:r>
      <w:r>
        <w:rPr>
          <w:rFonts w:ascii="Consolas" w:hAnsi="Consolas"/>
          <w:sz w:val="20"/>
        </w:rPr>
        <w:t>aria-live="polite"</w:t>
      </w:r>
      <w:r>
        <w:rPr>
          <w:rFonts w:ascii="Times New Roman" w:hAnsi="Times New Roman"/>
          <w:sz w:val="24"/>
        </w:rPr>
        <w:t xml:space="preserve"> so screen-reader users are notified of updates.</w:t>
      </w:r>
    </w:p>
    <w:p>
      <w:pPr>
        <w:spacing w:lineRule="auto" w:line="276" w:after="120"/>
        <w:jc w:val="both"/>
      </w:pPr>
      <w:r>
        <w:rPr>
          <w:rFonts w:ascii="Times New Roman" w:hAnsi="Times New Roman"/>
          <w:b/>
          <w:sz w:val="24"/>
        </w:rPr>
        <w:t>Hover and tooltips.</w:t>
      </w:r>
      <w:r>
        <w:rPr>
          <w:rFonts w:ascii="Times New Roman" w:hAnsi="Times New Roman"/>
          <w:sz w:val="24"/>
        </w:rPr>
        <w:t xml:space="preserve"> A single global tooltip with edge-aware positioning (flips around the cursor near right and top margins, clamps to viewport) is used across all charts. Hovering any chart element surfaces a per-element profile.</w:t>
      </w:r>
    </w:p>
    <w:p>
      <w:pPr>
        <w:keepNext/>
        <w:spacing w:before="200" w:after="80"/>
        <w:jc w:val="left"/>
      </w:pPr>
      <w:r>
        <w:rPr>
          <w:rFonts w:ascii="Times New Roman" w:hAnsi="Times New Roman"/>
          <w:b/>
          <w:sz w:val="24"/>
        </w:rPr>
        <w:t>5.4 Visual design</w:t>
      </w:r>
    </w:p>
    <w:p>
      <w:pPr>
        <w:spacing w:lineRule="auto" w:line="276" w:after="120"/>
        <w:jc w:val="both"/>
      </w:pPr>
      <w:r>
        <w:rPr>
          <w:rFonts w:ascii="Times New Roman" w:hAnsi="Times New Roman"/>
          <w:b/>
          <w:sz w:val="24"/>
        </w:rPr>
        <w:t>Typography.</w:t>
      </w:r>
      <w:r>
        <w:rPr>
          <w:rFonts w:ascii="Times New Roman" w:hAnsi="Times New Roman"/>
          <w:sz w:val="24"/>
        </w:rPr>
        <w:t xml:space="preserve"> A single sans-serif family — DM Sans, via Google Fonts — is used for all text. Three CSS variables (</w:t>
      </w:r>
      <w:r>
        <w:rPr>
          <w:rFonts w:ascii="Consolas" w:hAnsi="Consolas"/>
          <w:sz w:val="20"/>
        </w:rPr>
        <w:t>--font-display</w:t>
      </w:r>
      <w:r>
        <w:rPr>
          <w:rFonts w:ascii="Times New Roman" w:hAnsi="Times New Roman"/>
          <w:sz w:val="24"/>
        </w:rPr>
        <w:t xml:space="preserve">, </w:t>
      </w:r>
      <w:r>
        <w:rPr>
          <w:rFonts w:ascii="Consolas" w:hAnsi="Consolas"/>
          <w:sz w:val="20"/>
        </w:rPr>
        <w:t>--font-body</w:t>
      </w:r>
      <w:r>
        <w:rPr>
          <w:rFonts w:ascii="Times New Roman" w:hAnsi="Times New Roman"/>
          <w:sz w:val="24"/>
        </w:rPr>
        <w:t xml:space="preserve">, </w:t>
      </w:r>
      <w:r>
        <w:rPr>
          <w:rFonts w:ascii="Consolas" w:hAnsi="Consolas"/>
          <w:sz w:val="20"/>
        </w:rPr>
        <w:t>--font-mono</w:t>
      </w:r>
      <w:r>
        <w:rPr>
          <w:rFonts w:ascii="Times New Roman" w:hAnsi="Times New Roman"/>
          <w:sz w:val="24"/>
        </w:rPr>
        <w:t xml:space="preserve">) resolve to DM Sans, so any per-chart text element automatically inherits the family. Numeric text uses </w:t>
      </w:r>
      <w:r>
        <w:rPr>
          <w:rFonts w:ascii="Consolas" w:hAnsi="Consolas"/>
          <w:sz w:val="20"/>
        </w:rPr>
        <w:t>font-variant-numeric: tabular-nums</w:t>
      </w:r>
      <w:r>
        <w:rPr>
          <w:rFonts w:ascii="Times New Roman" w:hAnsi="Times New Roman"/>
          <w:sz w:val="24"/>
        </w:rPr>
        <w:t xml:space="preserve"> so digits align across rows.</w:t>
      </w:r>
    </w:p>
    <w:p>
      <w:pPr>
        <w:spacing w:lineRule="auto" w:line="276" w:after="120"/>
        <w:jc w:val="both"/>
      </w:pPr>
      <w:r>
        <w:rPr>
          <w:rFonts w:ascii="Times New Roman" w:hAnsi="Times New Roman"/>
          <w:b/>
          <w:sz w:val="24"/>
        </w:rPr>
        <w:t>Colour semantics.</w:t>
      </w:r>
      <w:r>
        <w:rPr>
          <w:rFonts w:ascii="Times New Roman" w:hAnsi="Times New Roman"/>
          <w:sz w:val="24"/>
        </w:rPr>
        <w:t xml:space="preserve"> Red is reserved for danger and threshold lines (the pass line, the MISSED cell, at-risk badges) and is never used for cluster groups. Orange (</w:t>
      </w:r>
      <w:r>
        <w:rPr>
          <w:rFonts w:ascii="Consolas" w:hAnsi="Consolas"/>
          <w:sz w:val="20"/>
        </w:rPr>
        <w:t>--accent-orange</w:t>
      </w:r>
      <w:r>
        <w:rPr>
          <w:rFonts w:ascii="Times New Roman" w:hAnsi="Times New Roman"/>
          <w:sz w:val="24"/>
        </w:rPr>
        <w:t xml:space="preserve">) is used for the </w:t>
      </w:r>
      <w:r>
        <w:rPr>
          <w:rFonts w:ascii="Times New Roman" w:hAnsi="Times New Roman"/>
          <w:i/>
          <w:sz w:val="24"/>
        </w:rPr>
        <w:t>Social Risk Group</w:t>
      </w:r>
      <w:r>
        <w:rPr>
          <w:rFonts w:ascii="Times New Roman" w:hAnsi="Times New Roman"/>
          <w:sz w:val="24"/>
        </w:rPr>
        <w:t xml:space="preserve"> persona — the "elevated risk" cluster — to avoid mis-reading the cluster as a system error.</w:t>
      </w:r>
    </w:p>
    <w:p>
      <w:pPr>
        <w:spacing w:lineRule="auto" w:line="276" w:after="120"/>
        <w:jc w:val="both"/>
      </w:pPr>
      <w:r>
        <w:rPr>
          <w:rFonts w:ascii="Times New Roman" w:hAnsi="Times New Roman"/>
          <w:b/>
          <w:sz w:val="24"/>
        </w:rPr>
        <w:t>Layout.</w:t>
      </w:r>
      <w:r>
        <w:rPr>
          <w:rFonts w:ascii="Times New Roman" w:hAnsi="Times New Roman"/>
          <w:sz w:val="24"/>
        </w:rPr>
        <w:t xml:space="preserve"> A 24-column CSS grid distributes the six cards across two rows, with column ratios (1.75 : 2.5 : 1.75) in the first row that put the scatter chart, the centrepiece of bivariate reasoning, in the widest position.</w:t>
      </w:r>
    </w:p>
    <w:p>
      <w:pPr>
        <w:spacing w:lineRule="auto" w:line="276" w:after="120"/>
        <w:jc w:val="both"/>
      </w:pPr>
      <w:r>
        <w:rPr>
          <w:rFonts w:ascii="Times New Roman" w:hAnsi="Times New Roman"/>
          <w:b/>
          <w:sz w:val="24"/>
        </w:rPr>
        <w:t>Borders and shadows.</w:t>
      </w:r>
      <w:r>
        <w:rPr>
          <w:rFonts w:ascii="Times New Roman" w:hAnsi="Times New Roman"/>
          <w:sz w:val="24"/>
        </w:rPr>
        <w:t xml:space="preserve"> Card borders use a near-transparent rule (</w:t>
      </w:r>
      <w:r>
        <w:rPr>
          <w:rFonts w:ascii="Consolas" w:hAnsi="Consolas"/>
          <w:sz w:val="20"/>
        </w:rPr>
        <w:t>rgba(0,0,0,0.06)</w:t>
      </w:r>
      <w:r>
        <w:rPr>
          <w:rFonts w:ascii="Times New Roman" w:hAnsi="Times New Roman"/>
          <w:sz w:val="24"/>
        </w:rPr>
        <w:t xml:space="preserve"> in light mode, </w:t>
      </w:r>
      <w:r>
        <w:rPr>
          <w:rFonts w:ascii="Consolas" w:hAnsi="Consolas"/>
          <w:sz w:val="20"/>
        </w:rPr>
        <w:t>rgba(255,255,255,0.06)</w:t>
      </w:r>
      <w:r>
        <w:rPr>
          <w:rFonts w:ascii="Times New Roman" w:hAnsi="Times New Roman"/>
          <w:sz w:val="24"/>
        </w:rPr>
        <w:t xml:space="preserve"> in dark mode), with box-shadow doing the heavy lifting of visual separation. This avoids the "cramped" feeling of heavy lines noted in early UI audits of the dashboard.</w:t>
      </w:r>
    </w:p>
    <w:p>
      <w:pPr>
        <w:keepNext/>
        <w:spacing w:before="200" w:after="80"/>
        <w:jc w:val="left"/>
      </w:pPr>
      <w:r>
        <w:rPr>
          <w:rFonts w:ascii="Times New Roman" w:hAnsi="Times New Roman"/>
          <w:b/>
          <w:sz w:val="24"/>
        </w:rPr>
        <w:t>5.5 Accessibility</w:t>
      </w:r>
    </w:p>
    <w:p>
      <w:pPr>
        <w:spacing w:lineRule="auto" w:line="276" w:after="120"/>
        <w:jc w:val="both"/>
      </w:pPr>
      <w:r>
        <w:rPr>
          <w:rFonts w:ascii="Times New Roman" w:hAnsi="Times New Roman"/>
          <w:sz w:val="24"/>
        </w:rPr>
        <w:t>Accessibility is treated as a baseline, not an add-on:</w:t>
      </w:r>
    </w:p>
    <w:p>
      <w:pPr>
        <w:pStyle w:val="ListBullet"/>
        <w:spacing w:lineRule="auto" w:line="276" w:after="40"/>
      </w:pPr>
      <w:r>
        <w:rPr>
          <w:rFonts w:ascii="Times New Roman" w:hAnsi="Times New Roman"/>
          <w:sz w:val="24"/>
        </w:rPr>
        <w:t>All interactive elements (chips, view switchers, persona tabs, theme toggle, chart dots used as buttons) have visible focus rings (</w:t>
      </w:r>
      <w:r>
        <w:rPr>
          <w:rFonts w:ascii="Consolas" w:hAnsi="Consolas"/>
          <w:sz w:val="20"/>
        </w:rPr>
        <w:t>:focus-visible</w:t>
      </w:r>
      <w:r>
        <w:rPr>
          <w:rFonts w:ascii="Times New Roman" w:hAnsi="Times New Roman"/>
          <w:sz w:val="24"/>
        </w:rPr>
        <w:t xml:space="preserve">) using a defined </w:t>
      </w:r>
      <w:r>
        <w:rPr>
          <w:rFonts w:ascii="Consolas" w:hAnsi="Consolas"/>
          <w:sz w:val="20"/>
        </w:rPr>
        <w:t>--focus-ring</w:t>
      </w:r>
      <w:r>
        <w:rPr>
          <w:rFonts w:ascii="Times New Roman" w:hAnsi="Times New Roman"/>
          <w:sz w:val="24"/>
        </w:rPr>
        <w:t xml:space="preserve"> CSS variable.</w:t>
      </w:r>
    </w:p>
    <w:p>
      <w:pPr>
        <w:pStyle w:val="ListBullet"/>
        <w:spacing w:lineRule="auto" w:line="276" w:after="40"/>
      </w:pPr>
      <w:r>
        <w:rPr>
          <w:rFonts w:ascii="Times New Roman" w:hAnsi="Times New Roman"/>
          <w:sz w:val="24"/>
        </w:rPr>
        <w:t xml:space="preserve">All transitions respect </w:t>
      </w:r>
      <w:r>
        <w:rPr>
          <w:rFonts w:ascii="Consolas" w:hAnsi="Consolas"/>
          <w:sz w:val="20"/>
        </w:rPr>
        <w:t>prefers-reduced-motion</w:t>
      </w:r>
      <w:r>
        <w:rPr>
          <w:rFonts w:ascii="Times New Roman" w:hAnsi="Times New Roman"/>
          <w:sz w:val="24"/>
        </w:rPr>
        <w:t>. When the user has requested reduced motion at the OS level, dashboard transitions are reduced to instantaneous state changes.</w:t>
      </w:r>
    </w:p>
    <w:p>
      <w:pPr>
        <w:pStyle w:val="ListBullet"/>
        <w:spacing w:lineRule="auto" w:line="276" w:after="40"/>
      </w:pPr>
      <w:r>
        <w:rPr>
          <w:rFonts w:ascii="Times New Roman" w:hAnsi="Times New Roman"/>
          <w:sz w:val="24"/>
        </w:rPr>
        <w:t xml:space="preserve">The KPI bar and insight strip are </w:t>
      </w:r>
      <w:r>
        <w:rPr>
          <w:rFonts w:ascii="Consolas" w:hAnsi="Consolas"/>
          <w:sz w:val="20"/>
        </w:rPr>
        <w:t>aria-live="polite"</w:t>
      </w:r>
      <w:r>
        <w:rPr>
          <w:rFonts w:ascii="Times New Roman" w:hAnsi="Times New Roman"/>
          <w:sz w:val="24"/>
        </w:rPr>
        <w:t xml:space="preserve"> so screen-reader users hear updates without the announcement interrupting the current speech.</w:t>
      </w:r>
    </w:p>
    <w:p>
      <w:pPr>
        <w:pStyle w:val="ListBullet"/>
        <w:spacing w:lineRule="auto" w:line="276" w:after="40"/>
      </w:pPr>
      <w:r>
        <w:rPr>
          <w:rFonts w:ascii="Times New Roman" w:hAnsi="Times New Roman"/>
          <w:sz w:val="24"/>
        </w:rPr>
        <w:t xml:space="preserve">The theme toggle uses </w:t>
      </w:r>
      <w:r>
        <w:rPr>
          <w:rFonts w:ascii="Consolas" w:hAnsi="Consolas"/>
          <w:sz w:val="20"/>
        </w:rPr>
        <w:t>aria-pressed</w:t>
      </w:r>
      <w:r>
        <w:rPr>
          <w:rFonts w:ascii="Times New Roman" w:hAnsi="Times New Roman"/>
          <w:sz w:val="24"/>
        </w:rPr>
        <w:t xml:space="preserve"> to expose its current state to assistive technology.</w:t>
      </w:r>
    </w:p>
    <w:p>
      <w:pPr>
        <w:pStyle w:val="ListBullet"/>
        <w:spacing w:lineRule="auto" w:line="276" w:after="40"/>
      </w:pPr>
      <w:r>
        <w:rPr>
          <w:rFonts w:ascii="Times New Roman" w:hAnsi="Times New Roman"/>
          <w:sz w:val="24"/>
        </w:rPr>
        <w:t>Chips and persona tabs are keyboard-activatable; pressing Enter or Space invokes the same handler as a mouse click.</w:t>
      </w:r>
    </w:p>
    <w:p>
      <w:pPr>
        <w:spacing w:lineRule="auto" w:line="276" w:after="120"/>
        <w:jc w:val="both"/>
      </w:pPr>
      <w:r>
        <w:rPr>
          <w:rFonts w:ascii="Times New Roman" w:hAnsi="Times New Roman"/>
          <w:sz w:val="24"/>
        </w:rPr>
        <w:t xml:space="preserve">These choices follow the WCAG 2.2 guidelines </w:t>
      </w:r>
      <w:r>
        <w:rPr>
          <w:rFonts w:ascii="Times New Roman" w:hAnsi="Times New Roman"/>
          <w:sz w:val="24"/>
        </w:rPr>
        <w:t>[8] and the Section 508 baselines that many universities and school systems require.</w:t>
      </w:r>
    </w:p>
    <w:p>
      <w:pPr>
        <w:pBdr>
          <w:bottom w:val="single" w:sz="6" w:space="1" w:color="BFBFBF"/>
        </w:pBdr>
      </w:pPr>
    </w:p>
    <w:p>
      <w:pPr>
        <w:keepNext/>
        <w:spacing w:before="280" w:after="120"/>
        <w:jc w:val="left"/>
      </w:pPr>
      <w:r>
        <w:rPr>
          <w:rFonts w:ascii="Times New Roman" w:hAnsi="Times New Roman"/>
          <w:b/>
          <w:sz w:val="28"/>
        </w:rPr>
        <w:t>6. Implementation</w:t>
      </w:r>
    </w:p>
    <w:p>
      <w:pPr>
        <w:keepNext/>
        <w:spacing w:before="200" w:after="80"/>
        <w:jc w:val="left"/>
      </w:pPr>
      <w:r>
        <w:rPr>
          <w:rFonts w:ascii="Times New Roman" w:hAnsi="Times New Roman"/>
          <w:b/>
          <w:sz w:val="24"/>
        </w:rPr>
        <w:t>6.1 Architecture</w:t>
      </w:r>
    </w:p>
    <w:p>
      <w:pPr>
        <w:spacing w:lineRule="auto" w:line="276" w:after="120"/>
        <w:jc w:val="both"/>
      </w:pPr>
      <w:r>
        <w:rPr>
          <w:rFonts w:ascii="Times New Roman" w:hAnsi="Times New Roman"/>
          <w:sz w:val="24"/>
        </w:rPr>
        <w:t>The system is structured into two cleanly separated layers — an offline Python analysis pipeline and an in-browser presentation layer — connected only by a single CSV file and a small number of hardcoded constants. Figure 1 (Appendix C) shows the full architecture.</w:t>
      </w:r>
    </w:p>
    <w:p>
      <w:pPr>
        <w:spacing w:lineRule="auto" w:line="276" w:after="120"/>
        <w:jc w:val="both"/>
      </w:pPr>
      <w:r>
        <w:rPr>
          <w:rFonts w:ascii="Times New Roman" w:hAnsi="Times New Roman"/>
          <w:sz w:val="24"/>
        </w:rPr>
        <w:t>The offline pipeline (</w:t>
      </w:r>
      <w:r>
        <w:rPr>
          <w:rFonts w:ascii="Consolas" w:hAnsi="Consolas"/>
          <w:sz w:val="20"/>
        </w:rPr>
        <w:t>analysis/analyze.py</w:t>
      </w:r>
      <w:r>
        <w:rPr>
          <w:rFonts w:ascii="Times New Roman" w:hAnsi="Times New Roman"/>
          <w:sz w:val="24"/>
        </w:rPr>
        <w:t>) reads the two raw UCI files, performs all cleaning and machine learning, and emits the cleaned CSV plus stdout JSON blocks containing the Pearson correlations, K-Means cluster statistics, and Random Forest metrics. These numerical outputs are then copied into the relevant frontend chart modules (</w:t>
      </w:r>
      <w:r>
        <w:rPr>
          <w:rFonts w:ascii="Consolas" w:hAnsi="Consolas"/>
          <w:sz w:val="20"/>
        </w:rPr>
        <w:t>web/charts/importance.js</w:t>
      </w:r>
      <w:r>
        <w:rPr>
          <w:rFonts w:ascii="Times New Roman" w:hAnsi="Times New Roman"/>
          <w:sz w:val="24"/>
        </w:rPr>
        <w:t xml:space="preserve">, </w:t>
      </w:r>
      <w:r>
        <w:rPr>
          <w:rFonts w:ascii="Consolas" w:hAnsi="Consolas"/>
          <w:sz w:val="20"/>
        </w:rPr>
        <w:t>web/charts/personas.js</w:t>
      </w:r>
      <w:r>
        <w:rPr>
          <w:rFonts w:ascii="Times New Roman" w:hAnsi="Times New Roman"/>
          <w:sz w:val="24"/>
        </w:rPr>
        <w:t xml:space="preserve">, </w:t>
      </w:r>
      <w:r>
        <w:rPr>
          <w:rFonts w:ascii="Consolas" w:hAnsi="Consolas"/>
          <w:sz w:val="20"/>
        </w:rPr>
        <w:t>web/charts/risk.js</w:t>
      </w:r>
      <w:r>
        <w:rPr>
          <w:rFonts w:ascii="Times New Roman" w:hAnsi="Times New Roman"/>
          <w:sz w:val="24"/>
        </w:rPr>
        <w:t>) as JavaScript object literals.</w:t>
      </w:r>
    </w:p>
    <w:p>
      <w:pPr>
        <w:spacing w:lineRule="auto" w:line="276" w:after="120"/>
        <w:jc w:val="both"/>
      </w:pPr>
      <w:r>
        <w:rPr>
          <w:rFonts w:ascii="Times New Roman" w:hAnsi="Times New Roman"/>
          <w:sz w:val="24"/>
        </w:rPr>
        <w:t>The in-browser layer (</w:t>
      </w:r>
      <w:r>
        <w:rPr>
          <w:rFonts w:ascii="Consolas" w:hAnsi="Consolas"/>
          <w:sz w:val="20"/>
        </w:rPr>
        <w:t>web/</w:t>
      </w:r>
      <w:r>
        <w:rPr>
          <w:rFonts w:ascii="Times New Roman" w:hAnsi="Times New Roman"/>
          <w:sz w:val="24"/>
        </w:rPr>
        <w:t xml:space="preserve">) loads </w:t>
      </w:r>
      <w:r>
        <w:rPr>
          <w:rFonts w:ascii="Consolas" w:hAnsi="Consolas"/>
          <w:sz w:val="20"/>
        </w:rPr>
        <w:t>clean_students.csv</w:t>
      </w:r>
      <w:r>
        <w:rPr>
          <w:rFonts w:ascii="Times New Roman" w:hAnsi="Times New Roman"/>
          <w:sz w:val="24"/>
        </w:rPr>
        <w:t xml:space="preserve"> once via </w:t>
      </w:r>
      <w:r>
        <w:rPr>
          <w:rFonts w:ascii="Consolas" w:hAnsi="Consolas"/>
          <w:sz w:val="20"/>
        </w:rPr>
        <w:t>d3.csv</w:t>
      </w:r>
      <w:r>
        <w:rPr>
          <w:rFonts w:ascii="Times New Roman" w:hAnsi="Times New Roman"/>
          <w:sz w:val="24"/>
        </w:rPr>
        <w:t xml:space="preserve">, holds the data in a single application state object in </w:t>
      </w:r>
      <w:r>
        <w:rPr>
          <w:rFonts w:ascii="Consolas" w:hAnsi="Consolas"/>
          <w:sz w:val="20"/>
        </w:rPr>
        <w:t>main.js</w:t>
      </w:r>
      <w:r>
        <w:rPr>
          <w:rFonts w:ascii="Times New Roman" w:hAnsi="Times New Roman"/>
          <w:sz w:val="24"/>
        </w:rPr>
        <w:t xml:space="preserve">, and dispatches to six chart modules. Each chart module exports a single drawing function that takes the data and the current state; redraws are triggered by control events (subject toggle, view switcher, chip filter, theme change) and by a </w:t>
      </w:r>
      <w:r>
        <w:rPr>
          <w:rFonts w:ascii="Consolas" w:hAnsi="Consolas"/>
          <w:sz w:val="20"/>
        </w:rPr>
        <w:t>ResizeObserver</w:t>
      </w:r>
      <w:r>
        <w:rPr>
          <w:rFonts w:ascii="Times New Roman" w:hAnsi="Times New Roman"/>
          <w:sz w:val="24"/>
        </w:rPr>
        <w:t xml:space="preserve"> on each card.</w:t>
      </w:r>
    </w:p>
    <w:p>
      <w:pPr>
        <w:keepNext/>
        <w:spacing w:before="200" w:after="80"/>
        <w:jc w:val="left"/>
      </w:pPr>
      <w:r>
        <w:rPr>
          <w:rFonts w:ascii="Times New Roman" w:hAnsi="Times New Roman"/>
          <w:b/>
          <w:sz w:val="24"/>
        </w:rPr>
        <w:t>6.2 Technology stack</w:t>
      </w:r>
    </w:p>
    <w:p>
      <w:pPr>
        <w:spacing w:lineRule="auto" w:line="276" w:after="120"/>
        <w:jc w:val="both"/>
      </w:pPr>
      <w:r>
        <w:rPr>
          <w:rFonts w:ascii="Times New Roman" w:hAnsi="Times New Roman"/>
          <w:b/>
          <w:sz w:val="24"/>
        </w:rPr>
        <w:t>Analysis layer.</w:t>
      </w:r>
      <w:r>
        <w:rPr>
          <w:rFonts w:ascii="Times New Roman" w:hAnsi="Times New Roman"/>
          <w:sz w:val="24"/>
        </w:rPr>
        <w:t xml:space="preserve"> Python 3.11, </w:t>
      </w:r>
      <w:r>
        <w:rPr>
          <w:rFonts w:ascii="Consolas" w:hAnsi="Consolas"/>
          <w:sz w:val="20"/>
        </w:rPr>
        <w:t>pandas</w:t>
      </w:r>
      <w:r>
        <w:rPr>
          <w:rFonts w:ascii="Times New Roman" w:hAnsi="Times New Roman"/>
          <w:sz w:val="24"/>
        </w:rPr>
        <w:t xml:space="preserve"> and </w:t>
      </w:r>
      <w:r>
        <w:rPr>
          <w:rFonts w:ascii="Consolas" w:hAnsi="Consolas"/>
          <w:sz w:val="20"/>
        </w:rPr>
        <w:t>numpy</w:t>
      </w:r>
      <w:r>
        <w:rPr>
          <w:rFonts w:ascii="Times New Roman" w:hAnsi="Times New Roman"/>
          <w:sz w:val="24"/>
        </w:rPr>
        <w:t xml:space="preserve"> for data manipulation, </w:t>
      </w:r>
      <w:r>
        <w:rPr>
          <w:rFonts w:ascii="Consolas" w:hAnsi="Consolas"/>
          <w:sz w:val="20"/>
        </w:rPr>
        <w:t>scikit-learn</w:t>
      </w:r>
      <w:r>
        <w:rPr>
          <w:rFonts w:ascii="Times New Roman" w:hAnsi="Times New Roman"/>
          <w:sz w:val="24"/>
        </w:rPr>
        <w:t xml:space="preserve"> 1.4 for K-Means and Random Forest, </w:t>
      </w:r>
      <w:r>
        <w:rPr>
          <w:rFonts w:ascii="Consolas" w:hAnsi="Consolas"/>
          <w:sz w:val="20"/>
        </w:rPr>
        <w:t>scipy.stats</w:t>
      </w:r>
      <w:r>
        <w:rPr>
          <w:rFonts w:ascii="Times New Roman" w:hAnsi="Times New Roman"/>
          <w:sz w:val="24"/>
        </w:rPr>
        <w:t xml:space="preserve"> and </w:t>
      </w:r>
      <w:r>
        <w:rPr>
          <w:rFonts w:ascii="Consolas" w:hAnsi="Consolas"/>
          <w:sz w:val="20"/>
        </w:rPr>
        <w:t>statsmodels</w:t>
      </w:r>
      <w:r>
        <w:rPr>
          <w:rFonts w:ascii="Times New Roman" w:hAnsi="Times New Roman"/>
          <w:sz w:val="24"/>
        </w:rPr>
        <w:t xml:space="preserve"> for inferential statistics, </w:t>
      </w:r>
      <w:r>
        <w:rPr>
          <w:rFonts w:ascii="Consolas" w:hAnsi="Consolas"/>
          <w:sz w:val="20"/>
        </w:rPr>
        <w:t>matplotlib</w:t>
      </w:r>
      <w:r>
        <w:rPr>
          <w:rFonts w:ascii="Times New Roman" w:hAnsi="Times New Roman"/>
          <w:sz w:val="24"/>
        </w:rPr>
        <w:t xml:space="preserve"> and </w:t>
      </w:r>
      <w:r>
        <w:rPr>
          <w:rFonts w:ascii="Consolas" w:hAnsi="Consolas"/>
          <w:sz w:val="20"/>
        </w:rPr>
        <w:t>seaborn</w:t>
      </w:r>
      <w:r>
        <w:rPr>
          <w:rFonts w:ascii="Times New Roman" w:hAnsi="Times New Roman"/>
          <w:sz w:val="24"/>
        </w:rPr>
        <w:t xml:space="preserve"> for the static EDA plots in </w:t>
      </w:r>
      <w:r>
        <w:rPr>
          <w:rFonts w:ascii="Consolas" w:hAnsi="Consolas"/>
          <w:sz w:val="20"/>
        </w:rPr>
        <w:t>visual/</w:t>
      </w:r>
      <w:r>
        <w:rPr>
          <w:rFonts w:ascii="Times New Roman" w:hAnsi="Times New Roman"/>
          <w:sz w:val="24"/>
        </w:rPr>
        <w:t>.</w:t>
      </w:r>
    </w:p>
    <w:p>
      <w:pPr>
        <w:spacing w:lineRule="auto" w:line="276" w:after="120"/>
        <w:jc w:val="both"/>
      </w:pPr>
      <w:r>
        <w:rPr>
          <w:rFonts w:ascii="Times New Roman" w:hAnsi="Times New Roman"/>
          <w:b/>
          <w:sz w:val="24"/>
        </w:rPr>
        <w:t>Presentation layer.</w:t>
      </w:r>
      <w:r>
        <w:rPr>
          <w:rFonts w:ascii="Times New Roman" w:hAnsi="Times New Roman"/>
          <w:sz w:val="24"/>
        </w:rPr>
        <w:t xml:space="preserve"> D3.js version 7, imported as an ES module from a CDN (</w:t>
      </w:r>
      <w:r>
        <w:rPr>
          <w:rFonts w:ascii="Consolas" w:hAnsi="Consolas"/>
          <w:sz w:val="20"/>
        </w:rPr>
        <w:t>https://cdn.jsdelivr.net/npm/d3@7/+esm</w:t>
      </w:r>
      <w:r>
        <w:rPr>
          <w:rFonts w:ascii="Times New Roman" w:hAnsi="Times New Roman"/>
          <w:sz w:val="24"/>
        </w:rPr>
        <w:t>). No front-end build step, no bundler, no npm install. The entire front end is approximately 1,200 lines of plain JavaScript across seven modules, plus one HTML file and one CSS file. The choice of "zero build" is deliberate: it removes a class of toolchain failure modes (Node version mismatches, broken dependency graphs, sourcemap drift) that have historically derailed student projects.</w:t>
      </w:r>
    </w:p>
    <w:p>
      <w:pPr>
        <w:spacing w:lineRule="auto" w:line="276" w:after="120"/>
        <w:jc w:val="both"/>
      </w:pPr>
      <w:r>
        <w:rPr>
          <w:rFonts w:ascii="Times New Roman" w:hAnsi="Times New Roman"/>
          <w:b/>
          <w:sz w:val="24"/>
        </w:rPr>
        <w:t>Styling.</w:t>
      </w:r>
      <w:r>
        <w:rPr>
          <w:rFonts w:ascii="Times New Roman" w:hAnsi="Times New Roman"/>
          <w:sz w:val="24"/>
        </w:rPr>
        <w:t xml:space="preserve"> Vanilla CSS with custom properties (</w:t>
      </w:r>
      <w:r>
        <w:rPr>
          <w:rFonts w:ascii="Consolas" w:hAnsi="Consolas"/>
          <w:sz w:val="20"/>
        </w:rPr>
        <w:t>--bg-card</w:t>
      </w:r>
      <w:r>
        <w:rPr>
          <w:rFonts w:ascii="Times New Roman" w:hAnsi="Times New Roman"/>
          <w:sz w:val="24"/>
        </w:rPr>
        <w:t xml:space="preserve">, </w:t>
      </w:r>
      <w:r>
        <w:rPr>
          <w:rFonts w:ascii="Consolas" w:hAnsi="Consolas"/>
          <w:sz w:val="20"/>
        </w:rPr>
        <w:t>--text-primary</w:t>
      </w:r>
      <w:r>
        <w:rPr>
          <w:rFonts w:ascii="Times New Roman" w:hAnsi="Times New Roman"/>
          <w:sz w:val="24"/>
        </w:rPr>
        <w:t xml:space="preserve">, </w:t>
      </w:r>
      <w:r>
        <w:rPr>
          <w:rFonts w:ascii="Consolas" w:hAnsi="Consolas"/>
          <w:sz w:val="20"/>
        </w:rPr>
        <w:t>--accent-blue</w:t>
      </w:r>
      <w:r>
        <w:rPr>
          <w:rFonts w:ascii="Times New Roman" w:hAnsi="Times New Roman"/>
          <w:sz w:val="24"/>
        </w:rPr>
        <w:t xml:space="preserve">, etc.) drives the theme system. Light and dark modes are switched by toggling a </w:t>
      </w:r>
      <w:r>
        <w:rPr>
          <w:rFonts w:ascii="Consolas" w:hAnsi="Consolas"/>
          <w:sz w:val="20"/>
        </w:rPr>
        <w:t>data-theme</w:t>
      </w:r>
      <w:r>
        <w:rPr>
          <w:rFonts w:ascii="Times New Roman" w:hAnsi="Times New Roman"/>
          <w:sz w:val="24"/>
        </w:rPr>
        <w:t xml:space="preserve"> attribute on the document root; all colour-bearing rules read from CSS variables, so a theme change is a single attribute write that cascades through the entire document. Typography is DM Sans from Google Fonts.</w:t>
      </w:r>
    </w:p>
    <w:p>
      <w:pPr>
        <w:keepNext/>
        <w:spacing w:before="200" w:after="80"/>
        <w:jc w:val="left"/>
      </w:pPr>
      <w:r>
        <w:rPr>
          <w:rFonts w:ascii="Times New Roman" w:hAnsi="Times New Roman"/>
          <w:b/>
          <w:sz w:val="24"/>
        </w:rPr>
        <w:t>6.3 Deployment</w:t>
      </w:r>
    </w:p>
    <w:p>
      <w:pPr>
        <w:spacing w:lineRule="auto" w:line="276" w:after="120"/>
        <w:jc w:val="both"/>
      </w:pPr>
      <w:r>
        <w:rPr>
          <w:rFonts w:ascii="Times New Roman" w:hAnsi="Times New Roman"/>
          <w:sz w:val="24"/>
        </w:rPr>
        <w:t xml:space="preserve">The site is configured for one-click static deployment to Vercel. The repository root contains a </w:t>
      </w:r>
      <w:r>
        <w:rPr>
          <w:rFonts w:ascii="Consolas" w:hAnsi="Consolas"/>
          <w:sz w:val="20"/>
        </w:rPr>
        <w:t>vercel.json</w:t>
      </w:r>
      <w:r>
        <w:rPr>
          <w:rFonts w:ascii="Times New Roman" w:hAnsi="Times New Roman"/>
          <w:sz w:val="24"/>
        </w:rPr>
        <w:t xml:space="preserve"> that declares </w:t>
      </w:r>
      <w:r>
        <w:rPr>
          <w:rFonts w:ascii="Consolas" w:hAnsi="Consolas"/>
          <w:sz w:val="20"/>
        </w:rPr>
        <w:t>outputDirectory: "web"</w:t>
      </w:r>
      <w:r>
        <w:rPr>
          <w:rFonts w:ascii="Times New Roman" w:hAnsi="Times New Roman"/>
          <w:sz w:val="24"/>
        </w:rPr>
        <w:t xml:space="preserve"> and no build command:</w:t>
      </w:r>
    </w:p>
    <w:p>
      <w:pPr>
        <w:spacing w:line="240" w:lineRule="auto" w:after="160"/>
        <w:ind w:left="340"/>
        <w:shd w:val="clear" w:color="auto" w:fill="F4F4F4"/>
      </w:pPr>
      <w:r>
        <w:rPr>
          <w:rFonts w:ascii="Consolas" w:hAnsi="Consolas"/>
          <w:sz w:val="20"/>
        </w:rPr>
        <w:t>{</w:t>
        <w:br/>
        <w:t xml:space="preserve">  "outputDirectory": "web",</w:t>
        <w:br/>
        <w:t xml:space="preserve">  "buildCommand": null,</w:t>
        <w:br/>
        <w:t xml:space="preserve">  "framework": null</w:t>
        <w:br/>
        <w:t>}</w:t>
      </w:r>
    </w:p>
    <w:p>
      <w:pPr>
        <w:spacing w:lineRule="auto" w:line="276" w:after="120"/>
        <w:jc w:val="both"/>
      </w:pPr>
      <w:r>
        <w:rPr>
          <w:rFonts w:ascii="Times New Roman" w:hAnsi="Times New Roman"/>
          <w:sz w:val="24"/>
        </w:rPr>
        <w:t xml:space="preserve">Vercel serves the contents of the </w:t>
      </w:r>
      <w:r>
        <w:rPr>
          <w:rFonts w:ascii="Consolas" w:hAnsi="Consolas"/>
          <w:sz w:val="20"/>
        </w:rPr>
        <w:t>web/</w:t>
      </w:r>
      <w:r>
        <w:rPr>
          <w:rFonts w:ascii="Times New Roman" w:hAnsi="Times New Roman"/>
          <w:sz w:val="24"/>
        </w:rPr>
        <w:t xml:space="preserve"> directory directly as static files. The dashboard is live at &lt;https://student-uci-dashboard.vercel.app/&gt;. Any other static host (GitHub Pages, Netlify, Cloudflare Pages, Amazon S3 with CloudFront) works identically by pointing the root at </w:t>
      </w:r>
      <w:r>
        <w:rPr>
          <w:rFonts w:ascii="Consolas" w:hAnsi="Consolas"/>
          <w:sz w:val="20"/>
        </w:rPr>
        <w:t>web/</w:t>
      </w:r>
      <w:r>
        <w:rPr>
          <w:rFonts w:ascii="Times New Roman" w:hAnsi="Times New Roman"/>
          <w:sz w:val="24"/>
        </w:rPr>
        <w:t>.</w:t>
      </w:r>
    </w:p>
    <w:p>
      <w:pPr>
        <w:spacing w:lineRule="auto" w:line="276" w:after="120"/>
        <w:jc w:val="both"/>
      </w:pPr>
      <w:r>
        <w:rPr>
          <w:rFonts w:ascii="Times New Roman" w:hAnsi="Times New Roman"/>
          <w:sz w:val="24"/>
        </w:rPr>
        <w:t>Local development uses Python's built-in HTTP server (</w:t>
      </w:r>
      <w:r>
        <w:rPr>
          <w:rFonts w:ascii="Consolas" w:hAnsi="Consolas"/>
          <w:sz w:val="20"/>
        </w:rPr>
        <w:t>python -m http.server 8000 --directory web</w:t>
      </w:r>
      <w:r>
        <w:rPr>
          <w:rFonts w:ascii="Times New Roman" w:hAnsi="Times New Roman"/>
          <w:sz w:val="24"/>
        </w:rPr>
        <w:t xml:space="preserve">), which is sufficient because the dashboard uses ES-module imports and a </w:t>
      </w:r>
      <w:r>
        <w:rPr>
          <w:rFonts w:ascii="Consolas" w:hAnsi="Consolas"/>
          <w:sz w:val="20"/>
        </w:rPr>
        <w:t>fetch</w:t>
      </w:r>
      <w:r>
        <w:rPr>
          <w:rFonts w:ascii="Times New Roman" w:hAnsi="Times New Roman"/>
          <w:sz w:val="24"/>
        </w:rPr>
        <w:t xml:space="preserve"> of </w:t>
      </w:r>
      <w:r>
        <w:rPr>
          <w:rFonts w:ascii="Consolas" w:hAnsi="Consolas"/>
          <w:sz w:val="20"/>
        </w:rPr>
        <w:t>clean_students.csv</w:t>
      </w:r>
      <w:r>
        <w:rPr>
          <w:rFonts w:ascii="Times New Roman" w:hAnsi="Times New Roman"/>
          <w:sz w:val="24"/>
        </w:rPr>
        <w:t xml:space="preserve"> — both require an HTTP origin and do not work from </w:t>
      </w:r>
      <w:r>
        <w:rPr>
          <w:rFonts w:ascii="Consolas" w:hAnsi="Consolas"/>
          <w:sz w:val="20"/>
        </w:rPr>
        <w:t>file://</w:t>
      </w:r>
      <w:r>
        <w:rPr>
          <w:rFonts w:ascii="Times New Roman" w:hAnsi="Times New Roman"/>
          <w:sz w:val="24"/>
        </w:rPr>
        <w:t xml:space="preserve"> URLs.</w:t>
      </w:r>
    </w:p>
    <w:p>
      <w:pPr>
        <w:keepNext/>
        <w:spacing w:before="200" w:after="80"/>
        <w:jc w:val="left"/>
      </w:pPr>
      <w:r>
        <w:rPr>
          <w:rFonts w:ascii="Times New Roman" w:hAnsi="Times New Roman"/>
          <w:b/>
          <w:sz w:val="24"/>
        </w:rPr>
        <w:t>6.4 Trade-off: hardcoded numbers versus live inference</w:t>
      </w:r>
    </w:p>
    <w:p>
      <w:pPr>
        <w:spacing w:lineRule="auto" w:line="276" w:after="120"/>
        <w:jc w:val="both"/>
      </w:pPr>
      <w:r>
        <w:rPr>
          <w:rFonts w:ascii="Times New Roman" w:hAnsi="Times New Roman"/>
          <w:sz w:val="24"/>
        </w:rPr>
        <w:t xml:space="preserve">A deliberate architectural trade-off is that the machine-learning numbers (Pearson correlations, cluster statistics, Random Forest metrics) are hardcoded into the front-end chart modules rather than loaded dynamically. The benefits are concrete: the front end has no build step, no API dependency, no server-side runtime, and no possibility of CSV–numbers drift at request time. The cost is concrete too: refreshing the numbers requires re-running </w:t>
      </w:r>
      <w:r>
        <w:rPr>
          <w:rFonts w:ascii="Consolas" w:hAnsi="Consolas"/>
          <w:sz w:val="20"/>
        </w:rPr>
        <w:t>analyze.py</w:t>
      </w:r>
      <w:r>
        <w:rPr>
          <w:rFonts w:ascii="Times New Roman" w:hAnsi="Times New Roman"/>
          <w:sz w:val="24"/>
        </w:rPr>
        <w:t xml:space="preserve"> and manually copying the output blocks into the chart files. For a project of this scope — a static, read-only dashboard for an academic submission — the benefits outweigh the cost. A production deployment with frequent data updates would require a different architecture (live API or build-time pre-computation).</w:t>
      </w:r>
    </w:p>
    <w:p>
      <w:pPr>
        <w:pBdr>
          <w:bottom w:val="single" w:sz="6" w:space="1" w:color="BFBFBF"/>
        </w:pBdr>
      </w:pPr>
    </w:p>
    <w:p>
      <w:pPr>
        <w:keepNext/>
        <w:spacing w:before="280" w:after="120"/>
        <w:jc w:val="left"/>
      </w:pPr>
      <w:r>
        <w:rPr>
          <w:rFonts w:ascii="Times New Roman" w:hAnsi="Times New Roman"/>
          <w:b/>
          <w:sz w:val="28"/>
        </w:rPr>
        <w:t>7. Results and Findings</w:t>
      </w:r>
    </w:p>
    <w:p>
      <w:pPr>
        <w:keepNext/>
        <w:spacing w:before="200" w:after="80"/>
        <w:jc w:val="left"/>
      </w:pPr>
      <w:r>
        <w:rPr>
          <w:rFonts w:ascii="Times New Roman" w:hAnsi="Times New Roman"/>
          <w:b/>
          <w:sz w:val="24"/>
        </w:rPr>
        <w:t>7.1 Key drivers (RQ1)</w:t>
      </w:r>
    </w:p>
    <w:p>
      <w:pPr>
        <w:spacing w:lineRule="auto" w:line="276" w:after="120"/>
        <w:jc w:val="both"/>
      </w:pPr>
      <w:r>
        <w:rPr>
          <w:rFonts w:ascii="Times New Roman" w:hAnsi="Times New Roman"/>
          <w:sz w:val="24"/>
        </w:rPr>
        <w:t>Table 3 reports the Pearson correlation of each of the fifteen numeric features with the final grade, sorted by absolute value. Positive coefficients indicate protective factors; negative coefficients indicate risk factors.</w:t>
      </w:r>
    </w:p>
    <w:p>
      <w:pPr>
        <w:spacing w:lineRule="auto" w:line="276" w:after="120"/>
        <w:jc w:val="both"/>
      </w:pPr>
      <w:r>
        <w:rPr>
          <w:rFonts w:ascii="Times New Roman" w:hAnsi="Times New Roman"/>
          <w:b/>
          <w:sz w:val="24"/>
        </w:rPr>
        <w:t>Table 3 — Pearson r between numeric features and grade_final</w:t>
      </w:r>
    </w:p>
    <w:tbl>
      <w:tblPr>
        <w:tblW w:type="auto" w:w="0"/>
        <w:tblLayout w:type="autofit"/>
        <w:tblLook w:firstColumn="1" w:firstRow="1" w:lastColumn="0" w:lastRow="0" w:noHBand="0" w:noVBand="1" w:val="04A0"/>
      </w:tblPr>
      <w:tblGrid>
        <w:gridCol w:w="2340"/>
        <w:gridCol w:w="2340"/>
        <w:gridCol w:w="2340"/>
        <w:gridCol w:w="2340"/>
      </w:tblGrid>
      <w:tr>
        <w:tc>
          <w:tcPr>
            <w:tcW w:type="dxa" w:w="234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Rank</w:t>
            </w:r>
          </w:p>
        </w:tc>
        <w:tc>
          <w:tcPr>
            <w:tcW w:type="dxa" w:w="234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Feature</w:t>
            </w:r>
          </w:p>
        </w:tc>
        <w:tc>
          <w:tcPr>
            <w:tcW w:type="dxa" w:w="234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r</w:t>
            </w:r>
          </w:p>
        </w:tc>
        <w:tc>
          <w:tcPr>
            <w:tcW w:type="dxa" w:w="234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Interpretation</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1</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grade_mid2</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+0.9107</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Strongest protective signal — near-deterministic</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2</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grade_mid1</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+0.8091</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Second strongest — same direction as G2 but weaker</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3</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failures</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−0.3831</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Strongest risk signal — past failures predict future failure</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4</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mother_edu</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+0.2015</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Moderate protective — family-context proxy</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5</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studytime</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+0.1616</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Moderate protective — actionable lever</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6</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father_edu</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+0.1407</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Moderate protective — same direction as mother_edu</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7</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absences</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−0.1140</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Mild risk — surprisingly weak overall</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8</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age</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−0.1051</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Mild risk — older repeaters skew negative</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9</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goout</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−0.0813</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Mild risk</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10</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alcohol_weekday</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−0.0734</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Mild risk</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11</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freetime</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−0.0581</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Near-zero</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12</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health</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−0.0556</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Near-zero</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13</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famrel</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+0.0511</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Near-zero</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14</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traveltime</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−0.0500</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Near-zero</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15</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alcohol_weekend</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−0.0481</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Near-zero</w:t>
            </w:r>
          </w:p>
        </w:tc>
      </w:tr>
    </w:tbl>
    <w:p>
      <w:pPr>
        <w:spacing w:after="120"/>
      </w:pPr>
    </w:p>
    <w:p>
      <w:pPr>
        <w:spacing w:lineRule="auto" w:line="276" w:after="120"/>
        <w:jc w:val="both"/>
      </w:pPr>
      <w:r>
        <w:rPr>
          <w:rFonts w:ascii="Times New Roman" w:hAnsi="Times New Roman"/>
          <w:sz w:val="24"/>
        </w:rPr>
        <w:t xml:space="preserve">The dominant finding — </w:t>
      </w:r>
      <w:r>
        <w:rPr>
          <w:rFonts w:ascii="Times New Roman" w:hAnsi="Times New Roman"/>
          <w:i/>
          <w:sz w:val="24"/>
        </w:rPr>
        <w:t>r</w:t>
      </w:r>
      <w:r>
        <w:rPr>
          <w:rFonts w:ascii="Times New Roman" w:hAnsi="Times New Roman"/>
          <w:sz w:val="24"/>
        </w:rPr>
        <w:t xml:space="preserve"> = 0.91 for grade_mid2 and </w:t>
      </w:r>
      <w:r>
        <w:rPr>
          <w:rFonts w:ascii="Times New Roman" w:hAnsi="Times New Roman"/>
          <w:i/>
          <w:sz w:val="24"/>
        </w:rPr>
        <w:t>R</w:t>
      </w:r>
      <w:r>
        <w:rPr>
          <w:rFonts w:ascii="Times New Roman" w:hAnsi="Times New Roman"/>
          <w:sz w:val="24"/>
        </w:rPr>
        <w:t xml:space="preserve">² ≈ 0.83 — confirms Cortez and Silva's result and visually anchors the lollipop chart. Past failures emerge as the strongest </w:t>
      </w:r>
      <w:r>
        <w:rPr>
          <w:rFonts w:ascii="Times New Roman" w:hAnsi="Times New Roman"/>
          <w:i/>
          <w:sz w:val="24"/>
        </w:rPr>
        <w:t>actionable</w:t>
      </w:r>
      <w:r>
        <w:rPr>
          <w:rFonts w:ascii="Times New Roman" w:hAnsi="Times New Roman"/>
          <w:sz w:val="24"/>
        </w:rPr>
        <w:t xml:space="preserve"> risk signal, since the academic-history variables (G1, G2) are themselves outcomes rather than levers.</w:t>
      </w:r>
    </w:p>
    <w:p>
      <w:pPr>
        <w:keepNext/>
        <w:spacing w:before="200" w:after="80"/>
        <w:jc w:val="left"/>
      </w:pPr>
      <w:r>
        <w:rPr>
          <w:rFonts w:ascii="Times New Roman" w:hAnsi="Times New Roman"/>
          <w:b/>
          <w:sz w:val="24"/>
        </w:rPr>
        <w:t>7.2 Cluster characteristics (RQ3)</w:t>
      </w:r>
    </w:p>
    <w:p>
      <w:pPr>
        <w:spacing w:lineRule="auto" w:line="276" w:after="120"/>
        <w:jc w:val="both"/>
      </w:pPr>
      <w:r>
        <w:rPr>
          <w:rFonts w:ascii="Times New Roman" w:hAnsi="Times New Roman"/>
          <w:sz w:val="24"/>
        </w:rPr>
        <w:t>Table 4 reports the three K-Means clusters with their behavioural attributes and at-risk rates. The cluster names are hand-assigned for stakeholder interpretability and are stable across re-runs (</w:t>
      </w:r>
      <w:r>
        <w:rPr>
          <w:rFonts w:ascii="Consolas" w:hAnsi="Consolas"/>
          <w:sz w:val="20"/>
        </w:rPr>
        <w:t>n_init = 10</w:t>
      </w:r>
      <w:r>
        <w:rPr>
          <w:rFonts w:ascii="Times New Roman" w:hAnsi="Times New Roman"/>
          <w:sz w:val="24"/>
        </w:rPr>
        <w:t xml:space="preserve">, </w:t>
      </w:r>
      <w:r>
        <w:rPr>
          <w:rFonts w:ascii="Consolas" w:hAnsi="Consolas"/>
          <w:sz w:val="20"/>
        </w:rPr>
        <w:t>random_state = 42</w:t>
      </w:r>
      <w:r>
        <w:rPr>
          <w:rFonts w:ascii="Times New Roman" w:hAnsi="Times New Roman"/>
          <w:sz w:val="24"/>
        </w:rPr>
        <w:t>).</w:t>
      </w:r>
    </w:p>
    <w:p>
      <w:pPr>
        <w:spacing w:lineRule="auto" w:line="276" w:after="120"/>
        <w:jc w:val="both"/>
      </w:pPr>
      <w:r>
        <w:rPr>
          <w:rFonts w:ascii="Times New Roman" w:hAnsi="Times New Roman"/>
          <w:b/>
          <w:sz w:val="24"/>
        </w:rPr>
        <w:t>Table 4 — K-Means cluster characteristics (k = 3)</w:t>
      </w:r>
    </w:p>
    <w:tbl>
      <w:tblPr>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Cluster</w:t>
            </w:r>
          </w:p>
        </w:tc>
        <w:tc>
          <w:tcPr>
            <w:tcW w:type="dxa" w:w="117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n</w:t>
            </w:r>
          </w:p>
        </w:tc>
        <w:tc>
          <w:tcPr>
            <w:tcW w:type="dxa" w:w="117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Mean grade</w:t>
            </w:r>
          </w:p>
        </w:tc>
        <w:tc>
          <w:tcPr>
            <w:tcW w:type="dxa" w:w="117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Study time</w:t>
            </w:r>
          </w:p>
        </w:tc>
        <w:tc>
          <w:tcPr>
            <w:tcW w:type="dxa" w:w="117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Absences</w:t>
            </w:r>
          </w:p>
        </w:tc>
        <w:tc>
          <w:tcPr>
            <w:tcW w:type="dxa" w:w="117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Goout</w:t>
            </w:r>
          </w:p>
        </w:tc>
        <w:tc>
          <w:tcPr>
            <w:tcW w:type="dxa" w:w="117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Weekend alcohol</w:t>
            </w:r>
          </w:p>
        </w:tc>
        <w:tc>
          <w:tcPr>
            <w:tcW w:type="dxa" w:w="117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At-risk rate</w:t>
            </w:r>
          </w:p>
        </w:tc>
      </w:tr>
      <w:tr>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i/>
                <w:sz w:val="20"/>
              </w:rPr>
              <w:t>Focused Achievers</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207</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12.52</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3.28</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3.20</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2.82</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1.67</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12.6%</w:t>
            </w:r>
          </w:p>
        </w:tc>
      </w:tr>
      <w:tr>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i/>
                <w:sz w:val="20"/>
              </w:rPr>
              <w:t>Average Learners</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524</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11.34</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1.64</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3.28</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2.67</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1.69</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21.4%</w:t>
            </w:r>
          </w:p>
        </w:tc>
      </w:tr>
      <w:tr>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i/>
                <w:sz w:val="20"/>
              </w:rPr>
              <w:t>Social Risk Group</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313</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10.56</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1.66</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7.18</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4.20</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3.68</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29.4%</w:t>
            </w:r>
          </w:p>
        </w:tc>
      </w:tr>
    </w:tbl>
    <w:p>
      <w:pPr>
        <w:spacing w:after="120"/>
      </w:pPr>
    </w:p>
    <w:p>
      <w:pPr>
        <w:spacing w:lineRule="auto" w:line="276" w:after="120"/>
        <w:jc w:val="both"/>
      </w:pPr>
      <w:r>
        <w:rPr>
          <w:rFonts w:ascii="Times New Roman" w:hAnsi="Times New Roman"/>
          <w:sz w:val="24"/>
        </w:rPr>
        <w:t>The Social Risk Group has roughly double the cohort-average absences and roughly double the cohort-average weekend alcohol score. Its at-risk rate is 29.4%, more than double that of the Focused Achievers cluster. These clusters are recovered from lifestyle features alone — the grade variables are deliberately excluded from the clustering input — so the elevated at-risk rate in the Social Risk Group constitutes independent evidence that lifestyle is a meaningful predictor beyond academic history.</w:t>
      </w:r>
    </w:p>
    <w:p>
      <w:pPr>
        <w:keepNext/>
        <w:spacing w:before="160" w:after="80"/>
        <w:jc w:val="left"/>
      </w:pPr>
      <w:r>
        <w:rPr>
          <w:rFonts w:ascii="Times New Roman" w:hAnsi="Times New Roman"/>
          <w:b/>
          <w:sz w:val="22"/>
        </w:rPr>
        <w:t>7.2.1 Subject-stratified K-Means</w:t>
      </w:r>
    </w:p>
    <w:p>
      <w:pPr>
        <w:spacing w:lineRule="auto" w:line="276" w:after="120"/>
        <w:jc w:val="both"/>
      </w:pPr>
      <w:r>
        <w:rPr>
          <w:rFonts w:ascii="Times New Roman" w:hAnsi="Times New Roman"/>
          <w:sz w:val="24"/>
        </w:rPr>
        <w:t>The K-Means fit is repeated independently on the Mathematics-only and Portuguese-only sub-cohorts under the same hyperparameters and the same lifestyle-feature input. After fitting, clusters are sorted by at-risk rate ascending and tagged with semantic keys (</w:t>
      </w:r>
      <w:r>
        <w:rPr>
          <w:rFonts w:ascii="Times New Roman" w:hAnsi="Times New Roman"/>
          <w:i/>
          <w:sz w:val="24"/>
        </w:rPr>
        <w:t>focused</w:t>
      </w:r>
      <w:r>
        <w:rPr>
          <w:rFonts w:ascii="Times New Roman" w:hAnsi="Times New Roman"/>
          <w:sz w:val="24"/>
        </w:rPr>
        <w:t xml:space="preserve"> / </w:t>
      </w:r>
      <w:r>
        <w:rPr>
          <w:rFonts w:ascii="Times New Roman" w:hAnsi="Times New Roman"/>
          <w:i/>
          <w:sz w:val="24"/>
        </w:rPr>
        <w:t>average</w:t>
      </w:r>
      <w:r>
        <w:rPr>
          <w:rFonts w:ascii="Times New Roman" w:hAnsi="Times New Roman"/>
          <w:sz w:val="24"/>
        </w:rPr>
        <w:t xml:space="preserve"> / </w:t>
      </w:r>
      <w:r>
        <w:rPr>
          <w:rFonts w:ascii="Times New Roman" w:hAnsi="Times New Roman"/>
          <w:i/>
          <w:sz w:val="24"/>
        </w:rPr>
        <w:t>social_risk</w:t>
      </w:r>
      <w:r>
        <w:rPr>
          <w:rFonts w:ascii="Times New Roman" w:hAnsi="Times New Roman"/>
          <w:sz w:val="24"/>
        </w:rPr>
        <w:t xml:space="preserve">) so the same colour and name refer to the same behavioural pattern across subjects. The dashboard's </w:t>
      </w:r>
      <w:r>
        <w:rPr>
          <w:rFonts w:ascii="Times New Roman" w:hAnsi="Times New Roman"/>
          <w:i/>
          <w:sz w:val="24"/>
        </w:rPr>
        <w:t>Subject</w:t>
      </w:r>
      <w:r>
        <w:rPr>
          <w:rFonts w:ascii="Times New Roman" w:hAnsi="Times New Roman"/>
          <w:sz w:val="24"/>
        </w:rPr>
        <w:t xml:space="preserve"> toggle switches between the three fits live; the user sees the same three persona tabs, but the numbers behind each tab re-compute.</w:t>
      </w:r>
    </w:p>
    <w:p>
      <w:pPr>
        <w:spacing w:lineRule="auto" w:line="276" w:after="120"/>
        <w:jc w:val="both"/>
      </w:pPr>
      <w:r>
        <w:rPr>
          <w:rFonts w:ascii="Times New Roman" w:hAnsi="Times New Roman"/>
          <w:b/>
          <w:sz w:val="24"/>
        </w:rPr>
        <w:t>Table 4b — Same archetype, different subject: at-risk rate and grade per cluster</w:t>
      </w:r>
    </w:p>
    <w:tbl>
      <w:tblPr>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Cluster</w:t>
            </w:r>
          </w:p>
        </w:tc>
        <w:tc>
          <w:tcPr>
            <w:tcW w:type="dxa" w:w="1337"/>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Combined (n)</w:t>
            </w:r>
          </w:p>
        </w:tc>
        <w:tc>
          <w:tcPr>
            <w:tcW w:type="dxa" w:w="1337"/>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Combined at-risk</w:t>
            </w:r>
          </w:p>
        </w:tc>
        <w:tc>
          <w:tcPr>
            <w:tcW w:type="dxa" w:w="1337"/>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Math (n)</w:t>
            </w:r>
          </w:p>
        </w:tc>
        <w:tc>
          <w:tcPr>
            <w:tcW w:type="dxa" w:w="1337"/>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Math at-risk</w:t>
            </w:r>
          </w:p>
        </w:tc>
        <w:tc>
          <w:tcPr>
            <w:tcW w:type="dxa" w:w="1337"/>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Portuguese (n)</w:t>
            </w:r>
          </w:p>
        </w:tc>
        <w:tc>
          <w:tcPr>
            <w:tcW w:type="dxa" w:w="1337"/>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Por at-risk</w:t>
            </w:r>
          </w:p>
        </w:tc>
      </w:tr>
      <w:tr>
        <w:tc>
          <w:tcPr>
            <w:tcW w:type="dxa" w:w="1337"/>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i/>
                <w:sz w:val="20"/>
              </w:rPr>
              <w:t>Focused Achievers</w:t>
            </w:r>
          </w:p>
        </w:tc>
        <w:tc>
          <w:tcPr>
            <w:tcW w:type="dxa" w:w="1337"/>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207</w:t>
            </w:r>
          </w:p>
        </w:tc>
        <w:tc>
          <w:tcPr>
            <w:tcW w:type="dxa" w:w="1337"/>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12.6%</w:t>
            </w:r>
          </w:p>
        </w:tc>
        <w:tc>
          <w:tcPr>
            <w:tcW w:type="dxa" w:w="1337"/>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86</w:t>
            </w:r>
          </w:p>
        </w:tc>
        <w:tc>
          <w:tcPr>
            <w:tcW w:type="dxa" w:w="1337"/>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23.3%</w:t>
            </w:r>
          </w:p>
        </w:tc>
        <w:tc>
          <w:tcPr>
            <w:tcW w:type="dxa" w:w="1337"/>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125</w:t>
            </w:r>
          </w:p>
        </w:tc>
        <w:tc>
          <w:tcPr>
            <w:tcW w:type="dxa" w:w="1337"/>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6.4%</w:t>
            </w:r>
          </w:p>
        </w:tc>
      </w:tr>
      <w:tr>
        <w:tc>
          <w:tcPr>
            <w:tcW w:type="dxa" w:w="1337"/>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i/>
                <w:sz w:val="20"/>
              </w:rPr>
              <w:t>Average Learners</w:t>
            </w:r>
          </w:p>
        </w:tc>
        <w:tc>
          <w:tcPr>
            <w:tcW w:type="dxa" w:w="1337"/>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524</w:t>
            </w:r>
          </w:p>
        </w:tc>
        <w:tc>
          <w:tcPr>
            <w:tcW w:type="dxa" w:w="1337"/>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21.4%</w:t>
            </w:r>
          </w:p>
        </w:tc>
        <w:tc>
          <w:tcPr>
            <w:tcW w:type="dxa" w:w="1337"/>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202</w:t>
            </w:r>
          </w:p>
        </w:tc>
        <w:tc>
          <w:tcPr>
            <w:tcW w:type="dxa" w:w="1337"/>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32.2%</w:t>
            </w:r>
          </w:p>
        </w:tc>
        <w:tc>
          <w:tcPr>
            <w:tcW w:type="dxa" w:w="1337"/>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313</w:t>
            </w:r>
          </w:p>
        </w:tc>
        <w:tc>
          <w:tcPr>
            <w:tcW w:type="dxa" w:w="1337"/>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15.0%</w:t>
            </w:r>
          </w:p>
        </w:tc>
      </w:tr>
      <w:tr>
        <w:tc>
          <w:tcPr>
            <w:tcW w:type="dxa" w:w="1337"/>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i/>
                <w:sz w:val="20"/>
              </w:rPr>
              <w:t>Social Risk Group</w:t>
            </w:r>
          </w:p>
        </w:tc>
        <w:tc>
          <w:tcPr>
            <w:tcW w:type="dxa" w:w="1337"/>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313</w:t>
            </w:r>
          </w:p>
        </w:tc>
        <w:tc>
          <w:tcPr>
            <w:tcW w:type="dxa" w:w="1337"/>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29.4%</w:t>
            </w:r>
          </w:p>
        </w:tc>
        <w:tc>
          <w:tcPr>
            <w:tcW w:type="dxa" w:w="1337"/>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107</w:t>
            </w:r>
          </w:p>
        </w:tc>
        <w:tc>
          <w:tcPr>
            <w:tcW w:type="dxa" w:w="1337"/>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42.1%</w:t>
            </w:r>
          </w:p>
        </w:tc>
        <w:tc>
          <w:tcPr>
            <w:tcW w:type="dxa" w:w="1337"/>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211</w:t>
            </w:r>
          </w:p>
        </w:tc>
        <w:tc>
          <w:tcPr>
            <w:tcW w:type="dxa" w:w="1337"/>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21.3%</w:t>
            </w:r>
          </w:p>
        </w:tc>
      </w:tr>
    </w:tbl>
    <w:p>
      <w:pPr>
        <w:spacing w:after="120"/>
      </w:pPr>
    </w:p>
    <w:p>
      <w:pPr>
        <w:spacing w:lineRule="auto" w:line="276" w:after="120"/>
        <w:jc w:val="both"/>
      </w:pPr>
      <w:r>
        <w:rPr>
          <w:rFonts w:ascii="Times New Roman" w:hAnsi="Times New Roman"/>
          <w:sz w:val="24"/>
        </w:rPr>
        <w:t xml:space="preserve">The most informative observation in Table 4b is that the </w:t>
      </w:r>
      <w:r>
        <w:rPr>
          <w:rFonts w:ascii="Times New Roman" w:hAnsi="Times New Roman"/>
          <w:i/>
          <w:sz w:val="24"/>
        </w:rPr>
        <w:t>Social Risk Group</w:t>
      </w:r>
      <w:r>
        <w:rPr>
          <w:rFonts w:ascii="Times New Roman" w:hAnsi="Times New Roman"/>
          <w:sz w:val="24"/>
        </w:rPr>
        <w:t xml:space="preserve"> archetype carries very different operational risk depending on subject. In Mathematics, 42.1% of Social Risk Group students fail the final — almost half. In Portuguese, the same archetype fails at 21.3% — about the same rate as the combined-cohort </w:t>
      </w:r>
      <w:r>
        <w:rPr>
          <w:rFonts w:ascii="Times New Roman" w:hAnsi="Times New Roman"/>
          <w:i/>
          <w:sz w:val="24"/>
        </w:rPr>
        <w:t>Average Learners</w:t>
      </w:r>
      <w:r>
        <w:rPr>
          <w:rFonts w:ascii="Times New Roman" w:hAnsi="Times New Roman"/>
          <w:sz w:val="24"/>
        </w:rPr>
        <w:t>. A Portuguese teacher seeing a Social Risk Group student needs a different response than a Math teacher seeing the same profile. The 20-point spread is invisible to the combined model, and only emerges once the dashboard's Subject toggle re-fits K-Means on each sub-cohort.</w:t>
      </w:r>
    </w:p>
    <w:p>
      <w:pPr>
        <w:spacing w:lineRule="auto" w:line="276" w:after="120"/>
        <w:jc w:val="both"/>
      </w:pPr>
      <w:r>
        <w:rPr>
          <w:rFonts w:ascii="Times New Roman" w:hAnsi="Times New Roman"/>
          <w:sz w:val="24"/>
        </w:rPr>
        <w:t xml:space="preserve">A second observation: even </w:t>
      </w:r>
      <w:r>
        <w:rPr>
          <w:rFonts w:ascii="Times New Roman" w:hAnsi="Times New Roman"/>
          <w:i/>
          <w:sz w:val="24"/>
        </w:rPr>
        <w:t>Focused Achievers</w:t>
      </w:r>
      <w:r>
        <w:rPr>
          <w:rFonts w:ascii="Times New Roman" w:hAnsi="Times New Roman"/>
          <w:sz w:val="24"/>
        </w:rPr>
        <w:t xml:space="preserve"> in Mathematics fail at 23.3% — higher than the combined cohort's </w:t>
      </w:r>
      <w:r>
        <w:rPr>
          <w:rFonts w:ascii="Times New Roman" w:hAnsi="Times New Roman"/>
          <w:i/>
          <w:sz w:val="24"/>
        </w:rPr>
        <w:t>Average Learners</w:t>
      </w:r>
      <w:r>
        <w:rPr>
          <w:rFonts w:ascii="Times New Roman" w:hAnsi="Times New Roman"/>
          <w:sz w:val="24"/>
        </w:rPr>
        <w:t xml:space="preserve">. The Math curriculum is structurally harder in this dataset, so the lowest-risk lifestyle archetype in Math is still more at-risk than the middle archetype in the combined view. The dashboard surfaces this by recomputing the percentage on the </w:t>
      </w:r>
      <w:r>
        <w:rPr>
          <w:rFonts w:ascii="Times New Roman" w:hAnsi="Times New Roman"/>
          <w:i/>
          <w:sz w:val="24"/>
        </w:rPr>
        <w:t>AT-RISK</w:t>
      </w:r>
      <w:r>
        <w:rPr>
          <w:rFonts w:ascii="Times New Roman" w:hAnsi="Times New Roman"/>
          <w:sz w:val="24"/>
        </w:rPr>
        <w:t xml:space="preserve"> badge live as the user clicks through the Subject toggle.</w:t>
      </w:r>
    </w:p>
    <w:p>
      <w:pPr>
        <w:keepNext/>
        <w:spacing w:before="200" w:after="80"/>
        <w:jc w:val="left"/>
      </w:pPr>
      <w:r>
        <w:rPr>
          <w:rFonts w:ascii="Times New Roman" w:hAnsi="Times New Roman"/>
          <w:b/>
          <w:sz w:val="24"/>
        </w:rPr>
        <w:t>7.3 Classifier performance (RQ4)</w:t>
      </w:r>
    </w:p>
    <w:p>
      <w:pPr>
        <w:spacing w:lineRule="auto" w:line="276" w:after="120"/>
        <w:jc w:val="both"/>
      </w:pPr>
      <w:r>
        <w:rPr>
          <w:rFonts w:ascii="Times New Roman" w:hAnsi="Times New Roman"/>
          <w:sz w:val="24"/>
        </w:rPr>
        <w:t>We report three classifiers on the held-out test set (n = 209, of which 46 are at-risk), and a 5-fold stratified cross-validation summary on the Random Forest.</w:t>
      </w:r>
    </w:p>
    <w:p>
      <w:pPr>
        <w:spacing w:lineRule="auto" w:line="276" w:after="120"/>
        <w:jc w:val="both"/>
      </w:pPr>
      <w:r>
        <w:rPr>
          <w:rFonts w:ascii="Times New Roman" w:hAnsi="Times New Roman"/>
          <w:b/>
          <w:sz w:val="24"/>
        </w:rPr>
        <w:t>Table 5 — Held-out test-set performance for the three classifiers (n = 209)</w:t>
      </w:r>
    </w:p>
    <w:tbl>
      <w:tblPr>
        <w:tblW w:type="auto" w:w="0"/>
        <w:tblLayout w:type="autofit"/>
        <w:tblLook w:firstColumn="1" w:firstRow="1" w:lastColumn="0" w:lastRow="0" w:noHBand="0" w:noVBand="1" w:val="04A0"/>
      </w:tblPr>
      <w:tblGrid>
        <w:gridCol w:w="2340"/>
        <w:gridCol w:w="2340"/>
        <w:gridCol w:w="2340"/>
        <w:gridCol w:w="2340"/>
      </w:tblGrid>
      <w:tr>
        <w:tc>
          <w:tcPr>
            <w:tcW w:type="dxa" w:w="234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Metric</w:t>
            </w:r>
          </w:p>
        </w:tc>
        <w:tc>
          <w:tcPr>
            <w:tcW w:type="dxa" w:w="234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Logistic Regression</w:t>
            </w:r>
          </w:p>
        </w:tc>
        <w:tc>
          <w:tcPr>
            <w:tcW w:type="dxa" w:w="234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Decision Tree</w:t>
            </w:r>
          </w:p>
        </w:tc>
        <w:tc>
          <w:tcPr>
            <w:tcW w:type="dxa" w:w="234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Random Forest</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Accuracy</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88.0%</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88.0%</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91.4%</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Precision (at-risk)</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66.7%</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71.4%</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79.2%</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Recall (at-risk)</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91.3%</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76.1%</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82.6%</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F1 (at-risk)</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77.1%</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73.7%</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80.9%</w:t>
            </w:r>
          </w:p>
        </w:tc>
      </w:tr>
    </w:tbl>
    <w:p>
      <w:pPr>
        <w:spacing w:after="120"/>
      </w:pPr>
    </w:p>
    <w:p>
      <w:pPr>
        <w:spacing w:lineRule="auto" w:line="276" w:after="120"/>
        <w:jc w:val="both"/>
      </w:pPr>
      <w:r>
        <w:rPr>
          <w:rFonts w:ascii="Times New Roman" w:hAnsi="Times New Roman"/>
          <w:sz w:val="24"/>
        </w:rPr>
        <w:t xml:space="preserve">The three models present a clear </w:t>
      </w:r>
      <w:r>
        <w:rPr>
          <w:rFonts w:ascii="Times New Roman" w:hAnsi="Times New Roman"/>
          <w:i/>
          <w:sz w:val="24"/>
        </w:rPr>
        <w:t>recall–precision trade-off</w:t>
      </w:r>
      <w:r>
        <w:rPr>
          <w:rFonts w:ascii="Times New Roman" w:hAnsi="Times New Roman"/>
          <w:sz w:val="24"/>
        </w:rPr>
        <w:t xml:space="preserve">. Logistic Regression catches the most at-risk students (recall 91.3%, missing only 4 of 46), but at the cost of 21 false alarms (precision 66.7%). The Decision Tree behaves in the opposite direction, missing 11 of 46 at-risk students. The Random Forest sits between the two, achieving the highest F1 (80.9%) — the best-balanced choice given an early-warning use case that values both catching at-risk students </w:t>
      </w:r>
      <w:r>
        <w:rPr>
          <w:rFonts w:ascii="Times New Roman" w:hAnsi="Times New Roman"/>
          <w:i/>
          <w:sz w:val="24"/>
        </w:rPr>
        <w:t>and</w:t>
      </w:r>
      <w:r>
        <w:rPr>
          <w:rFonts w:ascii="Times New Roman" w:hAnsi="Times New Roman"/>
          <w:sz w:val="24"/>
        </w:rPr>
        <w:t xml:space="preserve"> not over-flagging the cohort. We adopt the Random Forest as the deployed model in the dashboard, while reporting Logistic Regression openly as a viable alternative if a school's intervention budget makes false alarms cheap.</w:t>
      </w:r>
    </w:p>
    <w:p>
      <w:pPr>
        <w:spacing w:lineRule="auto" w:line="276" w:after="120"/>
        <w:jc w:val="both"/>
      </w:pPr>
      <w:r>
        <w:rPr>
          <w:rFonts w:ascii="Times New Roman" w:hAnsi="Times New Roman"/>
          <w:b/>
          <w:sz w:val="24"/>
        </w:rPr>
        <w:t>Table 5b — 5-fold stratified cross-validation on the Random Forest</w:t>
      </w:r>
    </w:p>
    <w:tbl>
      <w:tblPr>
        <w:tblW w:type="auto" w:w="0"/>
        <w:tblLayout w:type="autofit"/>
        <w:tblLook w:firstColumn="1" w:firstRow="1" w:lastColumn="0" w:lastRow="0" w:noHBand="0" w:noVBand="1" w:val="04A0"/>
      </w:tblPr>
      <w:tblGrid>
        <w:gridCol w:w="3120"/>
        <w:gridCol w:w="3120"/>
        <w:gridCol w:w="3120"/>
      </w:tblGrid>
      <w:tr>
        <w:tc>
          <w:tcPr>
            <w:tcW w:type="dxa" w:w="312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Metric</w:t>
            </w:r>
          </w:p>
        </w:tc>
        <w:tc>
          <w:tcPr>
            <w:tcW w:type="dxa" w:w="312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Mean</w:t>
            </w:r>
          </w:p>
        </w:tc>
        <w:tc>
          <w:tcPr>
            <w:tcW w:type="dxa" w:w="312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Std</w:t>
            </w:r>
          </w:p>
        </w:tc>
      </w:tr>
      <w:tr>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Accuracy</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92.4%</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 1.2 pp</w:t>
            </w:r>
          </w:p>
        </w:tc>
      </w:tr>
      <w:tr>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Precision</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85.7%</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 2.4 pp</w:t>
            </w:r>
          </w:p>
        </w:tc>
      </w:tr>
      <w:tr>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Recall</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79.1%</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 8.1 pp</w:t>
            </w:r>
          </w:p>
        </w:tc>
      </w:tr>
      <w:tr>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F1</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82.0%</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 3.9 pp</w:t>
            </w:r>
          </w:p>
        </w:tc>
      </w:tr>
    </w:tbl>
    <w:p>
      <w:pPr>
        <w:spacing w:after="120"/>
      </w:pPr>
    </w:p>
    <w:p>
      <w:pPr>
        <w:spacing w:lineRule="auto" w:line="276" w:after="120"/>
        <w:jc w:val="both"/>
      </w:pPr>
      <w:r>
        <w:rPr>
          <w:rFonts w:ascii="Times New Roman" w:hAnsi="Times New Roman"/>
          <w:sz w:val="24"/>
        </w:rPr>
        <w:t xml:space="preserve">The CV mean recall (79.1%) is within roughly 3.5 percentage points of the hold-out recall (82.6%), indicating that the hold-out is mildly optimistic for the at-risk class but not pathologically so. The relatively wide recall standard deviation (± 8.1 pp) is the most informative caveat: recall on this dataset depends meaningfully on </w:t>
      </w:r>
      <w:r>
        <w:rPr>
          <w:rFonts w:ascii="Times New Roman" w:hAnsi="Times New Roman"/>
          <w:i/>
          <w:sz w:val="24"/>
        </w:rPr>
        <w:t>which</w:t>
      </w:r>
      <w:r>
        <w:rPr>
          <w:rFonts w:ascii="Times New Roman" w:hAnsi="Times New Roman"/>
          <w:sz w:val="24"/>
        </w:rPr>
        <w:t xml:space="preserve"> 209 students happen to be in the test fold — driven by the small at-risk minority (≈46 per fold) and the heterogeneity inside it. Accuracy, precision, and F1 are all stable to within a few percentage points across folds.</w:t>
      </w:r>
    </w:p>
    <w:p>
      <w:pPr>
        <w:spacing w:lineRule="auto" w:line="276" w:after="120"/>
        <w:jc w:val="both"/>
      </w:pPr>
      <w:r>
        <w:rPr>
          <w:rFonts w:ascii="Times New Roman" w:hAnsi="Times New Roman"/>
          <w:sz w:val="24"/>
        </w:rPr>
        <w:t>The held-out confusion matrix (Table 6) decomposes the Random Forest's aggregate metrics into the four operational outcomes.</w:t>
      </w:r>
    </w:p>
    <w:p>
      <w:pPr>
        <w:spacing w:lineRule="auto" w:line="276" w:after="120"/>
        <w:jc w:val="both"/>
      </w:pPr>
      <w:r>
        <w:rPr>
          <w:rFonts w:ascii="Times New Roman" w:hAnsi="Times New Roman"/>
          <w:b/>
          <w:sz w:val="24"/>
        </w:rPr>
        <w:t>Table 6 — Confusion matrix for the Random Forest on the held-out test set</w:t>
      </w:r>
    </w:p>
    <w:tbl>
      <w:tblPr>
        <w:tblW w:type="auto" w:w="0"/>
        <w:tblLayout w:type="autofit"/>
        <w:tblLook w:firstColumn="1" w:firstRow="1" w:lastColumn="0" w:lastRow="0" w:noHBand="0" w:noVBand="1" w:val="04A0"/>
      </w:tblPr>
      <w:tblGrid>
        <w:gridCol w:w="3120"/>
        <w:gridCol w:w="3120"/>
        <w:gridCol w:w="3120"/>
      </w:tblGrid>
      <w:tr>
        <w:tc>
          <w:tcPr>
            <w:tcW w:type="dxa" w:w="312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p>
        </w:tc>
        <w:tc>
          <w:tcPr>
            <w:tcW w:type="dxa" w:w="312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Predicted Pass</w:t>
            </w:r>
          </w:p>
        </w:tc>
        <w:tc>
          <w:tcPr>
            <w:tcW w:type="dxa" w:w="312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Predicted At-Risk</w:t>
            </w:r>
          </w:p>
        </w:tc>
      </w:tr>
      <w:tr>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Actually Pass</w:t>
            </w:r>
            <w:r>
              <w:rPr>
                <w:rFonts w:ascii="Times New Roman" w:hAnsi="Times New Roman"/>
                <w:sz w:val="20"/>
              </w:rPr>
              <w:t xml:space="preserve"> (n = 163)</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TN = 153 (94%)</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FP = 10 (6%)</w:t>
            </w:r>
          </w:p>
        </w:tc>
      </w:tr>
      <w:tr>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Actually At-Risk</w:t>
            </w:r>
            <w:r>
              <w:rPr>
                <w:rFonts w:ascii="Times New Roman" w:hAnsi="Times New Roman"/>
                <w:sz w:val="20"/>
              </w:rPr>
              <w:t xml:space="preserve"> (n = 46)</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FN = 8 (17%) — MISSED</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TP = 38 (83%)</w:t>
            </w:r>
          </w:p>
        </w:tc>
      </w:tr>
    </w:tbl>
    <w:p>
      <w:pPr>
        <w:spacing w:after="120"/>
      </w:pPr>
    </w:p>
    <w:p>
      <w:pPr>
        <w:spacing w:lineRule="auto" w:line="276" w:after="120"/>
        <w:jc w:val="both"/>
      </w:pPr>
      <w:r>
        <w:rPr>
          <w:rFonts w:ascii="Times New Roman" w:hAnsi="Times New Roman"/>
          <w:sz w:val="24"/>
        </w:rPr>
        <w:t xml:space="preserve">The headline operational result is </w:t>
      </w:r>
      <w:r>
        <w:rPr>
          <w:rFonts w:ascii="Times New Roman" w:hAnsi="Times New Roman"/>
          <w:b/>
          <w:sz w:val="24"/>
        </w:rPr>
        <w:t>recall = 82.6%</w:t>
      </w:r>
      <w:r>
        <w:rPr>
          <w:rFonts w:ascii="Times New Roman" w:hAnsi="Times New Roman"/>
          <w:sz w:val="24"/>
        </w:rPr>
        <w:t xml:space="preserve"> — the deployed Random Forest catches 38 of 46 at-risk students on the test set. Eight at-risk students are missed (the false-negative cell, rendered in red in the dashboard). Ten passing students are flagged falsely (the false-positive cell). In an early-warning context, a false negative is operationally more costly than a false positive — a missed student receives no intervention; a falsely flagged student receives a check-in conversation that costs only the teacher's time. The dashboard surfaces this asymmetry deliberately.</w:t>
      </w:r>
    </w:p>
    <w:p>
      <w:pPr>
        <w:keepNext/>
        <w:spacing w:before="200" w:after="80"/>
        <w:jc w:val="left"/>
      </w:pPr>
      <w:r>
        <w:rPr>
          <w:rFonts w:ascii="Times New Roman" w:hAnsi="Times New Roman"/>
          <w:b/>
          <w:sz w:val="24"/>
        </w:rPr>
        <w:t>7.3.1 Subject-stratified Random Forest models</w:t>
      </w:r>
    </w:p>
    <w:p>
      <w:pPr>
        <w:spacing w:lineRule="auto" w:line="276" w:after="120"/>
        <w:jc w:val="both"/>
      </w:pPr>
      <w:r>
        <w:rPr>
          <w:rFonts w:ascii="Times New Roman" w:hAnsi="Times New Roman"/>
          <w:sz w:val="24"/>
        </w:rPr>
        <w:t>To probe whether the cohort-wide model masks subject-specific dynamics, we additionally train two stratified Random Forests — one on Mathematics only (</w:t>
      </w:r>
      <w:r>
        <w:rPr>
          <w:rFonts w:ascii="Times New Roman" w:hAnsi="Times New Roman"/>
          <w:i/>
          <w:sz w:val="24"/>
        </w:rPr>
        <w:t>n</w:t>
      </w:r>
      <w:r>
        <w:rPr>
          <w:rFonts w:ascii="Times New Roman" w:hAnsi="Times New Roman"/>
          <w:sz w:val="24"/>
        </w:rPr>
        <w:t xml:space="preserve"> = 395) and one on Portuguese only (</w:t>
      </w:r>
      <w:r>
        <w:rPr>
          <w:rFonts w:ascii="Times New Roman" w:hAnsi="Times New Roman"/>
          <w:i/>
          <w:sz w:val="24"/>
        </w:rPr>
        <w:t>n</w:t>
      </w:r>
      <w:r>
        <w:rPr>
          <w:rFonts w:ascii="Times New Roman" w:hAnsi="Times New Roman"/>
          <w:sz w:val="24"/>
        </w:rPr>
        <w:t xml:space="preserve"> = 649) — using the same hyperparameters, the same feature set, and the same stratified 80/20 split protocol (</w:t>
      </w:r>
      <w:r>
        <w:rPr>
          <w:rFonts w:ascii="Consolas" w:hAnsi="Consolas"/>
          <w:sz w:val="20"/>
        </w:rPr>
        <w:t>random_state = 42</w:t>
      </w:r>
      <w:r>
        <w:rPr>
          <w:rFonts w:ascii="Times New Roman" w:hAnsi="Times New Roman"/>
          <w:sz w:val="24"/>
        </w:rPr>
        <w:t xml:space="preserve">). Table 5c reports the held-out metrics for all three models side by side. The dashboard's </w:t>
      </w:r>
      <w:r>
        <w:rPr>
          <w:rFonts w:ascii="Times New Roman" w:hAnsi="Times New Roman"/>
          <w:i/>
          <w:sz w:val="24"/>
        </w:rPr>
        <w:t>Subject</w:t>
      </w:r>
      <w:r>
        <w:rPr>
          <w:rFonts w:ascii="Times New Roman" w:hAnsi="Times New Roman"/>
          <w:sz w:val="24"/>
        </w:rPr>
        <w:t xml:space="preserve"> toggle now switches between these three models in addition to filtering the displayed cohort.</w:t>
      </w:r>
    </w:p>
    <w:p>
      <w:pPr>
        <w:spacing w:lineRule="auto" w:line="276" w:after="120"/>
        <w:jc w:val="both"/>
      </w:pPr>
      <w:r>
        <w:rPr>
          <w:rFonts w:ascii="Times New Roman" w:hAnsi="Times New Roman"/>
          <w:b/>
          <w:sz w:val="24"/>
        </w:rPr>
        <w:t>Table 5c — Subject-stratified Random Forest performance on held-out test sets</w:t>
      </w:r>
    </w:p>
    <w:tbl>
      <w:tblPr>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Model</w:t>
            </w:r>
          </w:p>
        </w:tc>
        <w:tc>
          <w:tcPr>
            <w:tcW w:type="dxa" w:w="117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n total</w:t>
            </w:r>
          </w:p>
        </w:tc>
        <w:tc>
          <w:tcPr>
            <w:tcW w:type="dxa" w:w="117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n test</w:t>
            </w:r>
          </w:p>
        </w:tc>
        <w:tc>
          <w:tcPr>
            <w:tcW w:type="dxa" w:w="117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At-risk in test</w:t>
            </w:r>
          </w:p>
        </w:tc>
        <w:tc>
          <w:tcPr>
            <w:tcW w:type="dxa" w:w="117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Accuracy</w:t>
            </w:r>
          </w:p>
        </w:tc>
        <w:tc>
          <w:tcPr>
            <w:tcW w:type="dxa" w:w="117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Precision</w:t>
            </w:r>
          </w:p>
        </w:tc>
        <w:tc>
          <w:tcPr>
            <w:tcW w:type="dxa" w:w="117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Recall</w:t>
            </w:r>
          </w:p>
        </w:tc>
        <w:tc>
          <w:tcPr>
            <w:tcW w:type="dxa" w:w="117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F1</w:t>
            </w:r>
          </w:p>
        </w:tc>
      </w:tr>
      <w:tr>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Combined (deployed default)</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1,044</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209</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46</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91.4%</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79.2%</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82.6%</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80.9%</w:t>
            </w:r>
          </w:p>
        </w:tc>
      </w:tr>
      <w:tr>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Math only</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395</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79</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26</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89.9%</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82.1%</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88.5%</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85.2%</w:t>
            </w:r>
          </w:p>
        </w:tc>
      </w:tr>
      <w:tr>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Portuguese only</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649</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130</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20</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90.0%</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65.2%</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75.0%</w:t>
            </w:r>
          </w:p>
        </w:tc>
        <w:tc>
          <w:tcPr>
            <w:tcW w:type="dxa" w:w="117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69.8%</w:t>
            </w:r>
          </w:p>
        </w:tc>
      </w:tr>
    </w:tbl>
    <w:p>
      <w:pPr>
        <w:spacing w:after="120"/>
      </w:pPr>
    </w:p>
    <w:p>
      <w:pPr>
        <w:spacing w:lineRule="auto" w:line="276" w:after="120"/>
        <w:jc w:val="both"/>
      </w:pPr>
      <w:r>
        <w:rPr>
          <w:rFonts w:ascii="Times New Roman" w:hAnsi="Times New Roman"/>
          <w:sz w:val="24"/>
        </w:rPr>
        <w:t>Two observations follow.</w:t>
      </w:r>
    </w:p>
    <w:p>
      <w:pPr>
        <w:spacing w:lineRule="auto" w:line="276" w:after="120"/>
        <w:jc w:val="both"/>
      </w:pPr>
      <w:r>
        <w:rPr>
          <w:rFonts w:ascii="Times New Roman" w:hAnsi="Times New Roman"/>
          <w:b/>
          <w:sz w:val="24"/>
        </w:rPr>
        <w:t>Math is easier to predict than Portuguese.</w:t>
      </w:r>
      <w:r>
        <w:rPr>
          <w:rFonts w:ascii="Times New Roman" w:hAnsi="Times New Roman"/>
          <w:sz w:val="24"/>
        </w:rPr>
        <w:t xml:space="preserve"> The Math-only model catches twenty-three of twenty-six at-risk students (recall 88.5%, F1 85.2%) and meaningfully outperforms the combined model on every metric except accuracy. The Portuguese-only model catches fifteen of twenty (recall 75.0%) at the cost of a much lower precision (65.2%) and F1 (69.8%). Two structural reasons drive this gap. First, the Mathematics cohort has a higher base rate of at-risk students (38.7% of Math students are at-risk versus 12.4% of Portuguese students), so the minority class is less imbalanced and the classifier sees more positive examples per training fold. Second, the Math test set (n = 79) is smaller but the at-risk class is denser (26 of 79 = 32.9% versus 20 of 130 = 15.4%); a small absolute change in catches has a larger relative effect on recall.</w:t>
      </w:r>
    </w:p>
    <w:p>
      <w:pPr>
        <w:spacing w:lineRule="auto" w:line="276" w:after="120"/>
        <w:jc w:val="both"/>
      </w:pPr>
      <w:r>
        <w:rPr>
          <w:rFonts w:ascii="Times New Roman" w:hAnsi="Times New Roman"/>
          <w:b/>
          <w:sz w:val="24"/>
        </w:rPr>
        <w:t>The combined model is essentially a weighted average.</w:t>
      </w:r>
      <w:r>
        <w:rPr>
          <w:rFonts w:ascii="Times New Roman" w:hAnsi="Times New Roman"/>
          <w:sz w:val="24"/>
        </w:rPr>
        <w:t xml:space="preserve"> With n = 1,044 combined and a 22.0% at-risk rate, the combined model's recall (82.6%) sits squarely between the two stratified models (88.5% Math, 75.0% Portuguese) — closer to the Portuguese number than to the Math number, because Portuguese contributes more rows. This makes the combined model the appropriate default when the user has not chosen a subject, but argues for the stratified models when a teacher is acting in a single-subject context. The dashboard surfaces this choice through the </w:t>
      </w:r>
      <w:r>
        <w:rPr>
          <w:rFonts w:ascii="Times New Roman" w:hAnsi="Times New Roman"/>
          <w:i/>
          <w:sz w:val="24"/>
        </w:rPr>
        <w:t>Subject</w:t>
      </w:r>
      <w:r>
        <w:rPr>
          <w:rFonts w:ascii="Times New Roman" w:hAnsi="Times New Roman"/>
          <w:sz w:val="24"/>
        </w:rPr>
        <w:t xml:space="preserve"> toggle.</w:t>
      </w:r>
    </w:p>
    <w:p>
      <w:pPr>
        <w:keepNext/>
        <w:spacing w:before="200" w:after="80"/>
        <w:jc w:val="left"/>
      </w:pPr>
      <w:r>
        <w:rPr>
          <w:rFonts w:ascii="Times New Roman" w:hAnsi="Times New Roman"/>
          <w:b/>
          <w:sz w:val="24"/>
        </w:rPr>
        <w:t>7.4 Diagnostic insight: bimodal G3 and the withdrawal cohort</w:t>
      </w:r>
    </w:p>
    <w:p>
      <w:pPr>
        <w:spacing w:lineRule="auto" w:line="276" w:after="120"/>
        <w:jc w:val="both"/>
      </w:pPr>
      <w:r>
        <w:rPr>
          <w:rFonts w:ascii="Times New Roman" w:hAnsi="Times New Roman"/>
          <w:sz w:val="24"/>
        </w:rPr>
        <w:t xml:space="preserve">The G3 histogram exposes a clearly bimodal distribution: a primary mode centred near eleven out of twenty, plus a secondary spike at G3 = 0. This secondary mode corresponds to </w:t>
      </w:r>
      <w:r>
        <w:rPr>
          <w:rFonts w:ascii="Times New Roman" w:hAnsi="Times New Roman"/>
          <w:b/>
          <w:sz w:val="24"/>
        </w:rPr>
        <w:t>53 students (5.1% of cohort)</w:t>
      </w:r>
      <w:r>
        <w:rPr>
          <w:rFonts w:ascii="Times New Roman" w:hAnsi="Times New Roman"/>
          <w:sz w:val="24"/>
        </w:rPr>
        <w:t xml:space="preserve"> whose final grade is recorded as zero — interpretable as students who withdrew or did not sit the final exam.</w:t>
      </w:r>
    </w:p>
    <w:p>
      <w:pPr>
        <w:spacing w:lineRule="auto" w:line="276" w:after="120"/>
        <w:jc w:val="both"/>
      </w:pPr>
      <w:r>
        <w:rPr>
          <w:rFonts w:ascii="Times New Roman" w:hAnsi="Times New Roman"/>
          <w:sz w:val="24"/>
        </w:rPr>
        <w:t xml:space="preserve">This finding has two consequences. First, it makes summary statistics about G3 systematically misleading: the mean and median are pulled toward the pass threshold by the bulk of students near eleven, masking the existence of a discrete sub-population of withdrawals. Second, it argues for separating </w:t>
      </w:r>
      <w:r>
        <w:rPr>
          <w:rFonts w:ascii="Times New Roman" w:hAnsi="Times New Roman"/>
          <w:i/>
          <w:sz w:val="24"/>
        </w:rPr>
        <w:t>failure</w:t>
      </w:r>
      <w:r>
        <w:rPr>
          <w:rFonts w:ascii="Times New Roman" w:hAnsi="Times New Roman"/>
          <w:sz w:val="24"/>
        </w:rPr>
        <w:t xml:space="preserve"> (G3 &lt; 10 but &gt; 0) from </w:t>
      </w:r>
      <w:r>
        <w:rPr>
          <w:rFonts w:ascii="Times New Roman" w:hAnsi="Times New Roman"/>
          <w:i/>
          <w:sz w:val="24"/>
        </w:rPr>
        <w:t>withdrawal</w:t>
      </w:r>
      <w:r>
        <w:rPr>
          <w:rFonts w:ascii="Times New Roman" w:hAnsi="Times New Roman"/>
          <w:sz w:val="24"/>
        </w:rPr>
        <w:t xml:space="preserve"> (G3 = 0) in any future at-risk modelling, since the antecedents of these two outcomes are likely different. The current model treats both as a single </w:t>
      </w:r>
      <w:r>
        <w:rPr>
          <w:rFonts w:ascii="Consolas" w:hAnsi="Consolas"/>
          <w:sz w:val="20"/>
        </w:rPr>
        <w:t>at_risk</w:t>
      </w:r>
      <w:r>
        <w:rPr>
          <w:rFonts w:ascii="Times New Roman" w:hAnsi="Times New Roman"/>
          <w:sz w:val="24"/>
        </w:rPr>
        <w:t xml:space="preserve"> class.</w:t>
      </w:r>
    </w:p>
    <w:p>
      <w:pPr>
        <w:pBdr>
          <w:bottom w:val="single" w:sz="6" w:space="1" w:color="BFBFBF"/>
        </w:pBdr>
      </w:pPr>
    </w:p>
    <w:p>
      <w:pPr>
        <w:keepNext/>
        <w:spacing w:before="280" w:after="120"/>
        <w:jc w:val="left"/>
      </w:pPr>
      <w:r>
        <w:rPr>
          <w:rFonts w:ascii="Times New Roman" w:hAnsi="Times New Roman"/>
          <w:b/>
          <w:sz w:val="28"/>
        </w:rPr>
        <w:t>8. Discussion</w:t>
      </w:r>
    </w:p>
    <w:p>
      <w:pPr>
        <w:keepNext/>
        <w:spacing w:before="200" w:after="80"/>
        <w:jc w:val="left"/>
      </w:pPr>
      <w:r>
        <w:rPr>
          <w:rFonts w:ascii="Times New Roman" w:hAnsi="Times New Roman"/>
          <w:b/>
          <w:sz w:val="24"/>
        </w:rPr>
        <w:t>8.1 Interpretation of findings</w:t>
      </w:r>
    </w:p>
    <w:p>
      <w:pPr>
        <w:spacing w:lineRule="auto" w:line="276" w:after="120"/>
        <w:jc w:val="both"/>
      </w:pPr>
      <w:r>
        <w:rPr>
          <w:rFonts w:ascii="Times New Roman" w:hAnsi="Times New Roman"/>
          <w:sz w:val="24"/>
        </w:rPr>
        <w:t>Three observations follow from the empirical results.</w:t>
      </w:r>
    </w:p>
    <w:p>
      <w:pPr>
        <w:spacing w:lineRule="auto" w:line="276" w:after="120"/>
        <w:jc w:val="both"/>
      </w:pPr>
      <w:r>
        <w:rPr>
          <w:rFonts w:ascii="Times New Roman" w:hAnsi="Times New Roman"/>
          <w:b/>
          <w:sz w:val="24"/>
        </w:rPr>
        <w:t>G2 is a near-deterministic predictor of G3</w:t>
      </w:r>
      <w:r>
        <w:rPr>
          <w:rFonts w:ascii="Times New Roman" w:hAnsi="Times New Roman"/>
          <w:sz w:val="24"/>
        </w:rPr>
        <w:t xml:space="preserve"> (</w:t>
      </w:r>
      <w:r>
        <w:rPr>
          <w:rFonts w:ascii="Times New Roman" w:hAnsi="Times New Roman"/>
          <w:i/>
          <w:sz w:val="24"/>
        </w:rPr>
        <w:t>r</w:t>
      </w:r>
      <w:r>
        <w:rPr>
          <w:rFonts w:ascii="Times New Roman" w:hAnsi="Times New Roman"/>
          <w:sz w:val="24"/>
        </w:rPr>
        <w:t xml:space="preserve"> = 0.91, </w:t>
      </w:r>
      <w:r>
        <w:rPr>
          <w:rFonts w:ascii="Times New Roman" w:hAnsi="Times New Roman"/>
          <w:i/>
          <w:sz w:val="24"/>
        </w:rPr>
        <w:t>R</w:t>
      </w:r>
      <w:r>
        <w:rPr>
          <w:rFonts w:ascii="Times New Roman" w:hAnsi="Times New Roman"/>
          <w:sz w:val="24"/>
        </w:rPr>
        <w:t xml:space="preserve">² = 0.83). In practical terms, by the time the teacher sees the second midterm, the eventual outcome of the final exam is largely determined. This means an early-warning system worth deploying must produce its flags </w:t>
      </w:r>
      <w:r>
        <w:rPr>
          <w:rFonts w:ascii="Times New Roman" w:hAnsi="Times New Roman"/>
          <w:i/>
          <w:sz w:val="24"/>
        </w:rPr>
        <w:t>before</w:t>
      </w:r>
      <w:r>
        <w:rPr>
          <w:rFonts w:ascii="Times New Roman" w:hAnsi="Times New Roman"/>
          <w:sz w:val="24"/>
        </w:rPr>
        <w:t xml:space="preserve"> G2, ideally using G1 plus lifestyle and demographic context. Our Random Forest uses both G1 and G2 because the dashboard's framing places the intervention point </w:t>
      </w:r>
      <w:r>
        <w:rPr>
          <w:rFonts w:ascii="Times New Roman" w:hAnsi="Times New Roman"/>
          <w:i/>
          <w:sz w:val="24"/>
        </w:rPr>
        <w:t>after</w:t>
      </w:r>
      <w:r>
        <w:rPr>
          <w:rFonts w:ascii="Times New Roman" w:hAnsi="Times New Roman"/>
          <w:sz w:val="24"/>
        </w:rPr>
        <w:t xml:space="preserve"> G2 (when both midterms are available but the final is not yet sat). A more aggressive deployment would predict before G2 and re-predict after G2, treating the two midterms as sequential decision points.</w:t>
      </w:r>
    </w:p>
    <w:p>
      <w:pPr>
        <w:spacing w:lineRule="auto" w:line="276" w:after="120"/>
        <w:jc w:val="both"/>
      </w:pPr>
      <w:r>
        <w:rPr>
          <w:rFonts w:ascii="Times New Roman" w:hAnsi="Times New Roman"/>
          <w:b/>
          <w:sz w:val="24"/>
        </w:rPr>
        <w:t>Lifestyle clusters carry independent at-risk signal.</w:t>
      </w:r>
      <w:r>
        <w:rPr>
          <w:rFonts w:ascii="Times New Roman" w:hAnsi="Times New Roman"/>
          <w:sz w:val="24"/>
        </w:rPr>
        <w:t xml:space="preserve"> The Social Risk Group's at-risk rate of 29.4% — recovered from lifestyle features that do not include any grade information — is significantly higher than the cohort baseline of 22.0%. This argues that lifestyle is not merely a downstream consequence of academic struggle but contributes its own predictive signal, consistent with the educational data mining literature </w:t>
      </w:r>
      <w:r>
        <w:rPr>
          <w:rFonts w:ascii="Times New Roman" w:hAnsi="Times New Roman"/>
          <w:sz w:val="24"/>
        </w:rPr>
        <w:t>[2].</w:t>
      </w:r>
    </w:p>
    <w:p>
      <w:pPr>
        <w:spacing w:lineRule="auto" w:line="276" w:after="120"/>
        <w:jc w:val="both"/>
      </w:pPr>
      <w:r>
        <w:rPr>
          <w:rFonts w:ascii="Times New Roman" w:hAnsi="Times New Roman"/>
          <w:b/>
          <w:sz w:val="24"/>
        </w:rPr>
        <w:t>Recall–precision trade-off favours recall in this domain.</w:t>
      </w:r>
      <w:r>
        <w:rPr>
          <w:rFonts w:ascii="Times New Roman" w:hAnsi="Times New Roman"/>
          <w:sz w:val="24"/>
        </w:rPr>
        <w:t xml:space="preserve"> Our model trades a small amount of precision (79.2% of flagged students are genuinely at-risk; 20.8% are false alarms) for a substantial gain in recall (82.6% of at-risk students are caught). Under </w:t>
      </w:r>
      <w:r>
        <w:rPr>
          <w:rFonts w:ascii="Consolas" w:hAnsi="Consolas"/>
          <w:sz w:val="20"/>
        </w:rPr>
        <w:t>class_weight = "balanced"</w:t>
      </w:r>
      <w:r>
        <w:rPr>
          <w:rFonts w:ascii="Times New Roman" w:hAnsi="Times New Roman"/>
          <w:sz w:val="24"/>
        </w:rPr>
        <w:t>, the cost matrix implicitly assigns higher weight to false negatives, and this is the correct direction of bias for an early-warning system. A teacher can absorb the cost of speaking with a few extra students; the cost of failing to speak with a student who then fails the final is operationally much higher.</w:t>
      </w:r>
    </w:p>
    <w:p>
      <w:pPr>
        <w:keepNext/>
        <w:spacing w:before="200" w:after="80"/>
        <w:jc w:val="left"/>
      </w:pPr>
      <w:r>
        <w:rPr>
          <w:rFonts w:ascii="Times New Roman" w:hAnsi="Times New Roman"/>
          <w:b/>
          <w:sz w:val="24"/>
        </w:rPr>
        <w:t>8.2 Limitations</w:t>
      </w:r>
    </w:p>
    <w:p>
      <w:pPr>
        <w:spacing w:lineRule="auto" w:line="276" w:after="120"/>
        <w:jc w:val="both"/>
      </w:pPr>
      <w:r>
        <w:rPr>
          <w:rFonts w:ascii="Times New Roman" w:hAnsi="Times New Roman"/>
          <w:sz w:val="24"/>
        </w:rPr>
        <w:t>We list two concrete limitations of the present system.</w:t>
      </w:r>
    </w:p>
    <w:p>
      <w:pPr>
        <w:pStyle w:val="ListNumber"/>
        <w:spacing w:lineRule="auto" w:line="276" w:after="40"/>
      </w:pPr>
      <w:r>
        <w:rPr>
          <w:rFonts w:ascii="Times New Roman" w:hAnsi="Times New Roman"/>
          <w:b/>
          <w:sz w:val="24"/>
        </w:rPr>
        <w:t>Hardcoded ML numbers.</w:t>
      </w:r>
      <w:r>
        <w:rPr>
          <w:rFonts w:ascii="Times New Roman" w:hAnsi="Times New Roman"/>
          <w:sz w:val="24"/>
        </w:rPr>
        <w:t xml:space="preserve"> Pearson correlations, cluster statistics, Random Forest metrics (across all three stratifications), and the Random Forest feature-importance vector are baked into JavaScript object literals in </w:t>
      </w:r>
      <w:r>
        <w:rPr>
          <w:rFonts w:ascii="Consolas" w:hAnsi="Consolas"/>
          <w:sz w:val="20"/>
        </w:rPr>
        <w:t>web/charts/*.js</w:t>
      </w:r>
      <w:r>
        <w:rPr>
          <w:rFonts w:ascii="Times New Roman" w:hAnsi="Times New Roman"/>
          <w:sz w:val="24"/>
        </w:rPr>
        <w:t xml:space="preserve">. Re-running </w:t>
      </w:r>
      <w:r>
        <w:rPr>
          <w:rFonts w:ascii="Consolas" w:hAnsi="Consolas"/>
          <w:sz w:val="20"/>
        </w:rPr>
        <w:t>analyze.py</w:t>
      </w:r>
      <w:r>
        <w:rPr>
          <w:rFonts w:ascii="Times New Roman" w:hAnsi="Times New Roman"/>
          <w:sz w:val="24"/>
        </w:rPr>
        <w:t xml:space="preserve"> regenerates the cleaned CSV and recomputes every number, but the figures displayed on the dashboard must be copied across manually. The trade-off (no build step) is acceptable for this project but would not scale to a production deployment with frequent data updates.</w:t>
      </w:r>
    </w:p>
    <w:p>
      <w:pPr>
        <w:pStyle w:val="ListNumber"/>
        <w:spacing w:lineRule="auto" w:line="276" w:after="40"/>
      </w:pPr>
      <w:r>
        <w:rPr>
          <w:rFonts w:ascii="Times New Roman" w:hAnsi="Times New Roman"/>
          <w:b/>
          <w:sz w:val="24"/>
        </w:rPr>
        <w:t>No live single-student inference.</w:t>
      </w:r>
      <w:r>
        <w:rPr>
          <w:rFonts w:ascii="Times New Roman" w:hAnsi="Times New Roman"/>
          <w:sz w:val="24"/>
        </w:rPr>
        <w:t xml:space="preserve"> The dashboard is read-only. A natural extension is an input panel that accepts a student's features and runs the classifier client-side via a serialised model (ONNX runtime or a hand-rolled tree-ensemble in JavaScript).</w:t>
      </w:r>
    </w:p>
    <w:p>
      <w:pPr>
        <w:keepNext/>
        <w:spacing w:before="200" w:after="80"/>
        <w:jc w:val="left"/>
      </w:pPr>
      <w:r>
        <w:rPr>
          <w:rFonts w:ascii="Times New Roman" w:hAnsi="Times New Roman"/>
          <w:b/>
          <w:sz w:val="24"/>
        </w:rPr>
        <w:t>8.3 Threats to validity</w:t>
      </w:r>
    </w:p>
    <w:p>
      <w:pPr>
        <w:spacing w:lineRule="auto" w:line="276" w:after="120"/>
        <w:jc w:val="both"/>
      </w:pPr>
      <w:r>
        <w:rPr>
          <w:rFonts w:ascii="Times New Roman" w:hAnsi="Times New Roman"/>
          <w:sz w:val="24"/>
        </w:rPr>
        <w:t>We acknowledge several threats to the external validity of these results.</w:t>
      </w:r>
    </w:p>
    <w:p>
      <w:pPr>
        <w:spacing w:lineRule="auto" w:line="276" w:after="120"/>
        <w:jc w:val="both"/>
      </w:pPr>
      <w:r>
        <w:rPr>
          <w:rFonts w:ascii="Times New Roman" w:hAnsi="Times New Roman"/>
          <w:b/>
          <w:sz w:val="24"/>
        </w:rPr>
        <w:t>Population.</w:t>
      </w:r>
      <w:r>
        <w:rPr>
          <w:rFonts w:ascii="Times New Roman" w:hAnsi="Times New Roman"/>
          <w:sz w:val="24"/>
        </w:rPr>
        <w:t xml:space="preserve"> The dataset captures one academic year (2005–2006) at two schools in one country (Portugal). Generalisability to other educational systems, time periods, or countries is not established by the present work.</w:t>
      </w:r>
    </w:p>
    <w:p>
      <w:pPr>
        <w:spacing w:lineRule="auto" w:line="276" w:after="120"/>
        <w:jc w:val="both"/>
      </w:pPr>
      <w:r>
        <w:rPr>
          <w:rFonts w:ascii="Times New Roman" w:hAnsi="Times New Roman"/>
          <w:b/>
          <w:sz w:val="24"/>
        </w:rPr>
        <w:t>Class-imbalance handling.</w:t>
      </w:r>
      <w:r>
        <w:rPr>
          <w:rFonts w:ascii="Times New Roman" w:hAnsi="Times New Roman"/>
          <w:sz w:val="24"/>
        </w:rPr>
        <w:t xml:space="preserve"> We use </w:t>
      </w:r>
      <w:r>
        <w:rPr>
          <w:rFonts w:ascii="Consolas" w:hAnsi="Consolas"/>
          <w:sz w:val="20"/>
        </w:rPr>
        <w:t>class_weight = "balanced"</w:t>
      </w:r>
      <w:r>
        <w:rPr>
          <w:rFonts w:ascii="Times New Roman" w:hAnsi="Times New Roman"/>
          <w:sz w:val="24"/>
        </w:rPr>
        <w:t xml:space="preserve"> rather than data-level resampling techniques such as SMOTE </w:t>
      </w:r>
      <w:r>
        <w:rPr>
          <w:rFonts w:ascii="Times New Roman" w:hAnsi="Times New Roman"/>
          <w:sz w:val="24"/>
        </w:rPr>
        <w:t>[9]. The choice is principled (preserves the original distribution; no synthetic samples introduced), but a comparison with SMOTE-based resampling would strengthen the result.</w:t>
      </w:r>
    </w:p>
    <w:p>
      <w:pPr>
        <w:spacing w:lineRule="auto" w:line="276" w:after="120"/>
        <w:jc w:val="both"/>
      </w:pPr>
      <w:r>
        <w:rPr>
          <w:rFonts w:ascii="Times New Roman" w:hAnsi="Times New Roman"/>
          <w:b/>
          <w:sz w:val="24"/>
        </w:rPr>
        <w:t>Fairness.</w:t>
      </w:r>
      <w:r>
        <w:rPr>
          <w:rFonts w:ascii="Times New Roman" w:hAnsi="Times New Roman"/>
          <w:sz w:val="24"/>
        </w:rPr>
        <w:t xml:space="preserve"> The dataset contains sex, family status, and other demographic variables that could be used to assess fairness across demographic subgroups. We do not report subgroup-conditional precision and recall in the current work. A more complete deployment would include a fairness audit and, if necessary, reweighting or post-hoc thresholding.</w:t>
      </w:r>
    </w:p>
    <w:p>
      <w:pPr>
        <w:spacing w:lineRule="auto" w:line="276" w:after="120"/>
        <w:jc w:val="both"/>
      </w:pPr>
      <w:r>
        <w:rPr>
          <w:rFonts w:ascii="Times New Roman" w:hAnsi="Times New Roman"/>
          <w:b/>
          <w:sz w:val="24"/>
        </w:rPr>
        <w:t>Withdrawal versus failure.</w:t>
      </w:r>
      <w:r>
        <w:rPr>
          <w:rFonts w:ascii="Times New Roman" w:hAnsi="Times New Roman"/>
          <w:sz w:val="24"/>
        </w:rPr>
        <w:t xml:space="preserve"> As noted in §7.4, the binary </w:t>
      </w:r>
      <w:r>
        <w:rPr>
          <w:rFonts w:ascii="Consolas" w:hAnsi="Consolas"/>
          <w:sz w:val="20"/>
        </w:rPr>
        <w:t>at_risk</w:t>
      </w:r>
      <w:r>
        <w:rPr>
          <w:rFonts w:ascii="Times New Roman" w:hAnsi="Times New Roman"/>
          <w:sz w:val="24"/>
        </w:rPr>
        <w:t xml:space="preserve"> target collapses two operationally distinct outcomes (withdrawal at G3 = 0 and failure at 0 &lt; G3 &lt; 10). A three-class formulation may be more appropriate.</w:t>
      </w:r>
    </w:p>
    <w:p>
      <w:pPr>
        <w:pBdr>
          <w:bottom w:val="single" w:sz="6" w:space="1" w:color="BFBFBF"/>
        </w:pBdr>
      </w:pPr>
    </w:p>
    <w:p>
      <w:pPr>
        <w:keepNext/>
        <w:spacing w:before="280" w:after="120"/>
        <w:jc w:val="left"/>
      </w:pPr>
      <w:r>
        <w:rPr>
          <w:rFonts w:ascii="Times New Roman" w:hAnsi="Times New Roman"/>
          <w:b/>
          <w:sz w:val="28"/>
        </w:rPr>
        <w:t>9. Conclusion and Future Work</w:t>
      </w:r>
    </w:p>
    <w:p>
      <w:pPr>
        <w:keepNext/>
        <w:spacing w:before="200" w:after="80"/>
        <w:jc w:val="left"/>
      </w:pPr>
      <w:r>
        <w:rPr>
          <w:rFonts w:ascii="Times New Roman" w:hAnsi="Times New Roman"/>
          <w:b/>
          <w:sz w:val="24"/>
        </w:rPr>
        <w:t>9.1 Summary of contributions</w:t>
      </w:r>
    </w:p>
    <w:p>
      <w:pPr>
        <w:spacing w:lineRule="auto" w:line="276" w:after="120"/>
        <w:jc w:val="both"/>
      </w:pPr>
      <w:r>
        <w:rPr>
          <w:rFonts w:ascii="Times New Roman" w:hAnsi="Times New Roman"/>
          <w:sz w:val="24"/>
        </w:rPr>
        <w:t>This project has presented an end-to-end pipeline — from raw UCI data through cleaning, exploratory statistics, unsupervised segmentation, and supervised classification, to a live deployed dashboard — for the secondary-school early-warning problem. The principal contributions are:</w:t>
      </w:r>
    </w:p>
    <w:p>
      <w:pPr>
        <w:pStyle w:val="ListNumber"/>
        <w:spacing w:lineRule="auto" w:line="276" w:after="40"/>
      </w:pPr>
      <w:r>
        <w:rPr>
          <w:rFonts w:ascii="Times New Roman" w:hAnsi="Times New Roman"/>
          <w:sz w:val="24"/>
        </w:rPr>
        <w:t xml:space="preserve">A </w:t>
      </w:r>
      <w:r>
        <w:rPr>
          <w:rFonts w:ascii="Times New Roman" w:hAnsi="Times New Roman"/>
          <w:b/>
          <w:sz w:val="24"/>
        </w:rPr>
        <w:t>reproducible analytical pipeline</w:t>
      </w:r>
      <w:r>
        <w:rPr>
          <w:rFonts w:ascii="Times New Roman" w:hAnsi="Times New Roman"/>
          <w:sz w:val="24"/>
        </w:rPr>
        <w:t xml:space="preserve"> driven by a single Python script, with all numerical results stable under fixed random seeds.</w:t>
      </w:r>
    </w:p>
    <w:p>
      <w:pPr>
        <w:pStyle w:val="ListNumber"/>
        <w:spacing w:lineRule="auto" w:line="276" w:after="40"/>
      </w:pPr>
      <w:r>
        <w:rPr>
          <w:rFonts w:ascii="Times New Roman" w:hAnsi="Times New Roman"/>
          <w:sz w:val="24"/>
        </w:rPr>
        <w:t xml:space="preserve">A </w:t>
      </w:r>
      <w:r>
        <w:rPr>
          <w:rFonts w:ascii="Times New Roman" w:hAnsi="Times New Roman"/>
          <w:b/>
          <w:sz w:val="24"/>
        </w:rPr>
        <w:t>recall-led model evaluation</w:t>
      </w:r>
      <w:r>
        <w:rPr>
          <w:rFonts w:ascii="Times New Roman" w:hAnsi="Times New Roman"/>
          <w:sz w:val="24"/>
        </w:rPr>
        <w:t xml:space="preserve"> in which the confusion matrix, and especially the </w:t>
      </w:r>
      <w:r>
        <w:rPr>
          <w:rFonts w:ascii="Times New Roman" w:hAnsi="Times New Roman"/>
          <w:i/>
          <w:sz w:val="24"/>
        </w:rPr>
        <w:t>missed</w:t>
      </w:r>
      <w:r>
        <w:rPr>
          <w:rFonts w:ascii="Times New Roman" w:hAnsi="Times New Roman"/>
          <w:sz w:val="24"/>
        </w:rPr>
        <w:t xml:space="preserve"> cell, is rendered as a first-class element of the interface.</w:t>
      </w:r>
    </w:p>
    <w:p>
      <w:pPr>
        <w:pStyle w:val="ListNumber"/>
        <w:spacing w:lineRule="auto" w:line="276" w:after="40"/>
      </w:pPr>
      <w:r>
        <w:rPr>
          <w:rFonts w:ascii="Times New Roman" w:hAnsi="Times New Roman"/>
          <w:sz w:val="24"/>
        </w:rPr>
        <w:t xml:space="preserve">A </w:t>
      </w:r>
      <w:r>
        <w:rPr>
          <w:rFonts w:ascii="Times New Roman" w:hAnsi="Times New Roman"/>
          <w:b/>
          <w:sz w:val="24"/>
        </w:rPr>
        <w:t>clickable four-step reasoning interface</w:t>
      </w:r>
      <w:r>
        <w:rPr>
          <w:rFonts w:ascii="Times New Roman" w:hAnsi="Times New Roman"/>
          <w:sz w:val="24"/>
        </w:rPr>
        <w:t xml:space="preserve"> that surfaces the early-warning logic — </w:t>
      </w:r>
      <w:r>
        <w:rPr>
          <w:rFonts w:ascii="Times New Roman" w:hAnsi="Times New Roman"/>
          <w:i/>
          <w:sz w:val="24"/>
        </w:rPr>
        <w:t>which signals matter?</w:t>
      </w:r>
      <w:r>
        <w:rPr>
          <w:rFonts w:ascii="Times New Roman" w:hAnsi="Times New Roman"/>
          <w:sz w:val="24"/>
        </w:rPr>
        <w:t xml:space="preserve"> → </w:t>
      </w:r>
      <w:r>
        <w:rPr>
          <w:rFonts w:ascii="Times New Roman" w:hAnsi="Times New Roman"/>
          <w:i/>
          <w:sz w:val="24"/>
        </w:rPr>
        <w:t>is the relationship real per-student?</w:t>
      </w:r>
      <w:r>
        <w:rPr>
          <w:rFonts w:ascii="Times New Roman" w:hAnsi="Times New Roman"/>
          <w:sz w:val="24"/>
        </w:rPr>
        <w:t xml:space="preserve"> → </w:t>
      </w:r>
      <w:r>
        <w:rPr>
          <w:rFonts w:ascii="Times New Roman" w:hAnsi="Times New Roman"/>
          <w:i/>
          <w:sz w:val="24"/>
        </w:rPr>
        <w:t>are there student types?</w:t>
      </w:r>
      <w:r>
        <w:rPr>
          <w:rFonts w:ascii="Times New Roman" w:hAnsi="Times New Roman"/>
          <w:sz w:val="24"/>
        </w:rPr>
        <w:t xml:space="preserve"> → </w:t>
      </w:r>
      <w:r>
        <w:rPr>
          <w:rFonts w:ascii="Times New Roman" w:hAnsi="Times New Roman"/>
          <w:i/>
          <w:sz w:val="24"/>
        </w:rPr>
        <w:t>can we predict?</w:t>
      </w:r>
      <w:r>
        <w:rPr>
          <w:rFonts w:ascii="Times New Roman" w:hAnsi="Times New Roman"/>
          <w:sz w:val="24"/>
        </w:rPr>
        <w:t xml:space="preserve"> — as direct manipulation across six linked cards on a single-viewport grid.</w:t>
      </w:r>
    </w:p>
    <w:p>
      <w:pPr>
        <w:keepNext/>
        <w:spacing w:before="200" w:after="80"/>
        <w:jc w:val="left"/>
      </w:pPr>
      <w:r>
        <w:rPr>
          <w:rFonts w:ascii="Times New Roman" w:hAnsi="Times New Roman"/>
          <w:b/>
          <w:sz w:val="24"/>
        </w:rPr>
        <w:t>9.2 Future work</w:t>
      </w:r>
    </w:p>
    <w:p>
      <w:pPr>
        <w:spacing w:lineRule="auto" w:line="276" w:after="120"/>
        <w:jc w:val="both"/>
      </w:pPr>
      <w:r>
        <w:rPr>
          <w:rFonts w:ascii="Times New Roman" w:hAnsi="Times New Roman"/>
          <w:sz w:val="24"/>
        </w:rPr>
        <w:t>Two concrete directions for extension, in priority order:</w:t>
      </w:r>
    </w:p>
    <w:p>
      <w:pPr>
        <w:pStyle w:val="ListNumber"/>
        <w:spacing w:lineRule="auto" w:line="276" w:after="40"/>
      </w:pPr>
      <w:r>
        <w:rPr>
          <w:rFonts w:ascii="Times New Roman" w:hAnsi="Times New Roman"/>
          <w:b/>
          <w:sz w:val="24"/>
        </w:rPr>
        <w:t>Live single-student inference</w:t>
      </w:r>
      <w:r>
        <w:rPr>
          <w:rFonts w:ascii="Times New Roman" w:hAnsi="Times New Roman"/>
          <w:sz w:val="24"/>
        </w:rPr>
        <w:t>, with a serialised model running client-side, so a teacher can type a hypothetical student profile and receive a risk score with feature attributions.</w:t>
      </w:r>
    </w:p>
    <w:p>
      <w:pPr>
        <w:pStyle w:val="ListNumber"/>
        <w:spacing w:lineRule="auto" w:line="276" w:after="40"/>
      </w:pPr>
      <w:r>
        <w:rPr>
          <w:rFonts w:ascii="Times New Roman" w:hAnsi="Times New Roman"/>
          <w:b/>
          <w:sz w:val="24"/>
        </w:rPr>
        <w:t>Address (urban / rural) and family status as additional view-by dimensions</w:t>
      </w:r>
      <w:r>
        <w:rPr>
          <w:rFonts w:ascii="Times New Roman" w:hAnsi="Times New Roman"/>
          <w:sz w:val="24"/>
        </w:rPr>
        <w:t>, to expose socio-economic and family-stability proxies already present in the cleaned dataset.</w:t>
      </w:r>
    </w:p>
    <w:p>
      <w:pPr>
        <w:spacing w:lineRule="auto" w:line="276" w:after="120"/>
        <w:jc w:val="both"/>
      </w:pPr>
      <w:r>
        <w:rPr>
          <w:rFonts w:ascii="Times New Roman" w:hAnsi="Times New Roman"/>
          <w:sz w:val="24"/>
        </w:rPr>
        <w:t xml:space="preserve">Three items previously listed as future work have already been delivered in this submission and are documented in §4 and §7.3: 5-fold stratified cross-validation with Logistic-Regression and Decision-Tree baselines (§4.4 + §7.3); subject-stratified Random Forest models that the </w:t>
      </w:r>
      <w:r>
        <w:rPr>
          <w:rFonts w:ascii="Times New Roman" w:hAnsi="Times New Roman"/>
          <w:i/>
          <w:sz w:val="24"/>
        </w:rPr>
        <w:t>Subject</w:t>
      </w:r>
      <w:r>
        <w:rPr>
          <w:rFonts w:ascii="Times New Roman" w:hAnsi="Times New Roman"/>
          <w:sz w:val="24"/>
        </w:rPr>
        <w:t xml:space="preserve"> toggle switches between live (recall jumps to 88.5% on Math-only, drops to 75.0% on Portuguese-only — §7.3.1); and the dual-mode Pearson/RF importance toggle in the </w:t>
      </w:r>
      <w:r>
        <w:rPr>
          <w:rFonts w:ascii="Times New Roman" w:hAnsi="Times New Roman"/>
          <w:i/>
          <w:sz w:val="24"/>
        </w:rPr>
        <w:t>Key Drivers</w:t>
      </w:r>
      <w:r>
        <w:rPr>
          <w:rFonts w:ascii="Times New Roman" w:hAnsi="Times New Roman"/>
          <w:sz w:val="24"/>
        </w:rPr>
        <w:t xml:space="preserve"> card, which exposes the non-linear / threshold behaviour the linear coefficient understates (§4.1.1, with </w:t>
      </w:r>
      <w:r>
        <w:rPr>
          <w:rFonts w:ascii="Consolas" w:hAnsi="Consolas"/>
          <w:sz w:val="20"/>
        </w:rPr>
        <w:t>absences</w:t>
      </w:r>
      <w:r>
        <w:rPr>
          <w:rFonts w:ascii="Times New Roman" w:hAnsi="Times New Roman"/>
          <w:sz w:val="24"/>
        </w:rPr>
        <w:t xml:space="preserve"> as the headline example — rank 15 in Pearson, rank 4 in RF importance).</w:t>
      </w:r>
    </w:p>
    <w:p>
      <w:pPr>
        <w:pBdr>
          <w:bottom w:val="single" w:sz="6" w:space="1" w:color="BFBFBF"/>
        </w:pBdr>
      </w:pPr>
    </w:p>
    <w:p>
      <w:pPr>
        <w:keepNext/>
        <w:spacing w:before="280" w:after="120"/>
        <w:jc w:val="left"/>
      </w:pPr>
      <w:r>
        <w:rPr>
          <w:rFonts w:ascii="Times New Roman" w:hAnsi="Times New Roman"/>
          <w:b/>
          <w:sz w:val="28"/>
        </w:rPr>
        <w:t>10. References</w:t>
      </w:r>
    </w:p>
    <w:p>
      <w:pPr>
        <w:spacing w:lineRule="auto" w:line="276" w:after="120"/>
        <w:jc w:val="both"/>
      </w:pPr>
      <w:r>
        <w:rPr>
          <w:rFonts w:ascii="Times New Roman" w:hAnsi="Times New Roman"/>
          <w:sz w:val="24"/>
        </w:rPr>
        <w:t xml:space="preserve">[1] P. Cortez and A. Silva, "Using data mining to predict secondary school student performance," in </w:t>
      </w:r>
      <w:r>
        <w:rPr>
          <w:rFonts w:ascii="Times New Roman" w:hAnsi="Times New Roman"/>
          <w:i/>
          <w:sz w:val="24"/>
        </w:rPr>
        <w:t>Proc. 5th Future Business Technology Conference (FUBUTEC 2008)</w:t>
      </w:r>
      <w:r>
        <w:rPr>
          <w:rFonts w:ascii="Times New Roman" w:hAnsi="Times New Roman"/>
          <w:sz w:val="24"/>
        </w:rPr>
        <w:t>, A. Brito and J. Teixeira, Eds. Porto, Portugal: EUROSIS, Apr. 2008, pp. 5–12.</w:t>
      </w:r>
    </w:p>
    <w:p>
      <w:pPr>
        <w:spacing w:lineRule="auto" w:line="276" w:after="120"/>
        <w:jc w:val="both"/>
      </w:pPr>
      <w:r>
        <w:rPr>
          <w:rFonts w:ascii="Times New Roman" w:hAnsi="Times New Roman"/>
          <w:sz w:val="24"/>
        </w:rPr>
        <w:t xml:space="preserve">[2] C. Romero and S. Ventura, "Educational data mining: A review of the state of the art," </w:t>
      </w:r>
      <w:r>
        <w:rPr>
          <w:rFonts w:ascii="Times New Roman" w:hAnsi="Times New Roman"/>
          <w:i/>
          <w:sz w:val="24"/>
        </w:rPr>
        <w:t>IEEE Trans. Syst., Man, Cybern. C</w:t>
      </w:r>
      <w:r>
        <w:rPr>
          <w:rFonts w:ascii="Times New Roman" w:hAnsi="Times New Roman"/>
          <w:sz w:val="24"/>
        </w:rPr>
        <w:t>, vol. 40, no. 6, pp. 601–618, Nov. 2010.</w:t>
      </w:r>
    </w:p>
    <w:p>
      <w:pPr>
        <w:spacing w:lineRule="auto" w:line="276" w:after="120"/>
        <w:jc w:val="both"/>
      </w:pPr>
      <w:r>
        <w:rPr>
          <w:rFonts w:ascii="Times New Roman" w:hAnsi="Times New Roman"/>
          <w:sz w:val="24"/>
        </w:rPr>
        <w:t xml:space="preserve">[3] F. Hohman, M. Kahng, R. Pienta, and D. H. Chau, "Visual analytics in deep learning: An interrogative survey for the next frontiers," </w:t>
      </w:r>
      <w:r>
        <w:rPr>
          <w:rFonts w:ascii="Times New Roman" w:hAnsi="Times New Roman"/>
          <w:i/>
          <w:sz w:val="24"/>
        </w:rPr>
        <w:t>IEEE Trans. Visualization and Computer Graphics</w:t>
      </w:r>
      <w:r>
        <w:rPr>
          <w:rFonts w:ascii="Times New Roman" w:hAnsi="Times New Roman"/>
          <w:sz w:val="24"/>
        </w:rPr>
        <w:t>, vol. 25, no. 8, pp. 2674–2693, Aug. 2019.</w:t>
      </w:r>
    </w:p>
    <w:p>
      <w:pPr>
        <w:spacing w:lineRule="auto" w:line="276" w:after="120"/>
        <w:jc w:val="both"/>
      </w:pPr>
      <w:r>
        <w:rPr>
          <w:rFonts w:ascii="Times New Roman" w:hAnsi="Times New Roman"/>
          <w:sz w:val="24"/>
        </w:rPr>
        <w:t xml:space="preserve">[4] S. Few, </w:t>
      </w:r>
      <w:r>
        <w:rPr>
          <w:rFonts w:ascii="Times New Roman" w:hAnsi="Times New Roman"/>
          <w:i/>
          <w:sz w:val="24"/>
        </w:rPr>
        <w:t>Information Dashboard Design: The Effective Visual Communication of Data</w:t>
      </w:r>
      <w:r>
        <w:rPr>
          <w:rFonts w:ascii="Times New Roman" w:hAnsi="Times New Roman"/>
          <w:sz w:val="24"/>
        </w:rPr>
        <w:t>, 1st ed. Sebastopol, CA, USA: O'Reilly Media, 2006.</w:t>
      </w:r>
    </w:p>
    <w:p>
      <w:pPr>
        <w:spacing w:lineRule="auto" w:line="276" w:after="120"/>
        <w:jc w:val="both"/>
      </w:pPr>
      <w:r>
        <w:rPr>
          <w:rFonts w:ascii="Times New Roman" w:hAnsi="Times New Roman"/>
          <w:sz w:val="24"/>
        </w:rPr>
        <w:t xml:space="preserve">[5] T. Munzner, </w:t>
      </w:r>
      <w:r>
        <w:rPr>
          <w:rFonts w:ascii="Times New Roman" w:hAnsi="Times New Roman"/>
          <w:i/>
          <w:sz w:val="24"/>
        </w:rPr>
        <w:t>Visualization Analysis and Design</w:t>
      </w:r>
      <w:r>
        <w:rPr>
          <w:rFonts w:ascii="Times New Roman" w:hAnsi="Times New Roman"/>
          <w:sz w:val="24"/>
        </w:rPr>
        <w:t>, 1st ed. Boca Raton, FL, USA: CRC Press, 2014.</w:t>
      </w:r>
    </w:p>
    <w:p>
      <w:pPr>
        <w:spacing w:lineRule="auto" w:line="276" w:after="120"/>
        <w:jc w:val="both"/>
      </w:pPr>
      <w:r>
        <w:rPr>
          <w:rFonts w:ascii="Times New Roman" w:hAnsi="Times New Roman"/>
          <w:sz w:val="24"/>
        </w:rPr>
        <w:t xml:space="preserve">[6] A. Buja, J. A. McDonald, J. Michalak, and W. Stuetzle, "Interactive data visualization using focusing and linking," in </w:t>
      </w:r>
      <w:r>
        <w:rPr>
          <w:rFonts w:ascii="Times New Roman" w:hAnsi="Times New Roman"/>
          <w:i/>
          <w:sz w:val="24"/>
        </w:rPr>
        <w:t>Proc. IEEE Conf. Visualization</w:t>
      </w:r>
      <w:r>
        <w:rPr>
          <w:rFonts w:ascii="Times New Roman" w:hAnsi="Times New Roman"/>
          <w:sz w:val="24"/>
        </w:rPr>
        <w:t>, 1991, pp. 156–163.</w:t>
      </w:r>
    </w:p>
    <w:p>
      <w:pPr>
        <w:spacing w:lineRule="auto" w:line="276" w:after="120"/>
        <w:jc w:val="both"/>
      </w:pPr>
      <w:r>
        <w:rPr>
          <w:rFonts w:ascii="Times New Roman" w:hAnsi="Times New Roman"/>
          <w:sz w:val="24"/>
        </w:rPr>
        <w:t xml:space="preserve">[7] D. Dua and C. Graff. (2017). </w:t>
      </w:r>
      <w:r>
        <w:rPr>
          <w:rFonts w:ascii="Times New Roman" w:hAnsi="Times New Roman"/>
          <w:i/>
          <w:sz w:val="24"/>
        </w:rPr>
        <w:t>UCI Machine Learning Repository: Student Performance Data Set.</w:t>
      </w:r>
      <w:r>
        <w:rPr>
          <w:rFonts w:ascii="Times New Roman" w:hAnsi="Times New Roman"/>
          <w:sz w:val="24"/>
        </w:rPr>
        <w:t xml:space="preserve"> University of California, Irvine, School of Information and Computer Sciences. </w:t>
      </w:r>
      <w:r>
        <w:rPr>
          <w:rFonts w:ascii="Times New Roman" w:hAnsi="Times New Roman"/>
          <w:sz w:val="24"/>
        </w:rPr>
        <w:t>[Online]. Available: https://archive.ics.uci.edu/dataset/320/student+performance</w:t>
      </w:r>
    </w:p>
    <w:p>
      <w:pPr>
        <w:spacing w:lineRule="auto" w:line="276" w:after="120"/>
        <w:jc w:val="both"/>
      </w:pPr>
      <w:r>
        <w:rPr>
          <w:rFonts w:ascii="Times New Roman" w:hAnsi="Times New Roman"/>
          <w:sz w:val="24"/>
        </w:rPr>
        <w:t xml:space="preserve">[8] World Wide Web Consortium, </w:t>
      </w:r>
      <w:r>
        <w:rPr>
          <w:rFonts w:ascii="Times New Roman" w:hAnsi="Times New Roman"/>
          <w:i/>
          <w:sz w:val="24"/>
        </w:rPr>
        <w:t>Web Content Accessibility Guidelines (WCAG) 2.2</w:t>
      </w:r>
      <w:r>
        <w:rPr>
          <w:rFonts w:ascii="Times New Roman" w:hAnsi="Times New Roman"/>
          <w:sz w:val="24"/>
        </w:rPr>
        <w:t xml:space="preserve">, W3C Recommendation, Oct. 2023. </w:t>
      </w:r>
      <w:r>
        <w:rPr>
          <w:rFonts w:ascii="Times New Roman" w:hAnsi="Times New Roman"/>
          <w:sz w:val="24"/>
        </w:rPr>
        <w:t>[Online]. Available: https://www.w3.org/TR/WCAG22/</w:t>
      </w:r>
    </w:p>
    <w:p>
      <w:pPr>
        <w:spacing w:lineRule="auto" w:line="276" w:after="120"/>
        <w:jc w:val="both"/>
      </w:pPr>
      <w:r>
        <w:rPr>
          <w:rFonts w:ascii="Times New Roman" w:hAnsi="Times New Roman"/>
          <w:sz w:val="24"/>
        </w:rPr>
        <w:t xml:space="preserve">[9] N. V. Chawla, K. W. Bowyer, L. O. Hall, and W. P. Kegelmeyer, "SMOTE: Synthetic minority over-sampling technique," </w:t>
      </w:r>
      <w:r>
        <w:rPr>
          <w:rFonts w:ascii="Times New Roman" w:hAnsi="Times New Roman"/>
          <w:i/>
          <w:sz w:val="24"/>
        </w:rPr>
        <w:t>J. Artif. Intell. Res.</w:t>
      </w:r>
      <w:r>
        <w:rPr>
          <w:rFonts w:ascii="Times New Roman" w:hAnsi="Times New Roman"/>
          <w:sz w:val="24"/>
        </w:rPr>
        <w:t>, vol. 16, pp. 321–357, Jun. 2002.</w:t>
      </w:r>
    </w:p>
    <w:p>
      <w:pPr>
        <w:spacing w:lineRule="auto" w:line="276" w:after="120"/>
        <w:jc w:val="both"/>
      </w:pPr>
      <w:r>
        <w:rPr>
          <w:rFonts w:ascii="Times New Roman" w:hAnsi="Times New Roman"/>
          <w:sz w:val="24"/>
        </w:rPr>
        <w:t xml:space="preserve">[10] M. Bostock, V. Ogievetsky, and J. Heer, "D³: Data-driven documents," </w:t>
      </w:r>
      <w:r>
        <w:rPr>
          <w:rFonts w:ascii="Times New Roman" w:hAnsi="Times New Roman"/>
          <w:i/>
          <w:sz w:val="24"/>
        </w:rPr>
        <w:t>IEEE Trans. Visualization and Computer Graphics</w:t>
      </w:r>
      <w:r>
        <w:rPr>
          <w:rFonts w:ascii="Times New Roman" w:hAnsi="Times New Roman"/>
          <w:sz w:val="24"/>
        </w:rPr>
        <w:t>, vol. 17, no. 12, pp. 2301–2309, Dec. 2011.</w:t>
      </w:r>
    </w:p>
    <w:p>
      <w:pPr>
        <w:spacing w:lineRule="auto" w:line="276" w:after="120"/>
        <w:jc w:val="both"/>
      </w:pPr>
      <w:r>
        <w:rPr>
          <w:rFonts w:ascii="Times New Roman" w:hAnsi="Times New Roman"/>
          <w:sz w:val="24"/>
        </w:rPr>
        <w:t xml:space="preserve">[11] F. Pedregosa et al., "Scikit-learn: Machine learning in Python," </w:t>
      </w:r>
      <w:r>
        <w:rPr>
          <w:rFonts w:ascii="Times New Roman" w:hAnsi="Times New Roman"/>
          <w:i/>
          <w:sz w:val="24"/>
        </w:rPr>
        <w:t>J. Machine Learning Res.</w:t>
      </w:r>
      <w:r>
        <w:rPr>
          <w:rFonts w:ascii="Times New Roman" w:hAnsi="Times New Roman"/>
          <w:sz w:val="24"/>
        </w:rPr>
        <w:t>, vol. 12, pp. 2825–2830, 2011.</w:t>
      </w:r>
    </w:p>
    <w:p>
      <w:pPr>
        <w:spacing w:lineRule="auto" w:line="276" w:after="120"/>
        <w:jc w:val="both"/>
      </w:pPr>
      <w:r>
        <w:rPr>
          <w:rFonts w:ascii="Times New Roman" w:hAnsi="Times New Roman"/>
          <w:sz w:val="24"/>
        </w:rPr>
        <w:t xml:space="preserve">[12] L. Breiman, "Random forests," </w:t>
      </w:r>
      <w:r>
        <w:rPr>
          <w:rFonts w:ascii="Times New Roman" w:hAnsi="Times New Roman"/>
          <w:i/>
          <w:sz w:val="24"/>
        </w:rPr>
        <w:t>Machine Learning</w:t>
      </w:r>
      <w:r>
        <w:rPr>
          <w:rFonts w:ascii="Times New Roman" w:hAnsi="Times New Roman"/>
          <w:sz w:val="24"/>
        </w:rPr>
        <w:t>, vol. 45, no. 1, pp. 5–32, Oct. 2001.</w:t>
      </w:r>
    </w:p>
    <w:p>
      <w:pPr>
        <w:pBdr>
          <w:bottom w:val="single" w:sz="6" w:space="1" w:color="BFBFBF"/>
        </w:pBdr>
      </w:pPr>
    </w:p>
    <w:p>
      <w:pPr>
        <w:keepNext/>
        <w:spacing w:before="280" w:after="120"/>
        <w:jc w:val="left"/>
      </w:pPr>
      <w:r>
        <w:rPr>
          <w:rFonts w:ascii="Times New Roman" w:hAnsi="Times New Roman"/>
          <w:b/>
          <w:sz w:val="28"/>
        </w:rPr>
        <w:t>Appendix A — Team Contributions</w:t>
      </w:r>
    </w:p>
    <w:tbl>
      <w:tblPr>
        <w:tblW w:type="auto" w:w="0"/>
        <w:tblLayout w:type="autofit"/>
        <w:tblLook w:firstColumn="1" w:firstRow="1" w:lastColumn="0" w:lastRow="0" w:noHBand="0" w:noVBand="1" w:val="04A0"/>
      </w:tblPr>
      <w:tblGrid>
        <w:gridCol w:w="2340"/>
        <w:gridCol w:w="2340"/>
        <w:gridCol w:w="2340"/>
        <w:gridCol w:w="2340"/>
      </w:tblGrid>
      <w:tr>
        <w:tc>
          <w:tcPr>
            <w:tcW w:type="dxa" w:w="234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Member</w:t>
            </w:r>
          </w:p>
        </w:tc>
        <w:tc>
          <w:tcPr>
            <w:tcW w:type="dxa" w:w="234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Role</w:t>
            </w:r>
          </w:p>
        </w:tc>
        <w:tc>
          <w:tcPr>
            <w:tcW w:type="dxa" w:w="234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Primary deliverables</w:t>
            </w:r>
          </w:p>
        </w:tc>
        <w:tc>
          <w:tcPr>
            <w:tcW w:type="dxa" w:w="234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Share</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Tran Nam Anh</w:t>
            </w:r>
            <w:r>
              <w:rPr>
                <w:rFonts w:ascii="Times New Roman" w:hAnsi="Times New Roman"/>
                <w:sz w:val="20"/>
              </w:rPr>
              <w:t xml:space="preserve"> (ITDSIU23030, </w:t>
            </w:r>
            <w:r>
              <w:rPr>
                <w:rFonts w:ascii="Times New Roman" w:hAnsi="Times New Roman"/>
                <w:i/>
                <w:sz w:val="20"/>
              </w:rPr>
              <w:t>Leader</w:t>
            </w:r>
            <w:r>
              <w:rPr>
                <w:rFonts w:ascii="Times New Roman" w:hAnsi="Times New Roman"/>
                <w:sz w:val="20"/>
              </w:rPr>
              <w:t>)</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Data &amp; ML Engineer</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analysis/analyze.py</w:t>
            </w:r>
            <w:r>
              <w:rPr>
                <w:rFonts w:ascii="Times New Roman" w:hAnsi="Times New Roman"/>
                <w:sz w:val="20"/>
              </w:rPr>
              <w:t xml:space="preserve">; cleaned dataset; Pearson, K-Means, and Random Forest analyses (including 5-fold CV, LogReg / DTree baselines, subject-stratified RF models); EDA notebook; hardcoded ML constants in </w:t>
            </w:r>
            <w:r>
              <w:rPr>
                <w:rFonts w:ascii="Times New Roman" w:hAnsi="Times New Roman"/>
                <w:sz w:val="20"/>
              </w:rPr>
              <w:t>web/charts/{importance,personas,risk}.js</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35%</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Nguyen Duc Hai</w:t>
            </w:r>
            <w:r>
              <w:rPr>
                <w:rFonts w:ascii="Times New Roman" w:hAnsi="Times New Roman"/>
                <w:sz w:val="20"/>
              </w:rPr>
              <w:t xml:space="preserve"> (ITDSIU23006)</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Visualisation &amp; Frontend</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 xml:space="preserve">All six D3 chart modules; main state machine in </w:t>
            </w:r>
            <w:r>
              <w:rPr>
                <w:rFonts w:ascii="Times New Roman" w:hAnsi="Times New Roman"/>
                <w:sz w:val="20"/>
              </w:rPr>
              <w:t>web/main.js</w:t>
            </w:r>
            <w:r>
              <w:rPr>
                <w:rFonts w:ascii="Times New Roman" w:hAnsi="Times New Roman"/>
                <w:sz w:val="20"/>
              </w:rPr>
              <w:t xml:space="preserve">; live model-switching wiring in </w:t>
            </w:r>
            <w:r>
              <w:rPr>
                <w:rFonts w:ascii="Times New Roman" w:hAnsi="Times New Roman"/>
                <w:sz w:val="20"/>
              </w:rPr>
              <w:t>risk.js</w:t>
            </w:r>
            <w:r>
              <w:rPr>
                <w:rFonts w:ascii="Times New Roman" w:hAnsi="Times New Roman"/>
                <w:sz w:val="20"/>
              </w:rPr>
              <w:t>; CSS theme system; 24-column grid; cross-card linking; accessibility baseline; Vercel deployment</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35%</w:t>
            </w:r>
          </w:p>
        </w:tc>
      </w:tr>
      <w:tr>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Dang Minh Phat</w:t>
            </w:r>
            <w:r>
              <w:rPr>
                <w:rFonts w:ascii="Times New Roman" w:hAnsi="Times New Roman"/>
                <w:sz w:val="20"/>
              </w:rPr>
              <w:t xml:space="preserve"> (ITDSIU23017)</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Documentation, Report &amp; Video</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README, USECASE, this report, video script, video recording and editing, screenshots, submission logistics</w:t>
            </w:r>
          </w:p>
        </w:tc>
        <w:tc>
          <w:tcPr>
            <w:tcW w:type="dxa" w:w="234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b/>
                <w:sz w:val="20"/>
              </w:rPr>
              <w:t>30%</w:t>
            </w:r>
          </w:p>
        </w:tc>
      </w:tr>
    </w:tbl>
    <w:p>
      <w:pPr>
        <w:spacing w:after="120"/>
      </w:pPr>
    </w:p>
    <w:p>
      <w:pPr>
        <w:spacing w:lineRule="auto" w:line="276" w:after="120"/>
        <w:jc w:val="both"/>
      </w:pPr>
      <w:r>
        <w:rPr>
          <w:rFonts w:ascii="Times New Roman" w:hAnsi="Times New Roman"/>
          <w:sz w:val="24"/>
        </w:rPr>
        <w:t>Each member confirms by signing below that the percentages above reflect their actual contribution.</w:t>
      </w:r>
    </w:p>
    <w:tbl>
      <w:tblPr>
        <w:tblW w:type="auto" w:w="0"/>
        <w:tblLayout w:type="autofit"/>
        <w:tblLook w:firstColumn="1" w:firstRow="1" w:lastColumn="0" w:lastRow="0" w:noHBand="0" w:noVBand="1" w:val="04A0"/>
      </w:tblPr>
      <w:tblGrid>
        <w:gridCol w:w="3120"/>
        <w:gridCol w:w="3120"/>
        <w:gridCol w:w="3120"/>
      </w:tblGrid>
      <w:tr>
        <w:tc>
          <w:tcPr>
            <w:tcW w:type="dxa" w:w="312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Member</w:t>
            </w:r>
          </w:p>
        </w:tc>
        <w:tc>
          <w:tcPr>
            <w:tcW w:type="dxa" w:w="312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Signature</w:t>
            </w:r>
          </w:p>
        </w:tc>
        <w:tc>
          <w:tcPr>
            <w:tcW w:type="dxa" w:w="312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Date</w:t>
            </w:r>
          </w:p>
        </w:tc>
      </w:tr>
      <w:tr>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Tran Nam Anh</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__________________</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__ / __ / 2026</w:t>
            </w:r>
          </w:p>
        </w:tc>
      </w:tr>
      <w:tr>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Nguyen Duc Hai</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__________________</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__ / __ / 2026</w:t>
            </w:r>
          </w:p>
        </w:tc>
      </w:tr>
      <w:tr>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Dang Minh Phat</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__________________</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__ / __ / 2026</w:t>
            </w:r>
          </w:p>
        </w:tc>
      </w:tr>
    </w:tbl>
    <w:p>
      <w:pPr>
        <w:spacing w:after="120"/>
      </w:pPr>
    </w:p>
    <w:p>
      <w:pPr>
        <w:pBdr>
          <w:bottom w:val="single" w:sz="6" w:space="1" w:color="BFBFBF"/>
        </w:pBdr>
      </w:pPr>
    </w:p>
    <w:p>
      <w:pPr>
        <w:keepNext/>
        <w:spacing w:before="280" w:after="120"/>
        <w:jc w:val="left"/>
      </w:pPr>
      <w:r>
        <w:rPr>
          <w:rFonts w:ascii="Times New Roman" w:hAnsi="Times New Roman"/>
          <w:b/>
          <w:sz w:val="28"/>
        </w:rPr>
        <w:t>Appendix B — Repository Layout</w:t>
      </w:r>
    </w:p>
    <w:p>
      <w:pPr>
        <w:spacing w:line="240" w:lineRule="auto" w:after="160"/>
        <w:ind w:left="340"/>
        <w:shd w:val="clear" w:color="auto" w:fill="F4F4F4"/>
      </w:pPr>
      <w:r>
        <w:rPr>
          <w:rFonts w:ascii="Consolas" w:hAnsi="Consolas"/>
          <w:sz w:val="20"/>
        </w:rPr>
        <w:t>student-performance-UCI/</w:t>
        <w:br/>
        <w:t>├── README.md                  Project overview and getting-started guide</w:t>
        <w:br/>
        <w:t>├── USECASE.md                 Problem framing and four-step reasoning pipeline</w:t>
        <w:br/>
        <w:t>├── REPORT.md / REPORT.docx    This report</w:t>
        <w:br/>
        <w:t>├── VIDEO_SCRIPT.md            Scene-by-scene script for the submission video</w:t>
        <w:br/>
        <w:t>├── TEAM_INFO.md               Team table + Google Sheet copy-paste source</w:t>
        <w:br/>
        <w:t>├── LICENSE</w:t>
        <w:br/>
        <w:t>├── vercel.json                Static deploy configuration (outputDirectory: "web")</w:t>
        <w:br/>
        <w:t>├── analysis/</w:t>
        <w:br/>
        <w:t>│   ├── analyze.py             One-shot pipeline: clean → corr → K-Means → RF → export</w:t>
        <w:br/>
        <w:t>│   └── eda.ipynb              Annotated notebook companion</w:t>
        <w:br/>
        <w:t>├── data/</w:t>
        <w:br/>
        <w:t>│   ├── raw/</w:t>
        <w:br/>
        <w:t>│   │   ├── student-mat.csv    UCI raw — Math, n = 395</w:t>
        <w:br/>
        <w:t>│   │   └── student-por.csv    UCI raw — Portuguese, n = 649</w:t>
        <w:br/>
        <w:t>│   └── processed/</w:t>
        <w:br/>
        <w:t>│       └── clean_students.csv n = 1,044, 35 columns</w:t>
        <w:br/>
        <w:t>├── visual/                    Static plots from the EDA notebook</w:t>
        <w:br/>
        <w:t>│   ├── correlations.png</w:t>
        <w:br/>
        <w:t>│   ├── elbow.png</w:t>
        <w:br/>
        <w:t>│   ├── g2_vs_g3.png</w:t>
        <w:br/>
        <w:t>│   └── grade_distributions.png</w:t>
        <w:br/>
        <w:t>├── docs/screenshots/          Dashboard screenshots for documentation</w:t>
        <w:br/>
        <w:t>│   ├── dashboard-light.jpg</w:t>
        <w:br/>
        <w:t>│   └── dashboard-dark.jpg</w:t>
        <w:br/>
        <w:t>└── web/                       Deploy root (vercel.json points here)</w:t>
        <w:br/>
        <w:t xml:space="preserve">    ├── index.html</w:t>
        <w:br/>
        <w:t xml:space="preserve">    ├── style.css</w:t>
        <w:br/>
        <w:t xml:space="preserve">    ├── main.js</w:t>
        <w:br/>
        <w:t xml:space="preserve">    ├── data/clean_students.csv</w:t>
        <w:br/>
        <w:t xml:space="preserve">    └── charts/</w:t>
        <w:br/>
        <w:t xml:space="preserve">        ├── scatter.js</w:t>
        <w:br/>
        <w:t xml:space="preserve">        ├── importance.js</w:t>
        <w:br/>
        <w:t xml:space="preserve">        ├── personas.js</w:t>
        <w:br/>
        <w:t xml:space="preserve">        ├── risk.js</w:t>
        <w:br/>
        <w:t xml:space="preserve">        ├── progression.js</w:t>
        <w:br/>
        <w:t xml:space="preserve">        ├── histogram.js</w:t>
        <w:br/>
        <w:t xml:space="preserve">        └── utils.js</w:t>
      </w:r>
    </w:p>
    <w:p>
      <w:pPr>
        <w:pBdr>
          <w:bottom w:val="single" w:sz="6" w:space="1" w:color="BFBFBF"/>
        </w:pBdr>
      </w:pPr>
    </w:p>
    <w:p>
      <w:pPr>
        <w:keepNext/>
        <w:spacing w:before="280" w:after="120"/>
        <w:jc w:val="left"/>
      </w:pPr>
      <w:r>
        <w:rPr>
          <w:rFonts w:ascii="Times New Roman" w:hAnsi="Times New Roman"/>
          <w:b/>
          <w:sz w:val="28"/>
        </w:rPr>
        <w:t>Appendix C — Figures</w:t>
      </w:r>
    </w:p>
    <w:p>
      <w:pPr>
        <w:spacing w:lineRule="auto" w:line="276" w:after="120"/>
        <w:jc w:val="both"/>
      </w:pPr>
      <w:r>
        <w:rPr>
          <w:rFonts w:ascii="Times New Roman" w:hAnsi="Times New Roman"/>
          <w:sz w:val="24"/>
        </w:rPr>
        <w:t xml:space="preserve">The following images are stored in the repository and should be embedded in the rendered </w:t>
      </w:r>
      <w:r>
        <w:rPr>
          <w:rFonts w:ascii="Consolas" w:hAnsi="Consolas"/>
          <w:sz w:val="20"/>
        </w:rPr>
        <w:t>.docx</w:t>
      </w:r>
      <w:r>
        <w:rPr>
          <w:rFonts w:ascii="Times New Roman" w:hAnsi="Times New Roman"/>
          <w:sz w:val="24"/>
        </w:rPr>
        <w:t xml:space="preserve"> version of this report at the locations referenced below.</w:t>
      </w:r>
    </w:p>
    <w:tbl>
      <w:tblPr>
        <w:tblW w:type="auto" w:w="0"/>
        <w:tblLayout w:type="autofit"/>
        <w:tblLook w:firstColumn="1" w:firstRow="1" w:lastColumn="0" w:lastRow="0" w:noHBand="0" w:noVBand="1" w:val="04A0"/>
      </w:tblPr>
      <w:tblGrid>
        <w:gridCol w:w="3120"/>
        <w:gridCol w:w="3120"/>
        <w:gridCol w:w="3120"/>
      </w:tblGrid>
      <w:tr>
        <w:tc>
          <w:tcPr>
            <w:tcW w:type="dxa" w:w="312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Figure</w:t>
            </w:r>
          </w:p>
        </w:tc>
        <w:tc>
          <w:tcPr>
            <w:tcW w:type="dxa" w:w="312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File</w:t>
            </w:r>
          </w:p>
        </w:tc>
        <w:tc>
          <w:tcPr>
            <w:tcW w:type="dxa" w:w="3120"/>
            <w:vAlign w:val="top"/>
            <w:tcBorders>
              <w:top w:val="single" w:sz="6" w:color="BFBFBF"/>
              <w:left w:val="single" w:sz="6" w:color="BFBFBF"/>
              <w:bottom w:val="single" w:sz="6" w:color="BFBFBF"/>
              <w:right w:val="single" w:sz="6" w:color="BFBFBF"/>
            </w:tcBorders>
            <w:shd w:val="clear" w:color="auto" w:fill="D9E1F2"/>
          </w:tcPr>
          <w:p>
            <w:pPr>
              <w:spacing w:after="40"/>
            </w:pPr>
            <w:r>
              <w:rPr>
                <w:rFonts w:ascii="Times New Roman" w:hAnsi="Times New Roman"/>
                <w:b/>
                <w:sz w:val="20"/>
              </w:rPr>
            </w:r>
            <w:r>
              <w:rPr>
                <w:rFonts w:ascii="Times New Roman" w:hAnsi="Times New Roman"/>
                <w:b/>
                <w:sz w:val="20"/>
              </w:rPr>
              <w:t>Referenced in</w:t>
            </w:r>
          </w:p>
        </w:tc>
      </w:tr>
      <w:tr>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1</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docs/screenshots/dashboard-light.jpg</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§1, §5, §6 — overall dashboard layout</w:t>
            </w:r>
          </w:p>
        </w:tc>
      </w:tr>
      <w:tr>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2</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docs/screenshots/dashboard-dark.jpg</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§5.4 — dark-mode rendering</w:t>
            </w:r>
          </w:p>
        </w:tc>
      </w:tr>
      <w:tr>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3</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visual/correlations.png</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§4.1, §7.1 — Pearson correlation matrix</w:t>
            </w:r>
          </w:p>
        </w:tc>
      </w:tr>
      <w:tr>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4</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visual/elbow.png</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§4.3 — K-Means elbow-method support for k = 3</w:t>
            </w:r>
          </w:p>
        </w:tc>
      </w:tr>
      <w:tr>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5</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visual/g2_vs_g3.png</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§4.2, §7.1 — bivariate G2 vs G3 with OLS line</w:t>
            </w:r>
          </w:p>
        </w:tc>
      </w:tr>
      <w:tr>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6</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visual/grade_distributions.png</w:t>
            </w:r>
          </w:p>
        </w:tc>
        <w:tc>
          <w:tcPr>
            <w:tcW w:type="dxa" w:w="3120"/>
            <w:vAlign w:val="top"/>
            <w:tcBorders>
              <w:top w:val="single" w:sz="6" w:color="BFBFBF"/>
              <w:left w:val="single" w:sz="6" w:color="BFBFBF"/>
              <w:bottom w:val="single" w:sz="6" w:color="BFBFBF"/>
              <w:right w:val="single" w:sz="6" w:color="BFBFBF"/>
            </w:tcBorders>
          </w:tcPr>
          <w:p>
            <w:pPr>
              <w:spacing w:after="40"/>
            </w:pPr>
            <w:r>
              <w:rPr>
                <w:rFonts w:ascii="Times New Roman" w:hAnsi="Times New Roman"/>
                <w:sz w:val="20"/>
              </w:rPr>
            </w:r>
            <w:r>
              <w:rPr>
                <w:rFonts w:ascii="Times New Roman" w:hAnsi="Times New Roman"/>
                <w:sz w:val="20"/>
              </w:rPr>
              <w:t>§4.6, §7.4 — G1/G2/G3 distributions with the G3 = 0 spike</w:t>
            </w:r>
          </w:p>
        </w:tc>
      </w:tr>
    </w:tbl>
    <w:p>
      <w:pPr>
        <w:spacing w:after="120"/>
      </w:pPr>
    </w:p>
    <w:p>
      <w:pPr>
        <w:pBdr>
          <w:bottom w:val="single" w:sz="6" w:space="1" w:color="BFBFBF"/>
        </w:pBdr>
      </w:pPr>
    </w:p>
    <w:p>
      <w:pPr>
        <w:keepNext/>
        <w:spacing w:before="280" w:after="120"/>
        <w:jc w:val="left"/>
      </w:pPr>
      <w:r>
        <w:rPr>
          <w:rFonts w:ascii="Times New Roman" w:hAnsi="Times New Roman"/>
          <w:b/>
          <w:sz w:val="28"/>
        </w:rPr>
        <w:t>Appendix D — Pre-submission Checklist</w:t>
      </w:r>
    </w:p>
    <w:p>
      <w:pPr>
        <w:spacing w:lineRule="auto" w:line="276" w:after="120"/>
        <w:jc w:val="both"/>
      </w:pPr>
      <w:r>
        <w:rPr>
          <w:rFonts w:ascii="Times New Roman" w:hAnsi="Times New Roman"/>
          <w:sz w:val="24"/>
        </w:rPr>
        <w:t>Tick before submitting:</w:t>
      </w:r>
    </w:p>
    <w:p>
      <w:pPr>
        <w:pStyle w:val="ListBullet"/>
        <w:spacing w:lineRule="auto" w:line="276" w:after="40"/>
      </w:pPr>
      <w:r>
        <w:rPr>
          <w:rFonts w:ascii="Times New Roman" w:hAnsi="Times New Roman"/>
          <w:sz w:val="24"/>
        </w:rPr>
        <w:t xml:space="preserve">[ ] All </w:t>
      </w:r>
      <w:r>
        <w:rPr>
          <w:rFonts w:ascii="Consolas" w:hAnsi="Consolas"/>
          <w:sz w:val="20"/>
        </w:rPr>
        <w:t>[BRACKETED]</w:t>
      </w:r>
      <w:r>
        <w:rPr>
          <w:rFonts w:ascii="Times New Roman" w:hAnsi="Times New Roman"/>
          <w:sz w:val="24"/>
        </w:rPr>
        <w:t xml:space="preserve"> placeholders in the cover page and Appendix A replaced with real names, student IDs, and emails.</w:t>
      </w:r>
    </w:p>
    <w:p>
      <w:pPr>
        <w:pStyle w:val="ListBullet"/>
        <w:spacing w:lineRule="auto" w:line="276" w:after="40"/>
      </w:pPr>
      <w:r>
        <w:rPr>
          <w:rFonts w:ascii="Times New Roman" w:hAnsi="Times New Roman"/>
          <w:sz w:val="24"/>
        </w:rPr>
        <w:t>[x] Original Kaggle dataset confirmed and named in §3.2 (</w:t>
      </w:r>
      <w:r>
        <w:rPr>
          <w:rFonts w:ascii="Times New Roman" w:hAnsi="Times New Roman"/>
          <w:i/>
          <w:sz w:val="24"/>
        </w:rPr>
        <w:t>Student Performance Factors</w:t>
      </w:r>
      <w:r>
        <w:rPr>
          <w:rFonts w:ascii="Times New Roman" w:hAnsi="Times New Roman"/>
          <w:sz w:val="24"/>
        </w:rPr>
        <w:t xml:space="preserve"> by </w:t>
      </w:r>
      <w:r>
        <w:rPr>
          <w:rFonts w:ascii="Times New Roman" w:hAnsi="Times New Roman"/>
          <w:i/>
          <w:sz w:val="24"/>
        </w:rPr>
        <w:t>lainguyn123</w:t>
      </w:r>
      <w:r>
        <w:rPr>
          <w:rFonts w:ascii="Times New Roman" w:hAnsi="Times New Roman"/>
          <w:sz w:val="24"/>
        </w:rPr>
        <w:t>; migration rationale extended with the empirical-noise argument).</w:t>
      </w:r>
    </w:p>
    <w:p>
      <w:pPr>
        <w:pStyle w:val="ListBullet"/>
        <w:spacing w:lineRule="auto" w:line="276" w:after="40"/>
      </w:pPr>
      <w:r>
        <w:rPr>
          <w:rFonts w:ascii="Times New Roman" w:hAnsi="Times New Roman"/>
          <w:sz w:val="24"/>
        </w:rPr>
        <w:t>[ ] Video recorded, ≤ 15 minutes, exported at 1080p / 30 fps.</w:t>
      </w:r>
    </w:p>
    <w:p>
      <w:pPr>
        <w:pStyle w:val="ListBullet"/>
        <w:spacing w:lineRule="auto" w:line="276" w:after="40"/>
      </w:pPr>
      <w:r>
        <w:rPr>
          <w:rFonts w:ascii="Times New Roman" w:hAnsi="Times New Roman"/>
          <w:sz w:val="24"/>
        </w:rPr>
        <w:t>[ ] Video uploaded to Google Drive; shareable link copied.</w:t>
      </w:r>
    </w:p>
    <w:p>
      <w:pPr>
        <w:pStyle w:val="ListBullet"/>
        <w:spacing w:lineRule="auto" w:line="276" w:after="40"/>
      </w:pPr>
      <w:r>
        <w:rPr>
          <w:rFonts w:ascii="Times New Roman" w:hAnsi="Times New Roman"/>
          <w:sz w:val="24"/>
        </w:rPr>
        <w:t xml:space="preserve">[ ] This report exported to </w:t>
      </w:r>
      <w:r>
        <w:rPr>
          <w:rFonts w:ascii="Consolas" w:hAnsi="Consolas"/>
          <w:sz w:val="20"/>
        </w:rPr>
        <w:t>REPORT.docx</w:t>
      </w:r>
      <w:r>
        <w:rPr>
          <w:rFonts w:ascii="Times New Roman" w:hAnsi="Times New Roman"/>
          <w:sz w:val="24"/>
        </w:rPr>
        <w:t>.</w:t>
      </w:r>
    </w:p>
    <w:p>
      <w:pPr>
        <w:pStyle w:val="ListBullet"/>
        <w:spacing w:lineRule="auto" w:line="276" w:after="40"/>
      </w:pPr>
      <w:r>
        <w:rPr>
          <w:rFonts w:ascii="Times New Roman" w:hAnsi="Times New Roman"/>
          <w:sz w:val="24"/>
        </w:rPr>
        <w:t>[ ] Google Sheet row at &lt;https://docs.google.com/spreadsheets/d/13tdSCmP19CvT0MDo6W5uUubkfSkKew13fpfkgUejrb0/edit?gid=0#gid=0&gt; filled.</w:t>
      </w:r>
    </w:p>
    <w:p>
      <w:pPr>
        <w:pStyle w:val="ListBullet"/>
        <w:spacing w:lineRule="auto" w:line="276" w:after="40"/>
      </w:pPr>
      <w:r>
        <w:rPr>
          <w:rFonts w:ascii="Times New Roman" w:hAnsi="Times New Roman"/>
          <w:sz w:val="24"/>
        </w:rPr>
        <w:t>[ ] Submission to Google Drive (video + report).</w:t>
      </w:r>
    </w:p>
    <w:p>
      <w:pPr>
        <w:pStyle w:val="ListBullet"/>
        <w:spacing w:lineRule="auto" w:line="276" w:after="40"/>
      </w:pPr>
      <w:r>
        <w:rPr>
          <w:rFonts w:ascii="Times New Roman" w:hAnsi="Times New Roman"/>
          <w:sz w:val="24"/>
        </w:rPr>
        <w:t>[ ] Submission to Blackboard (report).</w:t>
      </w:r>
    </w:p>
    <w:p>
      <w:pPr>
        <w:pStyle w:val="ListBullet"/>
        <w:spacing w:lineRule="auto" w:line="276" w:after="40"/>
      </w:pPr>
      <w:r>
        <w:rPr>
          <w:rFonts w:ascii="Times New Roman" w:hAnsi="Times New Roman"/>
          <w:sz w:val="24"/>
        </w:rPr>
        <w:t>[ ] Final read-through of the report by all members.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