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Consolas" w:hAnsi="Consolas"/>
          <w:sz w:val="20"/>
        </w:rPr>
        <w:t>[MEMBER 1 FULL NAME]</w:t>
      </w:r>
      <w:r>
        <w:rPr>
          <w:rFonts w:ascii="Times New Roman" w:hAnsi="Times New Roman"/>
          <w:sz w:val="24"/>
        </w:rPr>
        <w:t xml:space="preserve"> — Student ID </w:t>
      </w:r>
      <w:r>
        <w:rPr>
          <w:rFonts w:ascii="Consolas" w:hAnsi="Consolas"/>
          <w:sz w:val="20"/>
        </w:rPr>
        <w:t>[MSSV 1]</w:t>
      </w:r>
      <w:r>
        <w:rPr>
          <w:rFonts w:ascii="Times New Roman" w:hAnsi="Times New Roman"/>
          <w:sz w:val="24"/>
        </w:rPr>
        <w:t xml:space="preserve"> — </w:t>
      </w:r>
      <w:r>
        <w:rPr>
          <w:rFonts w:ascii="Consolas" w:hAnsi="Consolas"/>
          <w:sz w:val="20"/>
        </w:rPr>
        <w:t>[MEMBER 1 EMAIL]</w:t>
      </w:r>
    </w:p>
    <w:p>
      <w:pPr>
        <w:pStyle w:val="ListBullet"/>
        <w:spacing w:lineRule="auto" w:line="276" w:after="40"/>
      </w:pPr>
      <w:r>
        <w:rPr>
          <w:rFonts w:ascii="Consolas" w:hAnsi="Consolas"/>
          <w:sz w:val="20"/>
        </w:rPr>
        <w:t>[MEMBER 2 FULL NAME]</w:t>
      </w:r>
      <w:r>
        <w:rPr>
          <w:rFonts w:ascii="Times New Roman" w:hAnsi="Times New Roman"/>
          <w:sz w:val="24"/>
        </w:rPr>
        <w:t xml:space="preserve"> — Student ID </w:t>
      </w:r>
      <w:r>
        <w:rPr>
          <w:rFonts w:ascii="Consolas" w:hAnsi="Consolas"/>
          <w:sz w:val="20"/>
        </w:rPr>
        <w:t>[MSSV 2]</w:t>
      </w:r>
      <w:r>
        <w:rPr>
          <w:rFonts w:ascii="Times New Roman" w:hAnsi="Times New Roman"/>
          <w:sz w:val="24"/>
        </w:rPr>
        <w:t xml:space="preserve"> — </w:t>
      </w:r>
      <w:r>
        <w:rPr>
          <w:rFonts w:ascii="Consolas" w:hAnsi="Consolas"/>
          <w:sz w:val="20"/>
        </w:rPr>
        <w:t>[MEMBER 2 EMAIL]</w:t>
      </w:r>
    </w:p>
    <w:p>
      <w:pPr>
        <w:pStyle w:val="ListBullet"/>
        <w:spacing w:lineRule="auto" w:line="276" w:after="40"/>
      </w:pPr>
      <w:r>
        <w:rPr>
          <w:rFonts w:ascii="Consolas" w:hAnsi="Consolas"/>
          <w:sz w:val="20"/>
        </w:rPr>
        <w:t>[MEMBER 3 FULL NAME]</w:t>
      </w:r>
      <w:r>
        <w:rPr>
          <w:rFonts w:ascii="Times New Roman" w:hAnsi="Times New Roman"/>
          <w:sz w:val="24"/>
        </w:rPr>
        <w:t xml:space="preserve"> — Student ID </w:t>
      </w:r>
      <w:r>
        <w:rPr>
          <w:rFonts w:ascii="Consolas" w:hAnsi="Consolas"/>
          <w:sz w:val="20"/>
        </w:rPr>
        <w:t>[MSSV 3]</w:t>
      </w:r>
      <w:r>
        <w:rPr>
          <w:rFonts w:ascii="Times New Roman" w:hAnsi="Times New Roman"/>
          <w:sz w:val="24"/>
        </w:rPr>
        <w:t xml:space="preserve"> — </w:t>
      </w:r>
      <w:r>
        <w:rPr>
          <w:rFonts w:ascii="Consolas" w:hAnsi="Consolas"/>
          <w:sz w:val="20"/>
        </w:rPr>
        <w:t>[MEMBER 3 EMAIL]</w:t>
      </w:r>
    </w:p>
    <w:p>
      <w:pPr>
        <w:spacing w:lineRule="auto" w:line="276" w:after="120"/>
        <w:jc w:val="both"/>
      </w:pPr>
      <w:r>
        <w:rPr>
          <w:rFonts w:ascii="Times New Roman" w:hAnsi="Times New Roman"/>
          <w:b/>
          <w:sz w:val="24"/>
        </w:rPr>
        <w:t>Course:</w:t>
      </w:r>
      <w:r>
        <w:rPr>
          <w:rFonts w:ascii="Times New Roman" w:hAnsi="Times New Roman"/>
          <w:sz w:val="24"/>
        </w:rPr>
        <w:t xml:space="preserve"> </w:t>
      </w:r>
      <w:r>
        <w:rPr>
          <w:rFonts w:ascii="Consolas" w:hAnsi="Consolas"/>
          <w:sz w:val="20"/>
        </w:rPr>
        <w:t>[COURSE CODE — COURSE NAME]</w:t>
      </w:r>
      <w:r>
        <w:rPr>
          <w:rFonts w:ascii="Times New Roman" w:hAnsi="Times New Roman"/>
          <w:sz w:val="24"/>
        </w:rPr>
        <w:t xml:space="preserve"> </w:t>
      </w:r>
      <w:r>
        <w:rPr>
          <w:rFonts w:ascii="Times New Roman" w:hAnsi="Times New Roman"/>
          <w:b/>
          <w:sz w:val="24"/>
        </w:rPr>
        <w:t>Instructor:</w:t>
      </w:r>
      <w:r>
        <w:rPr>
          <w:rFonts w:ascii="Times New Roman" w:hAnsi="Times New Roman"/>
          <w:sz w:val="24"/>
        </w:rPr>
        <w:t xml:space="preserve"> </w:t>
      </w:r>
      <w:r>
        <w:rPr>
          <w:rFonts w:ascii="Consolas" w:hAnsi="Consolas"/>
          <w:sz w:val="20"/>
        </w:rPr>
        <w:t>[INSTRUCTOR NAME]</w:t>
      </w:r>
      <w:r>
        <w:rPr>
          <w:rFonts w:ascii="Times New Roman" w:hAnsi="Times New Roman"/>
          <w:sz w:val="24"/>
        </w:rPr>
        <w:t xml:space="preserve"> </w:t>
      </w:r>
      <w:r>
        <w:rPr>
          <w:rFonts w:ascii="Times New Roman" w:hAnsi="Times New Roman"/>
          <w:b/>
          <w:sz w:val="24"/>
        </w:rPr>
        <w:t>Institution:</w:t>
      </w:r>
      <w:r>
        <w:rPr>
          <w:rFonts w:ascii="Times New Roman" w:hAnsi="Times New Roman"/>
          <w:sz w:val="24"/>
        </w:rPr>
        <w:t xml:space="preserve"> </w:t>
      </w:r>
      <w:r>
        <w:rPr>
          <w:rFonts w:ascii="Consolas" w:hAnsi="Consolas"/>
          <w:sz w:val="20"/>
        </w:rPr>
        <w:t>[UNIVERSITY NAME]</w:t>
      </w:r>
      <w:r>
        <w:rPr>
          <w:rFonts w:ascii="Times New Roman" w:hAnsi="Times New Roman"/>
          <w:sz w:val="24"/>
        </w:rPr>
        <w:t xml:space="preserve">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a different dataset of Kaggle origin — a publicly distributed student-performance dataset (in the family of </w:t>
      </w:r>
      <w:r>
        <w:rPr>
          <w:rFonts w:ascii="Times New Roman" w:hAnsi="Times New Roman"/>
          <w:i/>
          <w:sz w:val="24"/>
        </w:rPr>
        <w:t>Students Performance in Exams</w:t>
      </w:r>
      <w:r>
        <w:rPr>
          <w:rFonts w:ascii="Times New Roman" w:hAnsi="Times New Roman"/>
          <w:sz w:val="24"/>
        </w:rPr>
        <w:t xml:space="preserve"> and similar aggregator-style datasets, characterised by a single composite outcome and a small set of demographic predictors). After preliminary exploration we migrated to the UCI Student Performance dataset. The migration was deliberate and is justified on three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demographics-only feature set typical of Kaggle aggregator datasets.</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A cleaner, balanced Kaggle dataset would not have surfaced this design lesson.</w:t>
      </w:r>
    </w:p>
    <w:p>
      <w:pPr>
        <w:spacing w:lineRule="auto" w:line="276" w:after="120"/>
        <w:jc w:val="both"/>
      </w:pPr>
      <w:r>
        <w:rPr>
          <w:rFonts w:ascii="Times New Roman" w:hAnsi="Times New Roman"/>
          <w:sz w:val="24"/>
        </w:rPr>
        <w:t>The migration is therefore framed not as a switch of convenience but as a methodological upgrade: from a single-outcome aggregator dataset to a peer-reviewed, time-stamped, realistically imbalanced dataset that the early-warning research community has used for two decades.</w:t>
      </w:r>
    </w:p>
    <w:p>
      <w:pPr>
        <w:spacing w:lineRule="auto" w:line="276" w:after="160"/>
        <w:ind w:left="567" w:right="567"/>
        <w:pBdr>
          <w:left w:val="single" w:sz="12" w:space="12" w:color="999999"/>
        </w:pBdr>
      </w:pPr>
      <w:r>
        <w:rPr>
          <w:rFonts w:ascii="Times New Roman" w:hAnsi="Times New Roman"/>
          <w:i/>
          <w:sz w:val="24"/>
        </w:rPr>
        <w:t>*Editorial note: the original Kaggle dataset name should be inserted here once confirmed by the team — for example, "Students Performance in Exams" by Royce Kimmons (n = 1,000)*.</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7.3.1 Subject-stratified Random Forest models</w:t>
      </w:r>
    </w:p>
    <w:p>
      <w:pPr>
        <w:spacing w:lineRule="auto" w:line="276" w:after="120"/>
        <w:jc w:val="both"/>
      </w:pPr>
      <w:r>
        <w:rPr>
          <w:rFonts w:ascii="Times New Roman" w:hAnsi="Times New Roman"/>
          <w:sz w:val="24"/>
        </w:rPr>
        <w:t>To probe whether the cohort-wide model masks subject-specific dynamics, we additionally train two stratified Random Forests — one on Mathematics only (</w:t>
      </w:r>
      <w:r>
        <w:rPr>
          <w:rFonts w:ascii="Times New Roman" w:hAnsi="Times New Roman"/>
          <w:i/>
          <w:sz w:val="24"/>
        </w:rPr>
        <w:t>n</w:t>
      </w:r>
      <w:r>
        <w:rPr>
          <w:rFonts w:ascii="Times New Roman" w:hAnsi="Times New Roman"/>
          <w:sz w:val="24"/>
        </w:rPr>
        <w:t xml:space="preserve"> = 395) and one on Portuguese only (</w:t>
      </w:r>
      <w:r>
        <w:rPr>
          <w:rFonts w:ascii="Times New Roman" w:hAnsi="Times New Roman"/>
          <w:i/>
          <w:sz w:val="24"/>
        </w:rPr>
        <w:t>n</w:t>
      </w:r>
      <w:r>
        <w:rPr>
          <w:rFonts w:ascii="Times New Roman" w:hAnsi="Times New Roman"/>
          <w:sz w:val="24"/>
        </w:rPr>
        <w:t xml:space="preserve"> = 649) — using the same hyperparameters, the same feature set, and the same stratified 80/20 split protocol (</w:t>
      </w:r>
      <w:r>
        <w:rPr>
          <w:rFonts w:ascii="Consolas" w:hAnsi="Consolas"/>
          <w:sz w:val="20"/>
        </w:rPr>
        <w:t>random_state = 42</w:t>
      </w:r>
      <w:r>
        <w:rPr>
          <w:rFonts w:ascii="Times New Roman" w:hAnsi="Times New Roman"/>
          <w:sz w:val="24"/>
        </w:rPr>
        <w:t xml:space="preserve">). Table 5c reports the held-out metrics for all three models side by side. The dashboard's </w:t>
      </w:r>
      <w:r>
        <w:rPr>
          <w:rFonts w:ascii="Times New Roman" w:hAnsi="Times New Roman"/>
          <w:i/>
          <w:sz w:val="24"/>
        </w:rPr>
        <w:t>Subject</w:t>
      </w:r>
      <w:r>
        <w:rPr>
          <w:rFonts w:ascii="Times New Roman" w:hAnsi="Times New Roman"/>
          <w:sz w:val="24"/>
        </w:rPr>
        <w:t xml:space="preserve"> toggle now switches between these three models in addition to filtering the displayed cohort.</w:t>
      </w:r>
    </w:p>
    <w:p>
      <w:pPr>
        <w:spacing w:lineRule="auto" w:line="276" w:after="120"/>
        <w:jc w:val="both"/>
      </w:pPr>
      <w:r>
        <w:rPr>
          <w:rFonts w:ascii="Times New Roman" w:hAnsi="Times New Roman"/>
          <w:b/>
          <w:sz w:val="24"/>
        </w:rPr>
        <w:t>Table 5c — Subject-stratified Random Forest performance on held-out test sets</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Model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total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in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Combined (deployed default)</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1,044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Math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395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89.9%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82.1%</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88.5%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85.2%</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Portuguese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130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90.0%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75.0%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69.8%</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Math is easier to predict than Portuguese.</w:t>
      </w:r>
      <w:r>
        <w:rPr>
          <w:rFonts w:ascii="Times New Roman" w:hAnsi="Times New Roman"/>
          <w:sz w:val="24"/>
        </w:rPr>
        <w:t xml:space="preserve"> The Math-only model catches twenty-three of twenty-six at-risk students (recall 88.5%, F1 85.2%) and meaningfully outperforms the combined model on every metric except accuracy. The Portuguese-only model catches fifteen of twenty (recall 75.0%) at the cost of a much lower precision (65.2%) and F1 (69.8%). Two structural reasons drive this gap. First, the Mathematics cohort has a higher base rate of at-risk students (38.7% of Math students are at-risk versus 12.4% of Portuguese students), so the minority class is less imbalanced and the classifier sees more positive examples per training fold. Second, the Math test set (n = 79) is smaller but the at-risk class is denser (26 of 79 = 32.9% versus 20 of 130 = 15.4%); a small absolute change in catches has a larger relative effect on recall.</w:t>
      </w:r>
    </w:p>
    <w:p>
      <w:pPr>
        <w:spacing w:lineRule="auto" w:line="276" w:after="120"/>
        <w:jc w:val="both"/>
      </w:pPr>
      <w:r>
        <w:rPr>
          <w:rFonts w:ascii="Times New Roman" w:hAnsi="Times New Roman"/>
          <w:b/>
          <w:sz w:val="24"/>
        </w:rPr>
        <w:t>The combined model is essentially a weighted average.</w:t>
      </w:r>
      <w:r>
        <w:rPr>
          <w:rFonts w:ascii="Times New Roman" w:hAnsi="Times New Roman"/>
          <w:sz w:val="24"/>
        </w:rPr>
        <w:t xml:space="preserve"> With n = 1,044 combined and a 22.0% at-risk rate, the combined model's recall (82.6%) sits squarely between the two stratified models (88.5% Math, 75.0% Portuguese) — closer to the Portuguese number than to the Math number, because Portuguese contributes more rows. This makes the combined model the appropriate default when the user has not chosen a subject, but argues for the stratified models when a teacher is acting in a single-subject context. The dashboard surfaces this choice through the </w:t>
      </w:r>
      <w:r>
        <w:rPr>
          <w:rFonts w:ascii="Times New Roman" w:hAnsi="Times New Roman"/>
          <w:i/>
          <w:sz w:val="24"/>
        </w:rPr>
        <w:t>Subject</w:t>
      </w:r>
      <w:r>
        <w:rPr>
          <w:rFonts w:ascii="Times New Roman" w:hAnsi="Times New Roman"/>
          <w:sz w:val="24"/>
        </w:rPr>
        <w:t xml:space="preserve"> toggle.</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three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and Random Forest metrics (across all three stratifications)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every number,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Pearson misses non-linearity.</w:t>
      </w:r>
      <w:r>
        <w:rPr>
          <w:rFonts w:ascii="Times New Roman" w:hAnsi="Times New Roman"/>
          <w:sz w:val="24"/>
        </w:rPr>
        <w:t xml:space="preserve"> The Pearson coefficient assumes a linear relationship. Variables such as </w:t>
      </w:r>
      <w:r>
        <w:rPr>
          <w:rFonts w:ascii="Consolas" w:hAnsi="Consolas"/>
          <w:sz w:val="20"/>
        </w:rPr>
        <w:t>goout</w:t>
      </w:r>
      <w:r>
        <w:rPr>
          <w:rFonts w:ascii="Times New Roman" w:hAnsi="Times New Roman"/>
          <w:sz w:val="24"/>
        </w:rPr>
        <w:t xml:space="preserve"> may exhibit U-shaped or threshold relationships with G3 that the coefficient understates. Spearman rank correlation and mutual information would be reasonable extensions.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The dataset contains sex, family status, and other demographic variables that could be used to assess fairness across demographic subgroups. We do not report subgroup-conditional precision and recall in the current work. A more complete deployment would include a fairness audit and, if necessary, reweighting or post-hoc thresholding.</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Five concrete directions for extension, in priority order:</w:t>
      </w:r>
    </w:p>
    <w:p>
      <w:pPr>
        <w:pStyle w:val="ListNumber"/>
        <w:spacing w:lineRule="auto" w:line="276" w:after="40"/>
      </w:pPr>
      <w:r>
        <w:rPr>
          <w:rFonts w:ascii="Times New Roman" w:hAnsi="Times New Roman"/>
          <w:b/>
          <w:sz w:val="24"/>
        </w:rPr>
        <w:t>Random Forest feature importance</w:t>
      </w:r>
      <w:r>
        <w:rPr>
          <w:rFonts w:ascii="Times New Roman" w:hAnsi="Times New Roman"/>
          <w:sz w:val="24"/>
        </w:rPr>
        <w:t xml:space="preserve"> as a complement to Pearson r in the Key Drivers card, exposing non-linear feature contributions the Pearson coefficient understates.</w:t>
      </w:r>
    </w:p>
    <w:p>
      <w:pPr>
        <w:pStyle w:val="ListNumber"/>
        <w:spacing w:lineRule="auto" w:line="276" w:after="40"/>
      </w:pPr>
      <w:r>
        <w:rPr>
          <w:rFonts w:ascii="Times New Roman" w:hAnsi="Times New Roman"/>
          <w:b/>
          <w:sz w:val="24"/>
        </w:rPr>
        <w:t>Subject-stratified models and metrics</w:t>
      </w:r>
      <w:r>
        <w:rPr>
          <w:rFonts w:ascii="Times New Roman" w:hAnsi="Times New Roman"/>
          <w:sz w:val="24"/>
        </w:rPr>
        <w:t>, with the Random Forest re-trained when the Subject toggle changes, so the dashboard can report subject-specific recall.</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pStyle w:val="ListNumber"/>
        <w:spacing w:lineRule="auto" w:line="276" w:after="40"/>
      </w:pPr>
      <w:r>
        <w:rPr>
          <w:rFonts w:ascii="Times New Roman" w:hAnsi="Times New Roman"/>
          <w:b/>
          <w:sz w:val="24"/>
        </w:rPr>
        <w:t>K-fold cross-validation</w:t>
      </w:r>
      <w:r>
        <w:rPr>
          <w:rFonts w:ascii="Times New Roman" w:hAnsi="Times New Roman"/>
          <w:sz w:val="24"/>
        </w:rPr>
        <w:t xml:space="preserve"> in the analytical pipeline, replacing the single hold-out with a more statistically robust estimate.</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[MEMBER 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dashboard-light.jpg</w:t>
        <w:br/>
        <w:t>│   └── dashboard-dark.jpg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The following images are stored in the repository and should be embedded in the rendered </w:t>
      </w:r>
      <w:r>
        <w:rPr>
          <w:rFonts w:ascii="Consolas" w:hAnsi="Consolas"/>
          <w:sz w:val="20"/>
        </w:rPr>
        <w:t>.docx</w:t>
      </w:r>
      <w:r>
        <w:rPr>
          <w:rFonts w:ascii="Times New Roman" w:hAnsi="Times New Roman"/>
          <w:sz w:val="24"/>
        </w:rPr>
        <w:t xml:space="preserve"> version of this report at the locations referenced below.</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docs/screenshots/dashboard-dark.jpg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§5.4 — dark-mode rendering</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§4.3 — K-Means elbow-method support for k = 3</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 ] All </w:t>
      </w:r>
      <w:r>
        <w:rPr>
          <w:rFonts w:ascii="Consolas" w:hAnsi="Consolas"/>
          <w:sz w:val="20"/>
        </w:rPr>
        <w:t>[BRACKETED]</w:t>
      </w:r>
      <w:r>
        <w:rPr>
          <w:rFonts w:ascii="Times New Roman" w:hAnsi="Times New Roman"/>
          <w:sz w:val="24"/>
        </w:rPr>
        <w:t xml:space="preserve"> placeholders in the cover page and Appendix A replaced with real names, student IDs, and emails.</w:t>
      </w:r>
    </w:p>
    <w:p>
      <w:pPr>
        <w:pStyle w:val="ListBullet"/>
        <w:spacing w:lineRule="auto" w:line="276" w:after="40"/>
      </w:pPr>
      <w:r>
        <w:rPr>
          <w:rFonts w:ascii="Times New Roman" w:hAnsi="Times New Roman"/>
          <w:sz w:val="24"/>
        </w:rPr>
        <w:t>[ ] Original Kaggle dataset name confirmed and inserted in §3.2 (replace the editorial note).</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