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43C9" w14:textId="77777777" w:rsidR="00921110" w:rsidRDefault="00921110" w:rsidP="00921110">
      <w:pPr>
        <w:spacing w:after="1200"/>
      </w:pPr>
    </w:p>
    <w:p w14:paraId="6ED9243F" w14:textId="77777777" w:rsidR="00921110" w:rsidRDefault="00921110" w:rsidP="00921110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14:paraId="1B5087DD" w14:textId="77777777" w:rsidR="00921110" w:rsidRDefault="00921110" w:rsidP="00921110">
      <w:pPr>
        <w:spacing w:after="80"/>
      </w:pPr>
    </w:p>
    <w:p w14:paraId="7B78F03D" w14:textId="77777777" w:rsidR="00921110" w:rsidRDefault="00921110" w:rsidP="00921110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14:paraId="69A554E2" w14:textId="77777777" w:rsidR="00921110" w:rsidRDefault="00921110" w:rsidP="00921110">
      <w:pPr>
        <w:spacing w:after="720"/>
      </w:pPr>
    </w:p>
    <w:p w14:paraId="06B664B5" w14:textId="77777777" w:rsidR="00921110" w:rsidRDefault="00921110" w:rsidP="00921110">
      <w:pPr>
        <w:jc w:val="center"/>
      </w:pPr>
      <w:r>
        <w:rPr>
          <w:b/>
          <w:bCs/>
          <w:color w:val="2C3E50"/>
          <w:sz w:val="48"/>
          <w:szCs w:val="48"/>
        </w:rPr>
        <w:t>Spécifications Fonctionnelles</w:t>
      </w:r>
    </w:p>
    <w:p w14:paraId="1E4217DF" w14:textId="77777777" w:rsidR="00921110" w:rsidRDefault="00921110" w:rsidP="00921110">
      <w:pPr>
        <w:spacing w:after="200"/>
      </w:pPr>
    </w:p>
    <w:p w14:paraId="689A8E9D" w14:textId="4334946D" w:rsidR="00921110" w:rsidRDefault="00360DFB" w:rsidP="00360DFB">
      <w:pPr>
        <w:spacing w:after="160"/>
        <w:jc w:val="center"/>
      </w:pPr>
      <w:r>
        <w:rPr>
          <w:color w:val="1F4E79"/>
          <w:sz w:val="32"/>
          <w:szCs w:val="32"/>
        </w:rPr>
        <w:t>Application Fiori — Long Tail Vendor Management</w:t>
      </w:r>
    </w:p>
    <w:p w14:paraId="0C5E1D9E" w14:textId="77777777" w:rsidR="00921110" w:rsidRDefault="00921110" w:rsidP="00921110">
      <w:pPr>
        <w:spacing w:after="160"/>
      </w:pPr>
    </w:p>
    <w:p w14:paraId="30329C39" w14:textId="4458E187" w:rsidR="00921110" w:rsidRPr="00360DFB" w:rsidRDefault="00360DFB" w:rsidP="00360DFB">
      <w:pPr>
        <w:spacing w:after="800"/>
        <w:jc w:val="center"/>
        <w:rPr>
          <w:color w:val="auto"/>
          <w:sz w:val="20"/>
          <w:szCs w:val="20"/>
        </w:rPr>
      </w:pPr>
      <w:r w:rsidRPr="00360DFB">
        <w:rPr>
          <w:i/>
          <w:iCs/>
          <w:color w:val="666666"/>
          <w:sz w:val="20"/>
          <w:szCs w:val="20"/>
        </w:rPr>
        <w:t>Tous Sprints — Sprint 1 via Project Accelerator | Sprints 2–4 via Claude Code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921110" w14:paraId="346B210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06CF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ED58" w14:textId="4E35B2D0" w:rsidR="00921110" w:rsidRDefault="00360DFB" w:rsidP="002A6A64">
            <w:pPr>
              <w:spacing w:before="60" w:after="60"/>
            </w:pPr>
            <w:r>
              <w:t>1</w:t>
            </w:r>
            <w:r w:rsidR="00921110">
              <w:t xml:space="preserve">.0 – </w:t>
            </w:r>
            <w:r>
              <w:t>Sprint 1 initial</w:t>
            </w:r>
          </w:p>
        </w:tc>
      </w:tr>
      <w:tr w:rsidR="00921110" w14:paraId="24EC1CC7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33FA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C706" w14:textId="5777AC08" w:rsidR="00921110" w:rsidRDefault="00360DFB" w:rsidP="002A6A64">
            <w:pPr>
              <w:spacing w:before="60" w:after="60"/>
            </w:pPr>
            <w:r>
              <w:t xml:space="preserve">01 avril </w:t>
            </w:r>
            <w:r w:rsidR="00921110">
              <w:t>2026</w:t>
            </w:r>
          </w:p>
        </w:tc>
      </w:tr>
      <w:tr w:rsidR="00921110" w14:paraId="562A9AC1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D1D7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Périmètre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ECE4" w14:textId="77777777" w:rsidR="00921110" w:rsidRDefault="00921110" w:rsidP="002A6A64">
            <w:pPr>
              <w:spacing w:before="60" w:after="60"/>
            </w:pPr>
            <w:r>
              <w:t>SAP CAP + Fiori Elements – Évolutions itératives</w:t>
            </w:r>
          </w:p>
        </w:tc>
      </w:tr>
      <w:tr w:rsidR="00360DFB" w14:paraId="70E8D570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83C0" w14:textId="67285DAD" w:rsidR="00360DFB" w:rsidRDefault="00360DFB" w:rsidP="002A6A64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Outil Sprint 1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33BF" w14:textId="40517C50" w:rsidR="00360DFB" w:rsidRDefault="00360DFB" w:rsidP="002A6A64">
            <w:pPr>
              <w:spacing w:before="60" w:after="60"/>
            </w:pPr>
            <w:r>
              <w:t xml:space="preserve">SAP BAS </w:t>
            </w:r>
            <w:r>
              <w:rPr>
                <w:sz w:val="18"/>
                <w:szCs w:val="18"/>
              </w:rPr>
              <w:t>— Project Accelerator</w:t>
            </w:r>
          </w:p>
        </w:tc>
      </w:tr>
      <w:tr w:rsidR="00921110" w14:paraId="39CAF78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33C" w14:textId="7E9A828F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 xml:space="preserve">Outil </w:t>
            </w:r>
            <w:r w:rsidR="00360DFB">
              <w:rPr>
                <w:b/>
                <w:bCs/>
              </w:rPr>
              <w:t xml:space="preserve">Sprint </w:t>
            </w:r>
            <w:r w:rsidR="00360DFB" w:rsidRPr="00360DFB">
              <w:rPr>
                <w:b/>
                <w:bCs/>
              </w:rPr>
              <w:t>2–4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D3D9" w14:textId="77777777" w:rsidR="00921110" w:rsidRDefault="00921110" w:rsidP="002A6A64">
            <w:pPr>
              <w:spacing w:before="60" w:after="60"/>
            </w:pPr>
            <w:r>
              <w:t>Claude Code (itérations)</w:t>
            </w:r>
          </w:p>
        </w:tc>
      </w:tr>
      <w:tr w:rsidR="00921110" w14:paraId="60FF81A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2199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CF96" w14:textId="32E72316" w:rsidR="00921110" w:rsidRDefault="00360DFB" w:rsidP="002A6A64">
            <w:pPr>
              <w:spacing w:before="60" w:after="60"/>
            </w:pPr>
            <w:r>
              <w:t>Draft v1.0</w:t>
            </w:r>
          </w:p>
        </w:tc>
      </w:tr>
    </w:tbl>
    <w:p w14:paraId="451D2361" w14:textId="77777777" w:rsidR="00921110" w:rsidRDefault="00921110" w:rsidP="00921110">
      <w:r>
        <w:br w:type="page"/>
      </w:r>
    </w:p>
    <w:p w14:paraId="3BFEC64B" w14:textId="77777777" w:rsidR="00921110" w:rsidRPr="00883A79" w:rsidRDefault="00921110" w:rsidP="00921110">
      <w:pPr>
        <w:pBdr>
          <w:bottom w:val="single" w:sz="8" w:space="4" w:color="1A6B9A"/>
        </w:pBd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40"/>
          <w:szCs w:val="40"/>
        </w:rPr>
        <w:lastRenderedPageBreak/>
        <w:t>1. Contexte &amp; Problématique </w:t>
      </w:r>
    </w:p>
    <w:p w14:paraId="380A0FE0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750FDC0A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1.1 Contexte métier </w:t>
      </w:r>
    </w:p>
    <w:p w14:paraId="46DED841" w14:textId="77777777" w:rsidR="00921110" w:rsidRDefault="00921110" w:rsidP="00921110">
      <w:pPr>
        <w:spacing w:after="120"/>
      </w:pPr>
      <w:r>
        <w:rPr>
          <w:sz w:val="20"/>
          <w:szCs w:val="20"/>
        </w:rPr>
        <w:t>Avec le temps, le référentiel fournisseurs s’est fortement élargi et contient une « Long Tail » de fournisseurs avec peu ou pas d’activité. Cette situation dégrade la qualité des données maîtres et augmente les risques opérationnels au sein du système S/4HANA : mauvais choix de fournisseur lors d’une commande, données bancaires obsolètes, contrôles de conformité plus complexes.</w:t>
      </w:r>
    </w:p>
    <w:p w14:paraId="5667A24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60CA54B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1.2 Problèmes identifiés </w:t>
      </w:r>
    </w:p>
    <w:p w14:paraId="2182918C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Prolifération du référentiel fournisseurs sans activité récente (aucun Bon de Commande / aucune facture sur une période définie).</w:t>
      </w:r>
    </w:p>
    <w:p w14:paraId="29166634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Difficulté à identifier visuellement les fournisseurs inactifs ou à risque dans les outils standard S/4HANA.</w:t>
      </w:r>
    </w:p>
    <w:p w14:paraId="5B5BA82A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Absence d’un score de risque / propreté agrégant les indicateurs clés (retards de paiement, retards de livraison, données incomplètes).</w:t>
      </w:r>
    </w:p>
    <w:p w14:paraId="664F33D7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Actions de nettoyage (blocage, déblocage, demande de clôture) disperses et non tracées.</w:t>
      </w:r>
    </w:p>
    <w:p w14:paraId="07849E1E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Aucune intégration IA pour assister les acheteurs dans la prise de décision.</w:t>
      </w:r>
    </w:p>
    <w:p w14:paraId="229C37BB" w14:textId="67DE243C" w:rsidR="00921110" w:rsidRPr="00883A79" w:rsidRDefault="00921110" w:rsidP="00921110">
      <w:pPr>
        <w:textAlignment w:val="baseline"/>
        <w:rPr>
          <w:rFonts w:eastAsia="Times New Roman"/>
          <w:sz w:val="20"/>
          <w:szCs w:val="20"/>
        </w:rPr>
      </w:pPr>
    </w:p>
    <w:p w14:paraId="5E12CEB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1290E46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1.3 Objectif produit </w:t>
      </w:r>
    </w:p>
    <w:p w14:paraId="7149C493" w14:textId="77777777" w:rsidR="00921110" w:rsidRDefault="00921110" w:rsidP="00921110">
      <w:pPr>
        <w:spacing w:after="80"/>
      </w:pPr>
      <w:r>
        <w:rPr>
          <w:sz w:val="20"/>
          <w:szCs w:val="20"/>
        </w:rPr>
        <w:t xml:space="preserve">Développer une </w:t>
      </w:r>
      <w:r>
        <w:rPr>
          <w:b/>
          <w:bCs/>
          <w:sz w:val="20"/>
          <w:szCs w:val="20"/>
        </w:rPr>
        <w:t>application Fiori « Long Tail Vendor Management »</w:t>
      </w:r>
      <w:r>
        <w:rPr>
          <w:sz w:val="20"/>
          <w:szCs w:val="20"/>
        </w:rPr>
        <w:t xml:space="preserve"> qui permet aux acheteurs et contrôleurs SAP de :</w:t>
      </w:r>
    </w:p>
    <w:p w14:paraId="36072FFE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Identifier et visualiser rapidement les fournisseurs inactifs ou sous-actifs.</w:t>
      </w:r>
    </w:p>
    <w:p w14:paraId="4CC8EF07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Consulter un score de risque / propreté calculé automatiquement par l’application.</w:t>
      </w:r>
    </w:p>
    <w:p w14:paraId="5386AB85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Naviguer vers la fiche détail d’un fournisseur pour un diagnostic complet.</w:t>
      </w:r>
    </w:p>
    <w:p w14:paraId="706EEE32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Exécuter des actions métier (blocage, déblocage, demande de clôture) directement depuis l’application.</w:t>
      </w:r>
    </w:p>
    <w:p w14:paraId="6AB4EF0B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Bénéficier de recommandations IA via un Joule Agent intégré.</w:t>
      </w:r>
    </w:p>
    <w:p w14:paraId="245721F1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4DBF98B5" w14:textId="77777777" w:rsidR="00921110" w:rsidRDefault="00921110" w:rsidP="00921110">
      <w:pPr>
        <w:spacing w:after="120"/>
      </w:pPr>
      <w:r>
        <w:rPr>
          <w:sz w:val="20"/>
          <w:szCs w:val="20"/>
        </w:rPr>
        <w:t xml:space="preserve">L’application est construite sur </w:t>
      </w:r>
      <w:r>
        <w:rPr>
          <w:b/>
          <w:bCs/>
          <w:sz w:val="20"/>
          <w:szCs w:val="20"/>
        </w:rPr>
        <w:t>SAP CAP (Cloud Application Programming Model)</w:t>
      </w:r>
      <w:r>
        <w:rPr>
          <w:sz w:val="20"/>
          <w:szCs w:val="20"/>
        </w:rPr>
        <w:t xml:space="preserve"> avec </w:t>
      </w:r>
      <w:r>
        <w:rPr>
          <w:b/>
          <w:bCs/>
          <w:sz w:val="20"/>
          <w:szCs w:val="20"/>
        </w:rPr>
        <w:t>SAP Fiori Elements</w:t>
      </w:r>
      <w:r>
        <w:rPr>
          <w:sz w:val="20"/>
          <w:szCs w:val="20"/>
        </w:rPr>
        <w:t>, garantissant un alignement avec les standards SAP UX et une intégration native dans le SAP Launchpad.</w:t>
      </w:r>
    </w:p>
    <w:p w14:paraId="36422C7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23B04CD0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1.4 Approche de développement </w:t>
      </w:r>
    </w:p>
    <w:p w14:paraId="6040CD8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Le développement suit une approche </w:t>
      </w:r>
      <w:r w:rsidRPr="00883A79">
        <w:rPr>
          <w:rFonts w:eastAsia="Times New Roman"/>
          <w:b/>
          <w:bCs/>
          <w:sz w:val="20"/>
          <w:szCs w:val="20"/>
        </w:rPr>
        <w:t>Serious Game / Time-boxed</w:t>
      </w:r>
      <w:r w:rsidRPr="00883A79">
        <w:rPr>
          <w:rFonts w:eastAsia="Times New Roman"/>
          <w:sz w:val="20"/>
          <w:szCs w:val="20"/>
        </w:rPr>
        <w:t> découpée en Sprints itératifs : </w:t>
      </w: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195"/>
        <w:gridCol w:w="4020"/>
      </w:tblGrid>
      <w:tr w:rsidR="00921110" w:rsidRPr="00883A79" w14:paraId="17741AB3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311A83DF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Sprint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  <w:tc>
          <w:tcPr>
            <w:tcW w:w="3195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6141E032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Titre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  <w:tc>
          <w:tcPr>
            <w:tcW w:w="402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3742C45E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Périmètre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</w:tr>
      <w:tr w:rsidR="00921110" w:rsidRPr="00883A79" w14:paraId="00D8297F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  <w:hideMark/>
          </w:tcPr>
          <w:p w14:paraId="5C31029E" w14:textId="77777777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sz w:val="18"/>
                <w:szCs w:val="18"/>
              </w:rPr>
              <w:t xml:space="preserve">Sprint 1 </w:t>
            </w:r>
            <w:r w:rsidRPr="00883A79">
              <w:rPr>
                <w:rFonts w:ascii="Segoe UI Symbol" w:eastAsia="Times New Roman" w:hAnsi="Segoe UI Symbol" w:cs="Segoe UI Symbol"/>
                <w:b/>
                <w:bCs/>
                <w:sz w:val="18"/>
                <w:szCs w:val="18"/>
              </w:rPr>
              <w:t>★</w:t>
            </w:r>
            <w:r w:rsidRPr="00883A79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5F3E4D13" w14:textId="322B9141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Expression de besoin &amp; Mock-up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741FBE65" w14:textId="4C702CED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List Report + filtres + entités principales | Outil : Project Accelerator (BAS)</w:t>
            </w:r>
          </w:p>
        </w:tc>
      </w:tr>
      <w:tr w:rsidR="00921110" w:rsidRPr="00883A79" w14:paraId="0A6F8BE6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  <w:hideMark/>
          </w:tcPr>
          <w:p w14:paraId="7FBCA9E6" w14:textId="75CE7238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2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03CEE8AD" w14:textId="0678506D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Insights &amp; KPI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33C0E720" w14:textId="50B20E48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Score de risque, statut, en-tête de synthèse | Outil : Claude Code</w:t>
            </w:r>
          </w:p>
        </w:tc>
      </w:tr>
      <w:tr w:rsidR="00921110" w:rsidRPr="00883A79" w14:paraId="6695CF57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  <w:hideMark/>
          </w:tcPr>
          <w:p w14:paraId="74569ECA" w14:textId="15570A2A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3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3A1699FA" w14:textId="59DAD232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Navigation &amp; Object Page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101DE98F" w14:textId="3ABEB389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Page de détail fournisseur, indicateurs, navigation | Outil : Claude Code</w:t>
            </w:r>
          </w:p>
        </w:tc>
      </w:tr>
      <w:tr w:rsidR="00921110" w:rsidRPr="00883A79" w14:paraId="74554598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  <w:hideMark/>
          </w:tcPr>
          <w:p w14:paraId="1C4025E2" w14:textId="3E5C285F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4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63FA0A71" w14:textId="40FA73C6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Actions métier &amp; Intégration Joule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0A6F8BDD" w14:textId="63384713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Boutons d’action, Joule Skill / Agent | Outil : Claude Code + Joule Studio</w:t>
            </w:r>
          </w:p>
        </w:tc>
      </w:tr>
    </w:tbl>
    <w:p w14:paraId="7EF84CAC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16A25BA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883A79">
        <w:rPr>
          <w:rFonts w:eastAsia="Times New Roman"/>
          <w:sz w:val="20"/>
          <w:szCs w:val="20"/>
        </w:rPr>
        <w:t xml:space="preserve"> Le présent document couvre exclusivement le </w:t>
      </w:r>
      <w:r w:rsidRPr="00883A79">
        <w:rPr>
          <w:rFonts w:eastAsia="Times New Roman"/>
          <w:b/>
          <w:bCs/>
          <w:sz w:val="20"/>
          <w:szCs w:val="20"/>
        </w:rPr>
        <w:t>Sprint 1</w:t>
      </w:r>
      <w:r w:rsidRPr="00883A79">
        <w:rPr>
          <w:rFonts w:eastAsia="Times New Roman"/>
          <w:sz w:val="20"/>
          <w:szCs w:val="20"/>
        </w:rPr>
        <w:t>, destiné à initier le projet via le </w:t>
      </w:r>
      <w:r w:rsidRPr="00883A79">
        <w:rPr>
          <w:rFonts w:eastAsia="Times New Roman"/>
          <w:b/>
          <w:bCs/>
          <w:sz w:val="20"/>
          <w:szCs w:val="20"/>
        </w:rPr>
        <w:t>SAP Business Application Studio – Project Accelerator</w:t>
      </w:r>
      <w:r w:rsidRPr="00883A79">
        <w:rPr>
          <w:rFonts w:eastAsia="Times New Roman"/>
          <w:sz w:val="20"/>
          <w:szCs w:val="20"/>
        </w:rPr>
        <w:t>. </w:t>
      </w:r>
    </w:p>
    <w:p w14:paraId="0F0E8B32" w14:textId="73C39FDE" w:rsidR="00921110" w:rsidRPr="00921110" w:rsidRDefault="00921110">
      <w:pPr>
        <w:spacing w:after="160" w:line="278" w:lineRule="auto"/>
      </w:pPr>
      <w:r>
        <w:rPr>
          <w:b/>
          <w:bCs/>
          <w:color w:val="1A6B9A"/>
          <w:sz w:val="30"/>
          <w:szCs w:val="30"/>
        </w:rPr>
        <w:br w:type="page"/>
      </w:r>
    </w:p>
    <w:p w14:paraId="09E31FED" w14:textId="49C10442" w:rsidR="00921110" w:rsidRDefault="00921110" w:rsidP="00921110">
      <w:pPr>
        <w:pStyle w:val="Titre1"/>
        <w:pBdr>
          <w:bottom w:val="single" w:sz="10" w:space="4" w:color="1A6B9A"/>
        </w:pBdr>
      </w:pPr>
      <w:r>
        <w:rPr>
          <w:rFonts w:ascii="Arial" w:eastAsia="Arial" w:hAnsi="Arial" w:cs="Arial"/>
          <w:b/>
          <w:bCs/>
          <w:color w:val="1A6B9A"/>
          <w:sz w:val="30"/>
          <w:szCs w:val="30"/>
        </w:rPr>
        <w:lastRenderedPageBreak/>
        <w:t xml:space="preserve">Architecture </w:t>
      </w:r>
      <w:r w:rsidR="0037238D">
        <w:rPr>
          <w:rFonts w:ascii="Arial" w:eastAsia="Arial" w:hAnsi="Arial" w:cs="Arial"/>
          <w:b/>
          <w:bCs/>
          <w:color w:val="1A6B9A"/>
          <w:sz w:val="30"/>
          <w:szCs w:val="30"/>
        </w:rPr>
        <w:t>&amp; Eléments Techniques</w:t>
      </w:r>
    </w:p>
    <w:p w14:paraId="43BC43CF" w14:textId="1A9E762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Stack technique</w:t>
      </w:r>
      <w:r w:rsidR="0037238D"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 &amp; Périmètre (MVP)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921110" w14:paraId="2D210F3C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22C39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76040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42D0C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921110" w14:paraId="1146354E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3D85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Backend service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1785" w14:textId="77777777" w:rsidR="00921110" w:rsidRDefault="00921110" w:rsidP="002A6A64">
            <w:r>
              <w:rPr>
                <w:sz w:val="17"/>
                <w:szCs w:val="17"/>
              </w:rPr>
              <w:t>SAP CAP (Node.js)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1AFC" w14:textId="77777777" w:rsidR="00921110" w:rsidRDefault="00921110" w:rsidP="002A6A64">
            <w:r>
              <w:rPr>
                <w:sz w:val="17"/>
                <w:szCs w:val="17"/>
              </w:rPr>
              <w:t>Service OData V4, logique métier, handlers</w:t>
            </w:r>
          </w:p>
        </w:tc>
      </w:tr>
      <w:tr w:rsidR="00921110" w14:paraId="6DCDB470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9946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Modèle de données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E528" w14:textId="77777777" w:rsidR="00921110" w:rsidRDefault="00921110" w:rsidP="002A6A64">
            <w:r>
              <w:rPr>
                <w:sz w:val="17"/>
                <w:szCs w:val="17"/>
              </w:rPr>
              <w:t>CDS (.cds)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D107" w14:textId="77777777" w:rsidR="00921110" w:rsidRDefault="00921110" w:rsidP="002A6A64">
            <w:r>
              <w:rPr>
                <w:sz w:val="17"/>
                <w:szCs w:val="17"/>
              </w:rPr>
              <w:t>Entités, relations, annotations UI</w:t>
            </w:r>
          </w:p>
        </w:tc>
      </w:tr>
      <w:tr w:rsidR="00921110" w14:paraId="18B16D2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0C13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F138" w14:textId="77777777" w:rsidR="00921110" w:rsidRDefault="00921110" w:rsidP="002A6A64">
            <w:r>
              <w:rPr>
                <w:sz w:val="17"/>
                <w:szCs w:val="17"/>
              </w:rPr>
              <w:t>SAP Fiori Elements (UI5)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D3A5" w14:textId="77777777" w:rsidR="00921110" w:rsidRDefault="00921110" w:rsidP="002A6A64">
            <w:r>
              <w:rPr>
                <w:sz w:val="17"/>
                <w:szCs w:val="17"/>
              </w:rPr>
              <w:t>List Report, Object Page, KPI Header</w:t>
            </w:r>
          </w:p>
        </w:tc>
      </w:tr>
      <w:tr w:rsidR="00921110" w14:paraId="7E2D6C25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857E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Annotations UI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324D" w14:textId="77777777" w:rsidR="00921110" w:rsidRDefault="00921110" w:rsidP="002A6A64">
            <w:r>
              <w:rPr>
                <w:sz w:val="17"/>
                <w:szCs w:val="17"/>
              </w:rPr>
              <w:t>annotations.cds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93A8" w14:textId="77777777" w:rsidR="00921110" w:rsidRDefault="00921110" w:rsidP="002A6A64">
            <w:r>
              <w:rPr>
                <w:sz w:val="17"/>
                <w:szCs w:val="17"/>
              </w:rPr>
              <w:t>SelectionFields, LineItem, Charts, Actions</w:t>
            </w:r>
          </w:p>
        </w:tc>
      </w:tr>
      <w:tr w:rsidR="00921110" w14:paraId="53D2CB29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B8A9" w14:textId="41968F3A" w:rsidR="00921110" w:rsidRDefault="0037238D" w:rsidP="002A6A64">
            <w:r w:rsidRPr="0037238D">
              <w:rPr>
                <w:b/>
                <w:bCs/>
                <w:sz w:val="17"/>
                <w:szCs w:val="17"/>
              </w:rPr>
              <w:t>Approche des données</w:t>
            </w:r>
            <w:r>
              <w:rPr>
                <w:b/>
                <w:bCs/>
                <w:sz w:val="17"/>
                <w:szCs w:val="17"/>
              </w:rPr>
              <w:t> : Mock Data (local)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F08D" w14:textId="0D0763D5" w:rsidR="00921110" w:rsidRDefault="00921110" w:rsidP="002A6A64">
            <w:r>
              <w:rPr>
                <w:sz w:val="17"/>
                <w:szCs w:val="17"/>
              </w:rPr>
              <w:t>data/*.</w:t>
            </w:r>
            <w:r w:rsidR="0037238D">
              <w:rPr>
                <w:sz w:val="17"/>
                <w:szCs w:val="17"/>
              </w:rPr>
              <w:t>csv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442B" w14:textId="77777777" w:rsidR="00921110" w:rsidRDefault="00921110" w:rsidP="002A6A64">
            <w:r>
              <w:rPr>
                <w:sz w:val="17"/>
                <w:szCs w:val="17"/>
              </w:rPr>
              <w:t>Jeux de test locaux (dev / avant intégration S/4)</w:t>
            </w:r>
          </w:p>
        </w:tc>
      </w:tr>
    </w:tbl>
    <w:p w14:paraId="1132DECE" w14:textId="77777777" w:rsidR="00921110" w:rsidRDefault="00921110" w:rsidP="00921110">
      <w:pPr>
        <w:spacing w:after="160"/>
      </w:pPr>
    </w:p>
    <w:p w14:paraId="679A353D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Structure de fichiers cible initiale</w:t>
      </w:r>
    </w:p>
    <w:p w14:paraId="21F94C0A" w14:textId="2022B3C7" w:rsidR="00921110" w:rsidRDefault="00FF3A42" w:rsidP="00921110">
      <w:pPr>
        <w:pBdr>
          <w:top w:val="single" w:sz="4" w:space="0" w:color="BECBD8"/>
          <w:bottom w:val="none" w:sz="0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projects</w:t>
      </w:r>
      <w:r w:rsidR="00921110">
        <w:rPr>
          <w:rFonts w:ascii="Courier New" w:eastAsia="Courier New" w:hAnsi="Courier New" w:cs="Courier New"/>
          <w:sz w:val="16"/>
          <w:szCs w:val="16"/>
        </w:rPr>
        <w:t>/</w:t>
      </w:r>
    </w:p>
    <w:p w14:paraId="73E6DE2B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db/</w:t>
      </w:r>
    </w:p>
    <w:p w14:paraId="7AE5FCD9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├── schema.cds                  ← Entités + champs calculés</w:t>
      </w:r>
    </w:p>
    <w:p w14:paraId="6421F9F4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data/                       ← Mock JSON (PurchaseOrderItems, Stocks…)</w:t>
      </w:r>
    </w:p>
    <w:p w14:paraId="067EFFDA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srv/</w:t>
      </w:r>
    </w:p>
    <w:p w14:paraId="512A0B7C" w14:textId="4CFDA811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service.cds              </w:t>
      </w:r>
      <w:r w:rsidR="0037238D"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>← Définition du service OData V4</w:t>
      </w:r>
    </w:p>
    <w:p w14:paraId="55078437" w14:textId="71D2F4A3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service.js              </w:t>
      </w:r>
      <w:r w:rsidR="0037238D"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← Handlers CAP (actions, calculs, events)</w:t>
      </w:r>
    </w:p>
    <w:p w14:paraId="1C68089A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annotations/</w:t>
      </w:r>
    </w:p>
    <w:p w14:paraId="5E1EAE8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├── annotations.cds         ← UI.LineItem, SelectionFields, Charts…</w:t>
      </w:r>
    </w:p>
    <w:p w14:paraId="35B60DFC" w14:textId="620433C1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└── </w:t>
      </w:r>
      <w:r w:rsidR="0037238D" w:rsidRPr="0037238D">
        <w:rPr>
          <w:rFonts w:ascii="Courier New" w:eastAsia="Courier New" w:hAnsi="Courier New" w:cs="Courier New"/>
          <w:sz w:val="16"/>
          <w:szCs w:val="16"/>
        </w:rPr>
        <w:t>actions.cds</w:t>
      </w:r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r w:rsidR="0037238D">
        <w:rPr>
          <w:rFonts w:ascii="Courier New" w:eastAsia="Courier New" w:hAnsi="Courier New" w:cs="Courier New"/>
          <w:sz w:val="16"/>
          <w:szCs w:val="16"/>
        </w:rPr>
        <w:tab/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← </w:t>
      </w:r>
      <w:r w:rsidR="0037238D" w:rsidRPr="0037238D">
        <w:rPr>
          <w:rFonts w:ascii="Courier New" w:eastAsia="Courier New" w:hAnsi="Courier New" w:cs="Courier New"/>
          <w:sz w:val="16"/>
          <w:szCs w:val="16"/>
        </w:rPr>
        <w:t>Déclaration des actions de l'interface</w:t>
      </w:r>
      <w:r w:rsidR="0037238D">
        <w:rPr>
          <w:rFonts w:ascii="Courier New" w:eastAsia="Courier New" w:hAnsi="Courier New" w:cs="Courier New"/>
          <w:sz w:val="16"/>
          <w:szCs w:val="16"/>
        </w:rPr>
        <w:t xml:space="preserve"> (Sprint 4)</w:t>
      </w:r>
    </w:p>
    <w:p w14:paraId="24434647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app/</w:t>
      </w:r>
    </w:p>
    <w:p w14:paraId="43EBE171" w14:textId="2E54E599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r w:rsidR="0037238D" w:rsidRPr="0037238D">
        <w:rPr>
          <w:rFonts w:ascii="Courier New" w:eastAsia="Courier New" w:hAnsi="Courier New" w:cs="Courier New"/>
          <w:sz w:val="16"/>
          <w:szCs w:val="16"/>
        </w:rPr>
        <w:t>vendormanagementapp</w:t>
      </w:r>
      <w:r w:rsidR="0037238D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4B34891D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├── webapp/</w:t>
      </w:r>
    </w:p>
    <w:p w14:paraId="397CE7F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│   ├── manifest.json       ← Config Fiori (navigation, routes)</w:t>
      </w:r>
    </w:p>
    <w:p w14:paraId="07DACA3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│   └── ext/                ← Extensions custom (Sprint 4/5)</w:t>
      </w:r>
    </w:p>
    <w:p w14:paraId="6F8B71C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└── fiori.html</w:t>
      </w:r>
    </w:p>
    <w:p w14:paraId="539886B4" w14:textId="77777777" w:rsidR="00921110" w:rsidRDefault="00921110" w:rsidP="00921110">
      <w:pPr>
        <w:pBdr>
          <w:top w:val="none" w:sz="0" w:space="0" w:color="BECBD8"/>
          <w:bottom w:val="single" w:sz="4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└── package.json</w:t>
      </w:r>
    </w:p>
    <w:p w14:paraId="1D749636" w14:textId="38F10866" w:rsidR="00921110" w:rsidRDefault="00921110" w:rsidP="00921110">
      <w:pPr>
        <w:spacing w:after="160" w:line="278" w:lineRule="auto"/>
      </w:pPr>
      <w:r>
        <w:br w:type="page"/>
      </w:r>
    </w:p>
    <w:p w14:paraId="6C814445" w14:textId="4766ACEF" w:rsidR="00921110" w:rsidRDefault="00921110" w:rsidP="00921110">
      <w:pPr>
        <w:pBdr>
          <w:bottom w:val="single" w:sz="6" w:space="2" w:color="FFFFFF"/>
        </w:pBdr>
        <w:shd w:val="clear" w:color="auto" w:fill="1E7E4F"/>
        <w:tabs>
          <w:tab w:val="left" w:pos="7743"/>
        </w:tabs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1  </w:t>
      </w:r>
      <w:r>
        <w:rPr>
          <w:b/>
          <w:bCs/>
          <w:color w:val="FFFFFF"/>
          <w:sz w:val="28"/>
          <w:szCs w:val="28"/>
        </w:rPr>
        <w:t xml:space="preserve">   </w:t>
      </w:r>
      <w:r w:rsidR="004E4C4B" w:rsidRPr="004E4C4B">
        <w:rPr>
          <w:b/>
          <w:bCs/>
          <w:color w:val="FFFFFF"/>
          <w:sz w:val="28"/>
          <w:szCs w:val="28"/>
        </w:rPr>
        <w:t>Expression de Besoin &amp; Initialisation Application</w:t>
      </w:r>
      <w:r>
        <w:rPr>
          <w:b/>
          <w:bCs/>
          <w:color w:val="FFFFFF"/>
          <w:sz w:val="28"/>
          <w:szCs w:val="28"/>
        </w:rPr>
        <w:tab/>
      </w:r>
    </w:p>
    <w:p w14:paraId="36250F2A" w14:textId="0900A8CD" w:rsidR="00921110" w:rsidRDefault="00921110" w:rsidP="00921110">
      <w:pPr>
        <w:pStyle w:val="Titre1"/>
        <w:pBdr>
          <w:bottom w:val="single" w:sz="10" w:space="4" w:color="1E7E4F"/>
        </w:pBdr>
      </w:pPr>
      <w:r>
        <w:rPr>
          <w:rFonts w:ascii="Arial" w:eastAsia="Arial" w:hAnsi="Arial" w:cs="Arial"/>
          <w:b/>
          <w:bCs/>
          <w:color w:val="1E7E4F"/>
          <w:sz w:val="30"/>
          <w:szCs w:val="30"/>
        </w:rPr>
        <w:t>Sprint 1 —</w:t>
      </w:r>
      <w:r w:rsidR="001F178D" w:rsidRPr="001F178D">
        <w:t xml:space="preserve"> </w:t>
      </w:r>
      <w:r w:rsidR="001F178D" w:rsidRPr="001F178D">
        <w:rPr>
          <w:rFonts w:ascii="Arial" w:eastAsia="Arial" w:hAnsi="Arial" w:cs="Arial"/>
          <w:b/>
          <w:bCs/>
          <w:color w:val="1E7E4F"/>
          <w:sz w:val="30"/>
          <w:szCs w:val="30"/>
        </w:rPr>
        <w:t xml:space="preserve">Expression de Besoin &amp; </w:t>
      </w:r>
      <w:r w:rsidR="001F178D">
        <w:rPr>
          <w:rFonts w:ascii="Arial" w:eastAsia="Arial" w:hAnsi="Arial" w:cs="Arial"/>
          <w:b/>
          <w:bCs/>
          <w:color w:val="1E7E4F"/>
          <w:sz w:val="30"/>
          <w:szCs w:val="30"/>
        </w:rPr>
        <w:t>Initialisation Application</w:t>
      </w:r>
    </w:p>
    <w:p w14:paraId="46C3A117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1. Objectif métier - Vision fonctionnelle</w:t>
      </w:r>
    </w:p>
    <w:p w14:paraId="30C9D4DC" w14:textId="77777777" w:rsidR="00921110" w:rsidRDefault="00921110" w:rsidP="00921110">
      <w:pPr>
        <w:spacing w:after="120"/>
      </w:pPr>
      <w:r>
        <w:rPr>
          <w:sz w:val="20"/>
          <w:szCs w:val="20"/>
        </w:rPr>
        <w:t xml:space="preserve">Le Sprint 1 a pour but de poser les bases de l’application en générant le squelette CAP/Fiori via le Project Accelerator. Le livrable est une </w:t>
      </w:r>
      <w:r>
        <w:rPr>
          <w:b/>
          <w:bCs/>
          <w:sz w:val="20"/>
          <w:szCs w:val="20"/>
        </w:rPr>
        <w:t>List Report</w:t>
      </w:r>
      <w:r>
        <w:rPr>
          <w:sz w:val="20"/>
          <w:szCs w:val="20"/>
        </w:rPr>
        <w:t xml:space="preserve"> permettant de consulter et filtrer le référentiel fournisseurs. Cette vue centrale est le point d’entrée de l’acheteur pour identifier rapidement les fournisseurs à traiter.</w:t>
      </w:r>
    </w:p>
    <w:p w14:paraId="1B3A7E64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18E1B9FB" w14:textId="77777777" w:rsidR="00921110" w:rsidRDefault="00921110" w:rsidP="00921110">
      <w:pPr>
        <w:spacing w:after="80"/>
      </w:pPr>
      <w:r>
        <w:rPr>
          <w:sz w:val="20"/>
          <w:szCs w:val="20"/>
        </w:rPr>
        <w:t>Les entités principales impliquées dans ce sprint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921110" w14:paraId="25412872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3BDEC" w14:textId="66C80767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Entité CDS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9C6CC" w14:textId="410CB268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Source SAP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C6590" w14:textId="6D2C7C3E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21110" w14:paraId="144FC04C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5CCE" w14:textId="46C0189D" w:rsidR="00921110" w:rsidRDefault="00921110" w:rsidP="00921110">
            <w:r>
              <w:rPr>
                <w:b/>
                <w:bCs/>
                <w:sz w:val="18"/>
                <w:szCs w:val="18"/>
              </w:rPr>
              <w:t>Vendors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17F1" w14:textId="527D22B0" w:rsidR="00921110" w:rsidRDefault="00921110" w:rsidP="00921110">
            <w:r>
              <w:rPr>
                <w:sz w:val="18"/>
                <w:szCs w:val="18"/>
              </w:rPr>
              <w:t>BP / LFA1 (S/4HANA)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2882" w14:textId="25A8AA1B" w:rsidR="00921110" w:rsidRDefault="00921110" w:rsidP="00921110">
            <w:r>
              <w:rPr>
                <w:sz w:val="18"/>
                <w:szCs w:val="18"/>
              </w:rPr>
              <w:t>Données de base fournisseurs (id, nom, pays, catégorie, statut de blocage)</w:t>
            </w:r>
          </w:p>
        </w:tc>
      </w:tr>
      <w:tr w:rsidR="00921110" w14:paraId="28D692E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D882" w14:textId="5292A46D" w:rsidR="00921110" w:rsidRDefault="00921110" w:rsidP="00921110">
            <w:r>
              <w:rPr>
                <w:b/>
                <w:bCs/>
                <w:sz w:val="18"/>
                <w:szCs w:val="18"/>
              </w:rPr>
              <w:t>PurchaseOrders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D636" w14:textId="5EBAC289" w:rsidR="00921110" w:rsidRDefault="00921110" w:rsidP="00921110">
            <w:r>
              <w:rPr>
                <w:sz w:val="18"/>
                <w:szCs w:val="18"/>
              </w:rPr>
              <w:t>EKKO/EKPO (S/4HANA)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8712" w14:textId="3DC5F2E9" w:rsidR="00921110" w:rsidRDefault="00921110" w:rsidP="00921110">
            <w:r>
              <w:rPr>
                <w:sz w:val="18"/>
                <w:szCs w:val="18"/>
              </w:rPr>
              <w:t>Bons de commande associés au fournisseur (dernière date, montant)</w:t>
            </w:r>
          </w:p>
        </w:tc>
      </w:tr>
      <w:tr w:rsidR="00921110" w14:paraId="755B71BF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BDAB" w14:textId="6E04B91F" w:rsidR="00921110" w:rsidRDefault="00921110" w:rsidP="00921110">
            <w:r>
              <w:rPr>
                <w:b/>
                <w:bCs/>
                <w:sz w:val="18"/>
                <w:szCs w:val="18"/>
              </w:rPr>
              <w:t>Invoices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3398" w14:textId="463ECA5B" w:rsidR="00921110" w:rsidRDefault="00921110" w:rsidP="00921110">
            <w:r>
              <w:rPr>
                <w:sz w:val="18"/>
                <w:szCs w:val="18"/>
              </w:rPr>
              <w:t>BSEG / FI documents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2C54" w14:textId="71E5D4B4" w:rsidR="00921110" w:rsidRDefault="00921110" w:rsidP="00921110">
            <w:r>
              <w:rPr>
                <w:sz w:val="18"/>
                <w:szCs w:val="18"/>
              </w:rPr>
              <w:t>Factures fournisseurs (dernière date, montant total, retards)</w:t>
            </w:r>
          </w:p>
        </w:tc>
      </w:tr>
    </w:tbl>
    <w:p w14:paraId="23384539" w14:textId="77777777" w:rsidR="00921110" w:rsidRDefault="00921110" w:rsidP="00921110">
      <w:pPr>
        <w:spacing w:after="120"/>
      </w:pPr>
    </w:p>
    <w:p w14:paraId="40C46D3B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A9F3BE3" w14:textId="61808C01" w:rsidR="00921110" w:rsidRDefault="00921110" w:rsidP="0092111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3.1 Feature 1 — </w:t>
      </w:r>
      <w:r w:rsidR="001F178D" w:rsidRPr="001F178D">
        <w:rPr>
          <w:rFonts w:eastAsia="Arial" w:cs="Arial"/>
          <w:b/>
          <w:bCs/>
          <w:color w:val="3D5A73"/>
          <w:sz w:val="22"/>
          <w:szCs w:val="22"/>
        </w:rPr>
        <w:t>List Report : Vue principale des fournisseurs</w:t>
      </w:r>
    </w:p>
    <w:p w14:paraId="59C949EE" w14:textId="77777777" w:rsidR="00921110" w:rsidRPr="009416AB" w:rsidRDefault="00921110" w:rsidP="00921110">
      <w:pPr>
        <w:pStyle w:val="Titre4"/>
      </w:pPr>
      <w:r w:rsidRPr="009416AB">
        <w:t>3.1.1 Description générale</w:t>
      </w:r>
    </w:p>
    <w:p w14:paraId="43C63809" w14:textId="79587345" w:rsidR="00921110" w:rsidRDefault="00921110" w:rsidP="001F178D">
      <w:pPr>
        <w:spacing w:after="80"/>
      </w:pPr>
      <w:r>
        <w:rPr>
          <w:sz w:val="20"/>
          <w:szCs w:val="20"/>
        </w:rPr>
        <w:t xml:space="preserve">La vue principale est une </w:t>
      </w:r>
      <w:r>
        <w:rPr>
          <w:b/>
          <w:bCs/>
          <w:sz w:val="20"/>
          <w:szCs w:val="20"/>
        </w:rPr>
        <w:t>List Report Fiori Elements</w:t>
      </w:r>
      <w:r>
        <w:rPr>
          <w:sz w:val="20"/>
          <w:szCs w:val="20"/>
        </w:rPr>
        <w:t xml:space="preserve"> affichant le référentiel fournisseurs enrichi avec des indicateurs d’activité. L’utilisateur accède à cette liste depuis le SAP Launchpad. Elle constitue le point d’entrée unique pour piloter le nettoyage du référentiel.</w:t>
      </w:r>
    </w:p>
    <w:p w14:paraId="09B399C4" w14:textId="3CB0EDC5" w:rsidR="001F178D" w:rsidRPr="00921110" w:rsidRDefault="001F178D" w:rsidP="001F178D">
      <w:pPr>
        <w:pStyle w:val="Titre4"/>
      </w:pPr>
      <w:r>
        <w:rPr>
          <w:rFonts w:eastAsia="Arial"/>
        </w:rPr>
        <w:t>3.3.2 Colonnes de la liste (UI.LineItem)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1F178D" w14:paraId="69389E96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EB23E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8DDA7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BFD13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1F178D" w14:paraId="70D4DED6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D4C8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VendorID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D2E7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 (clé)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9E04" w14:textId="77777777" w:rsidR="001F178D" w:rsidRDefault="001F178D" w:rsidP="002A6A64">
            <w:r>
              <w:rPr>
                <w:sz w:val="18"/>
                <w:szCs w:val="18"/>
              </w:rPr>
              <w:t>Identifiant unique du fournisseur (clé primaire)</w:t>
            </w:r>
          </w:p>
        </w:tc>
      </w:tr>
      <w:tr w:rsidR="001F178D" w14:paraId="22E5233C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9A59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VendorName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23AC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4111" w14:textId="77777777" w:rsidR="001F178D" w:rsidRDefault="001F178D" w:rsidP="002A6A64">
            <w:r>
              <w:rPr>
                <w:sz w:val="18"/>
                <w:szCs w:val="18"/>
              </w:rPr>
              <w:t>Dénomination sociale du fournisseur</w:t>
            </w:r>
          </w:p>
        </w:tc>
      </w:tr>
      <w:tr w:rsidR="001F178D" w14:paraId="262C21A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8A84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BC00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21DF" w14:textId="77777777" w:rsidR="001F178D" w:rsidRDefault="001F178D" w:rsidP="002A6A64">
            <w:r>
              <w:rPr>
                <w:sz w:val="18"/>
                <w:szCs w:val="18"/>
              </w:rPr>
              <w:t>Pays d’origine du fournisseur (code ISO)</w:t>
            </w:r>
          </w:p>
        </w:tc>
      </w:tr>
      <w:tr w:rsidR="001F178D" w14:paraId="0F0B070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117B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560E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1DAC" w14:textId="77777777" w:rsidR="001F178D" w:rsidRDefault="001F178D" w:rsidP="002A6A64">
            <w:r>
              <w:rPr>
                <w:sz w:val="18"/>
                <w:szCs w:val="18"/>
              </w:rPr>
              <w:t>Catégorie d’achat (ex. IT, Logistique, Services…)</w:t>
            </w:r>
          </w:p>
        </w:tc>
      </w:tr>
      <w:tr w:rsidR="001F178D" w14:paraId="26302176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A20E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LastPODate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D41F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655A" w14:textId="77777777" w:rsidR="001F178D" w:rsidRDefault="001F178D" w:rsidP="002A6A64">
            <w:r>
              <w:rPr>
                <w:sz w:val="18"/>
                <w:szCs w:val="18"/>
              </w:rPr>
              <w:t>Date du dernier Bon de Commande enregistré pour ce fournisseur</w:t>
            </w:r>
          </w:p>
        </w:tc>
      </w:tr>
      <w:tr w:rsidR="001F178D" w14:paraId="2395AA38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77B2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LastInvoiceDate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A9D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CF6F" w14:textId="77777777" w:rsidR="001F178D" w:rsidRDefault="001F178D" w:rsidP="002A6A64">
            <w:r>
              <w:rPr>
                <w:sz w:val="18"/>
                <w:szCs w:val="18"/>
              </w:rPr>
              <w:t>Date de la dernière facture reçue</w:t>
            </w:r>
          </w:p>
        </w:tc>
      </w:tr>
      <w:tr w:rsidR="001F178D" w14:paraId="1BCAAFA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F877" w14:textId="77777777" w:rsidR="001F178D" w:rsidRDefault="001F178D" w:rsidP="002A6A6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8"/>
                <w:szCs w:val="18"/>
              </w:rPr>
              <w:t>TotalPOAmount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CA11" w14:textId="77777777" w:rsidR="001F178D" w:rsidRDefault="001F178D" w:rsidP="002A6A64">
            <w:pPr>
              <w:rPr>
                <w:sz w:val="17"/>
                <w:szCs w:val="17"/>
              </w:rPr>
            </w:pPr>
            <w:r>
              <w:rPr>
                <w:i/>
                <w:iCs/>
                <w:sz w:val="18"/>
                <w:szCs w:val="18"/>
              </w:rPr>
              <w:t>Decimal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CA09" w14:textId="77777777" w:rsidR="001F178D" w:rsidRDefault="001F178D" w:rsidP="002A6A64">
            <w:pPr>
              <w:rPr>
                <w:sz w:val="17"/>
                <w:szCs w:val="17"/>
              </w:rPr>
            </w:pPr>
            <w:r>
              <w:rPr>
                <w:sz w:val="18"/>
                <w:szCs w:val="18"/>
              </w:rPr>
              <w:t>Montant total des PO sur les 12 derniers mois (devise entreprise)</w:t>
            </w:r>
          </w:p>
        </w:tc>
      </w:tr>
      <w:tr w:rsidR="001F178D" w14:paraId="51EC6F6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B723" w14:textId="77777777" w:rsidR="001F178D" w:rsidRDefault="001F178D" w:rsidP="002A6A6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InactivityMonths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9907" w14:textId="77777777" w:rsidR="001F178D" w:rsidRDefault="001F178D" w:rsidP="002A6A64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Integer (calculé)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56D1" w14:textId="77777777" w:rsidR="001F178D" w:rsidRDefault="001F178D" w:rsidP="002A6A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 mois depuis la dernière activité (PO ou facture). Calculé côté CAP : différence entre la date du jour et max(LastPODate, LastInvoiceDate).</w:t>
            </w:r>
          </w:p>
        </w:tc>
      </w:tr>
      <w:tr w:rsidR="001F178D" w14:paraId="05226B49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F7A3" w14:textId="77777777" w:rsidR="001F178D" w:rsidRDefault="001F178D" w:rsidP="002A6A6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BlockingStatus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1DC7" w14:textId="77777777" w:rsidR="001F178D" w:rsidRDefault="001F178D" w:rsidP="002A6A64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String (enum)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34FB" w14:textId="77777777" w:rsidR="001F178D" w:rsidRDefault="001F178D" w:rsidP="002A6A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Statut de blocage SAP actuel : Actif | Bloqué | En cours de clôture</w:t>
            </w:r>
          </w:p>
        </w:tc>
      </w:tr>
    </w:tbl>
    <w:p w14:paraId="26609500" w14:textId="3C2B34DC" w:rsidR="00921110" w:rsidRDefault="00921110" w:rsidP="00921110">
      <w:pPr>
        <w:pStyle w:val="Titre4"/>
      </w:pPr>
      <w:r w:rsidRPr="009416AB">
        <w:t>3.1.</w:t>
      </w:r>
      <w:r w:rsidR="001F178D">
        <w:t>3</w:t>
      </w:r>
      <w:r w:rsidRPr="009416AB">
        <w:t xml:space="preserve"> Règles de gestion (Business Rules)</w:t>
      </w:r>
    </w:p>
    <w:p w14:paraId="79221335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InactivityMonths est un champ calculé côté serveur CAP, non stocké en base.</w:t>
      </w:r>
    </w:p>
    <w:p w14:paraId="2B47DD67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fournisseur est considéré « inactif » si InactivityMonths &gt;= 12.</w:t>
      </w:r>
    </w:p>
    <w:p w14:paraId="7F0589B6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lastRenderedPageBreak/>
        <w:t>Un fournisseur est considéré « sous-actif » si 6 &lt;= InactivityMonths &lt; 12.</w:t>
      </w:r>
    </w:p>
    <w:p w14:paraId="70880B6C" w14:textId="5D87AFB5" w:rsidR="00921110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Le champ BlockingStatus reflète le statut de blocage réel dans S/4HANA (en phase mock : valeurraisonnablement initialisée dans les données JSON).</w:t>
      </w:r>
    </w:p>
    <w:p w14:paraId="2E2B2DEA" w14:textId="77777777" w:rsidR="00921110" w:rsidRPr="009416AB" w:rsidRDefault="00921110" w:rsidP="00921110">
      <w:pPr>
        <w:pStyle w:val="Titre4"/>
      </w:pPr>
      <w:r w:rsidRPr="009416AB">
        <w:t>3.1.3 Comportement de l'Interface</w:t>
      </w:r>
    </w:p>
    <w:p w14:paraId="5F56C0E8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La liste est triée par défaut sur InactivityMonths descendant (fournisseurs les plus inactifs en premier).</w:t>
      </w:r>
    </w:p>
    <w:p w14:paraId="1E337DAB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Le champ InactivityMonths est mis en évidence avec un « Criticality » : rouge (&gt;= 12), orange (6–12), vert (&lt; 6).</w:t>
      </w:r>
    </w:p>
    <w:p w14:paraId="3868C67D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La liste est paginable (standard Fiori Elements).</w:t>
      </w:r>
    </w:p>
    <w:p w14:paraId="26937A2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bouton « Export Excel » standard SAP est disponible.</w:t>
      </w:r>
    </w:p>
    <w:p w14:paraId="48A7CD94" w14:textId="77777777" w:rsidR="00921110" w:rsidRDefault="00921110" w:rsidP="00921110">
      <w:pPr>
        <w:spacing w:after="120"/>
      </w:pPr>
    </w:p>
    <w:p w14:paraId="6886725E" w14:textId="2C7269B0" w:rsidR="00921110" w:rsidRDefault="00921110" w:rsidP="0092111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Feature 2 — </w:t>
      </w:r>
      <w:r w:rsidR="001F178D" w:rsidRPr="001F178D">
        <w:rPr>
          <w:rFonts w:eastAsia="Arial" w:cs="Arial"/>
          <w:b/>
          <w:bCs/>
          <w:color w:val="3D5A73"/>
          <w:sz w:val="22"/>
          <w:szCs w:val="22"/>
        </w:rPr>
        <w:t>Filter Bar : Critères de recherche</w:t>
      </w:r>
    </w:p>
    <w:p w14:paraId="08DE648E" w14:textId="77777777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5A4A98CD" w14:textId="77777777" w:rsidR="001F178D" w:rsidRDefault="001F178D" w:rsidP="001F178D">
      <w:pPr>
        <w:spacing w:after="80"/>
      </w:pPr>
      <w:r>
        <w:rPr>
          <w:sz w:val="20"/>
          <w:szCs w:val="20"/>
        </w:rPr>
        <w:t>Une barre de filtres (SelectionFields) permet à l’utilisateur de restreindre la liste selon plusieurs critères. Les filtres sont définis dans les annotations CDS.</w:t>
      </w:r>
    </w:p>
    <w:p w14:paraId="1161D223" w14:textId="4DF8A493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 xml:space="preserve">.2 </w:t>
      </w:r>
      <w:r w:rsidR="001F178D" w:rsidRPr="001F178D">
        <w:t>Filtres disponibles (SelectionFields)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F178D" w14:paraId="0EF34F31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496DA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Filtre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C2055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Type de contrôle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12F61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Comportement</w:t>
            </w:r>
          </w:p>
        </w:tc>
      </w:tr>
      <w:tr w:rsidR="001F178D" w14:paraId="06052085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1D20F" w14:textId="77777777" w:rsidR="001F178D" w:rsidRDefault="001F178D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45953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/ Value Help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390C1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Filtrage par pays (liste de valeurs)</w:t>
            </w:r>
          </w:p>
        </w:tc>
      </w:tr>
      <w:tr w:rsidR="001F178D" w14:paraId="556705EE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D5115" w14:textId="77777777" w:rsidR="001F178D" w:rsidRDefault="001F178D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C4009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/ Value Help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175F5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Filtrage par catégorie d’achat</w:t>
            </w:r>
          </w:p>
        </w:tc>
      </w:tr>
      <w:tr w:rsidR="001F178D" w14:paraId="1AC7C41D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B51B3" w14:textId="77777777" w:rsidR="001F178D" w:rsidRDefault="001F178D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BlockingStatus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A42DB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(enum)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384BA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Actif | Bloqué | En cours de clôture | Tous</w:t>
            </w:r>
          </w:p>
        </w:tc>
      </w:tr>
      <w:tr w:rsidR="001F178D" w14:paraId="661D0939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B5FA1" w14:textId="77777777" w:rsidR="001F178D" w:rsidRDefault="001F178D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InactivityMonths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08E30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Range (Integer)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B9417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Plage : ex. « &gt; 12 mois » pour cibler inactifs</w:t>
            </w:r>
          </w:p>
        </w:tc>
      </w:tr>
      <w:tr w:rsidR="001F178D" w14:paraId="16647F35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7CBDE" w14:textId="77777777" w:rsidR="001F178D" w:rsidRDefault="001F178D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LastPODate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4B64C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DateRange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79BA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Plage de dates du dernier BC</w:t>
            </w:r>
          </w:p>
        </w:tc>
      </w:tr>
    </w:tbl>
    <w:p w14:paraId="598637CE" w14:textId="77777777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>.3 Comportement de l'Interface</w:t>
      </w:r>
    </w:p>
    <w:p w14:paraId="31000760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La barre de filtres est affichée par défaut en mode « expanded » (paramètre manifest.json).</w:t>
      </w:r>
    </w:p>
    <w:p w14:paraId="6927CA69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bouton « Adapt Filters » standard permet d’ajouter des filtres supplémentaires.</w:t>
      </w:r>
    </w:p>
    <w:p w14:paraId="368D047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L’application est livrée avec un variant de filtres pré-configuré « Fournisseurs inactifs » (InactivityMonths &gt; 12).</w:t>
      </w:r>
    </w:p>
    <w:p w14:paraId="4B345079" w14:textId="77777777" w:rsidR="001F178D" w:rsidRDefault="001F178D" w:rsidP="009211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5B7085AE" w14:textId="67A6E8CC" w:rsidR="001F178D" w:rsidRDefault="001F178D" w:rsidP="001F178D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Feature 3 — </w:t>
      </w:r>
      <w:r w:rsidRPr="001F178D">
        <w:rPr>
          <w:rFonts w:eastAsia="Arial" w:cs="Arial"/>
          <w:b/>
          <w:bCs/>
          <w:color w:val="3D5A73"/>
          <w:sz w:val="22"/>
          <w:szCs w:val="22"/>
        </w:rPr>
        <w:t>Données Mock (Développement local)</w:t>
      </w:r>
    </w:p>
    <w:p w14:paraId="06C53CB4" w14:textId="77777777" w:rsidR="001F178D" w:rsidRPr="009416AB" w:rsidRDefault="001F178D" w:rsidP="001F178D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11416C0D" w14:textId="77777777" w:rsidR="001F178D" w:rsidRDefault="001F178D" w:rsidP="001F178D">
      <w:pPr>
        <w:spacing w:after="80"/>
      </w:pPr>
      <w:r>
        <w:rPr>
          <w:sz w:val="20"/>
          <w:szCs w:val="20"/>
        </w:rPr>
        <w:t xml:space="preserve">Pour la phase de développement, les données réelles S/4HANA sont simulées via des fichiers JSON placés dans </w:t>
      </w:r>
      <w:r>
        <w:rPr>
          <w:b/>
          <w:bCs/>
          <w:sz w:val="20"/>
          <w:szCs w:val="20"/>
        </w:rPr>
        <w:t>db/data/</w:t>
      </w:r>
      <w:r>
        <w:rPr>
          <w:sz w:val="20"/>
          <w:szCs w:val="20"/>
        </w:rPr>
        <w:t>. Ces fichiers doivent représenter un jeu de données réaliste pour valider les règles de gestion et l’affichage.</w:t>
      </w:r>
    </w:p>
    <w:p w14:paraId="3C490BC2" w14:textId="540E2D78" w:rsidR="001F178D" w:rsidRPr="009416AB" w:rsidRDefault="001F178D" w:rsidP="001F178D">
      <w:pPr>
        <w:pStyle w:val="Titre4"/>
      </w:pPr>
      <w:r w:rsidRPr="009416AB">
        <w:t>3.</w:t>
      </w:r>
      <w:r>
        <w:t>2</w:t>
      </w:r>
      <w:r w:rsidRPr="009416AB">
        <w:t>.</w:t>
      </w:r>
      <w:r>
        <w:t>2</w:t>
      </w:r>
      <w:r w:rsidRPr="009416AB">
        <w:t xml:space="preserve"> </w:t>
      </w:r>
      <w:r w:rsidRPr="001F178D">
        <w:t>Jeux de données requis</w:t>
      </w:r>
    </w:p>
    <w:p w14:paraId="01975FA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Minimum 20 fournisseurs avec diversité de profils (actifs, sous-actifs, inactifs, bloqués).</w:t>
      </w:r>
    </w:p>
    <w:p w14:paraId="273E8076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Pour chaque fournisseur : au moins 1 à 3 PurchaseOrders et 1 à 2 Invoices.</w:t>
      </w:r>
    </w:p>
    <w:p w14:paraId="23D2F813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Les dates doivent couvrir une plage de 3 ans pour simuler l’inactivité.</w:t>
      </w:r>
    </w:p>
    <w:p w14:paraId="6F83C1A3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Au moins 5 fournisseurs avec InactivityMonths &gt; 12 (inactifs), 5 avec 6–12 (sous-actifs).</w:t>
      </w:r>
    </w:p>
    <w:p w14:paraId="043FABC2" w14:textId="19ACDD64" w:rsidR="00D17C90" w:rsidRDefault="00D17C90">
      <w:pPr>
        <w:spacing w:after="160" w:line="278" w:lineRule="auto"/>
      </w:pPr>
      <w:r>
        <w:br w:type="page"/>
      </w:r>
    </w:p>
    <w:p w14:paraId="3B52C9D1" w14:textId="51425ECF" w:rsidR="00D17C90" w:rsidRDefault="00D17C90" w:rsidP="00D17C90">
      <w:pPr>
        <w:pBdr>
          <w:bottom w:val="single" w:sz="6" w:space="2" w:color="FFFFFF"/>
        </w:pBdr>
        <w:shd w:val="clear" w:color="auto" w:fill="7B3F9E"/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2  </w:t>
      </w:r>
      <w:r>
        <w:rPr>
          <w:b/>
          <w:bCs/>
          <w:color w:val="FFFFFF"/>
          <w:sz w:val="28"/>
          <w:szCs w:val="28"/>
        </w:rPr>
        <w:t xml:space="preserve">   </w:t>
      </w:r>
      <w:r w:rsidRPr="00D17C90">
        <w:rPr>
          <w:b/>
          <w:bCs/>
          <w:color w:val="FFFFFF"/>
          <w:sz w:val="28"/>
          <w:szCs w:val="28"/>
        </w:rPr>
        <w:t>INSIGHTS &amp; KPI</w:t>
      </w:r>
    </w:p>
    <w:p w14:paraId="72153B11" w14:textId="5AE3AD67" w:rsidR="00D17C90" w:rsidRDefault="00D17C90" w:rsidP="00D17C90">
      <w:pPr>
        <w:pStyle w:val="Titre1"/>
        <w:pBdr>
          <w:bottom w:val="single" w:sz="10" w:space="4" w:color="7B3F9E"/>
        </w:pBdr>
      </w:pPr>
      <w:r>
        <w:rPr>
          <w:rFonts w:ascii="Arial" w:eastAsia="Arial" w:hAnsi="Arial" w:cs="Arial"/>
          <w:b/>
          <w:bCs/>
          <w:color w:val="7B3F9E"/>
          <w:sz w:val="30"/>
          <w:szCs w:val="30"/>
        </w:rPr>
        <w:t xml:space="preserve">Sprint 2 — </w:t>
      </w:r>
      <w:r w:rsidRPr="00D17C90">
        <w:rPr>
          <w:rFonts w:ascii="Arial" w:eastAsia="Arial" w:hAnsi="Arial" w:cs="Arial"/>
          <w:b/>
          <w:bCs/>
          <w:color w:val="7B3F9E"/>
          <w:sz w:val="30"/>
          <w:szCs w:val="30"/>
        </w:rPr>
        <w:t>Insights &amp; KPI</w:t>
      </w:r>
    </w:p>
    <w:p w14:paraId="37B74E27" w14:textId="77777777" w:rsidR="00D17C90" w:rsidRDefault="00D17C90" w:rsidP="00D17C90">
      <w:pPr>
        <w:spacing w:after="80"/>
      </w:pPr>
      <w:r>
        <w:rPr>
          <w:b/>
          <w:bCs/>
          <w:sz w:val="20"/>
          <w:szCs w:val="20"/>
        </w:rPr>
        <w:t xml:space="preserve">Outil : </w:t>
      </w:r>
      <w:r>
        <w:rPr>
          <w:sz w:val="20"/>
          <w:szCs w:val="20"/>
        </w:rPr>
        <w:t xml:space="preserve">Claude Code (itération 1)  |  </w:t>
      </w:r>
      <w:r>
        <w:rPr>
          <w:b/>
          <w:bCs/>
          <w:sz w:val="20"/>
          <w:szCs w:val="20"/>
        </w:rPr>
        <w:t xml:space="preserve">Prérequis : </w:t>
      </w:r>
      <w:r>
        <w:rPr>
          <w:sz w:val="20"/>
          <w:szCs w:val="20"/>
        </w:rPr>
        <w:t>Sprint 1 livré et validé</w:t>
      </w:r>
    </w:p>
    <w:p w14:paraId="7C6E548F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1. Objectif métier - Vision fonctionnelle</w:t>
      </w:r>
    </w:p>
    <w:p w14:paraId="7A7BA0C7" w14:textId="77777777" w:rsidR="00D17C90" w:rsidRDefault="00D17C90" w:rsidP="00D17C90">
      <w:pPr>
        <w:spacing w:after="120"/>
      </w:pPr>
      <w:r>
        <w:rPr>
          <w:sz w:val="20"/>
          <w:szCs w:val="20"/>
        </w:rPr>
        <w:t xml:space="preserve">Le Sprint 2 enrichit la List Report avec un </w:t>
      </w:r>
      <w:r>
        <w:rPr>
          <w:b/>
          <w:bCs/>
          <w:sz w:val="20"/>
          <w:szCs w:val="20"/>
        </w:rPr>
        <w:t>score de risque/propreté</w:t>
      </w:r>
      <w:r>
        <w:rPr>
          <w:sz w:val="20"/>
          <w:szCs w:val="20"/>
        </w:rPr>
        <w:t xml:space="preserve"> pour chaque fournisseur, ainsi qu’un </w:t>
      </w:r>
      <w:r>
        <w:rPr>
          <w:b/>
          <w:bCs/>
          <w:sz w:val="20"/>
          <w:szCs w:val="20"/>
        </w:rPr>
        <w:t>en-tête de synthèse graphique (KPI Header)</w:t>
      </w:r>
      <w:r>
        <w:rPr>
          <w:sz w:val="20"/>
          <w:szCs w:val="20"/>
        </w:rPr>
        <w:t>. L’objectif est de permettre à l’acheteur de prioriser ses actions sans avoir à analyser chaque ligne individuellement.</w:t>
      </w:r>
    </w:p>
    <w:p w14:paraId="4CAFC169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247B0A5A" w14:textId="77777777" w:rsidR="00D17C90" w:rsidRDefault="00D17C90" w:rsidP="00D17C90">
      <w:pPr>
        <w:spacing w:after="80"/>
      </w:pPr>
      <w:r>
        <w:rPr>
          <w:sz w:val="20"/>
          <w:szCs w:val="20"/>
        </w:rPr>
        <w:t>Extension des entités du Sprint 1 avec de nouveaux champs calculés. Pas de nouvelles entités externes.</w:t>
      </w:r>
    </w:p>
    <w:p w14:paraId="75FE7BD3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AD2CFB4" w14:textId="55810152" w:rsidR="00D17C90" w:rsidRDefault="00D17C90" w:rsidP="00D17C9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3.1 Feature 1 — Score de risque &amp; Statut</w:t>
      </w:r>
    </w:p>
    <w:p w14:paraId="14770B07" w14:textId="16A59BDF" w:rsidR="00D17C90" w:rsidRPr="00D17C90" w:rsidRDefault="00D17C90" w:rsidP="00D17C90">
      <w:pPr>
        <w:pStyle w:val="Titre4"/>
      </w:pPr>
      <w:r>
        <w:rPr>
          <w:rFonts w:eastAsia="Arial"/>
        </w:rPr>
        <w:t>3.1.1 Description générale</w:t>
      </w:r>
    </w:p>
    <w:p w14:paraId="35EECED4" w14:textId="77777777" w:rsidR="00D17C90" w:rsidRDefault="00D17C90" w:rsidP="00D17C90">
      <w:pPr>
        <w:spacing w:after="80"/>
      </w:pPr>
      <w:r>
        <w:rPr>
          <w:sz w:val="20"/>
          <w:szCs w:val="20"/>
        </w:rPr>
        <w:t xml:space="preserve">Ajout d’un </w:t>
      </w:r>
      <w:r>
        <w:rPr>
          <w:b/>
          <w:bCs/>
          <w:sz w:val="20"/>
          <w:szCs w:val="20"/>
        </w:rPr>
        <w:t>RiskScore</w:t>
      </w:r>
      <w:r>
        <w:rPr>
          <w:sz w:val="20"/>
          <w:szCs w:val="20"/>
        </w:rPr>
        <w:t xml:space="preserve"> (entier de 0 à 100) et d’un </w:t>
      </w:r>
      <w:r>
        <w:rPr>
          <w:b/>
          <w:bCs/>
          <w:sz w:val="20"/>
          <w:szCs w:val="20"/>
        </w:rPr>
        <w:t>RiskStatus</w:t>
      </w:r>
      <w:r>
        <w:rPr>
          <w:sz w:val="20"/>
          <w:szCs w:val="20"/>
        </w:rPr>
        <w:t xml:space="preserve"> (enum) calculés automatiquement par le handler CAP. Ces deux champs sont affichés dans la List Report.</w:t>
      </w:r>
    </w:p>
    <w:p w14:paraId="25817934" w14:textId="06F7A17D" w:rsidR="00D17C90" w:rsidRDefault="00D17C90" w:rsidP="00D17C90">
      <w:pPr>
        <w:pStyle w:val="Titre4"/>
      </w:pPr>
      <w:r>
        <w:rPr>
          <w:rFonts w:eastAsia="Arial"/>
        </w:rPr>
        <w:t>3.1.2 Règles de calcul du RiskScore</w:t>
      </w:r>
    </w:p>
    <w:p w14:paraId="73137FBA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+ 40 points si InactivityMonths &gt;= 12 (fournisseur inactif)</w:t>
      </w:r>
    </w:p>
    <w:p w14:paraId="4E17F97B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+ 20 points si InactivityMonths &gt;= 6 et &lt; 12 (sous-actif)</w:t>
      </w:r>
    </w:p>
    <w:p w14:paraId="08CAC7B7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+ 20 points si PaymentDelayAvg &gt; 30 jours (retard de paiement moyen)</w:t>
      </w:r>
    </w:p>
    <w:p w14:paraId="665C7DC3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+ 20 points si DeliveryDelayAvg &gt; 15 jours (retard de livraison moyen)</w:t>
      </w:r>
    </w:p>
    <w:p w14:paraId="05518A38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+ 10 points si données bancaires manquantes ou incomplètes</w:t>
      </w:r>
    </w:p>
    <w:p w14:paraId="24303ACC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+ 10 points si TotalPOAmount sur 12 mois = 0</w:t>
      </w:r>
    </w:p>
    <w:p w14:paraId="694C5D47" w14:textId="77777777" w:rsidR="00D17C90" w:rsidRDefault="00D17C90" w:rsidP="00D17C90">
      <w:pPr>
        <w:spacing w:after="80"/>
      </w:pPr>
    </w:p>
    <w:p w14:paraId="31A35D56" w14:textId="06D9B06E" w:rsidR="00D17C90" w:rsidRDefault="00D17C90" w:rsidP="00D17C90">
      <w:pPr>
        <w:pStyle w:val="Titre4"/>
      </w:pPr>
      <w:r>
        <w:rPr>
          <w:rFonts w:eastAsia="Arial"/>
        </w:rPr>
        <w:t xml:space="preserve">3.1.3 Règles de </w:t>
      </w:r>
      <w:r w:rsidRPr="00D17C90">
        <w:t>détermination</w:t>
      </w:r>
      <w:r>
        <w:rPr>
          <w:rFonts w:eastAsia="Arial"/>
        </w:rPr>
        <w:t xml:space="preserve"> du RiskStatus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D17C90" w14:paraId="05AB0FC4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07F56" w14:textId="77777777" w:rsidR="00D17C90" w:rsidRDefault="00D17C90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RiskScore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1F0F1" w14:textId="77777777" w:rsidR="00D17C90" w:rsidRDefault="00D17C90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RiskStatus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51A35" w14:textId="77777777" w:rsidR="00D17C90" w:rsidRDefault="00D17C90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Couleur (Criticality)</w:t>
            </w:r>
          </w:p>
        </w:tc>
      </w:tr>
      <w:tr w:rsidR="00D17C90" w14:paraId="6B98DD0C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881A3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0 – 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1FCDE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Faible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EA26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Vert (@Positive)</w:t>
            </w:r>
          </w:p>
        </w:tc>
      </w:tr>
      <w:tr w:rsidR="00D17C90" w14:paraId="7A5BC6B8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505D3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31 – 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D6237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Modéré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DCDC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Orange (@Critical)</w:t>
            </w:r>
          </w:p>
        </w:tc>
      </w:tr>
      <w:tr w:rsidR="00D17C90" w14:paraId="3AA81C4E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37DFA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61 –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4A07D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Élevé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D858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Rouge (@VeryNegative)</w:t>
            </w:r>
          </w:p>
        </w:tc>
      </w:tr>
    </w:tbl>
    <w:p w14:paraId="5E529FC5" w14:textId="77777777" w:rsidR="00D17C90" w:rsidRDefault="00D17C90" w:rsidP="00D17C90">
      <w:pPr>
        <w:spacing w:after="80"/>
      </w:pPr>
    </w:p>
    <w:p w14:paraId="22C834B1" w14:textId="43BFE959" w:rsidR="00D17C90" w:rsidRDefault="00D17C90" w:rsidP="00D17C90">
      <w:pPr>
        <w:pStyle w:val="Titre4"/>
      </w:pPr>
      <w:r>
        <w:rPr>
          <w:rFonts w:eastAsia="Arial"/>
        </w:rPr>
        <w:t xml:space="preserve">3.1.4 </w:t>
      </w:r>
      <w:r w:rsidRPr="00D17C90">
        <w:t>Comportement</w:t>
      </w:r>
      <w:r>
        <w:rPr>
          <w:rFonts w:eastAsia="Arial"/>
        </w:rPr>
        <w:t xml:space="preserve"> de l’Interface</w:t>
      </w:r>
    </w:p>
    <w:p w14:paraId="759A21E5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RiskScore et RiskStatus sont ajoutés comme colonnes dans le LineItem.</w:t>
      </w:r>
    </w:p>
    <w:p w14:paraId="351345DA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RiskStatus s’affiche avec une icône de sévérité via l’annotation @UI.Criticality.</w:t>
      </w:r>
    </w:p>
    <w:p w14:paraId="3F6B992F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Un nouveau filtre « RiskStatus » est ajouté dans la Filter Bar.</w:t>
      </w:r>
    </w:p>
    <w:p w14:paraId="1DE06383" w14:textId="77777777" w:rsidR="00D17C90" w:rsidRDefault="00D17C90" w:rsidP="00D17C90">
      <w:pPr>
        <w:spacing w:after="80"/>
      </w:pPr>
    </w:p>
    <w:p w14:paraId="44565E59" w14:textId="434E3A29" w:rsidR="00D17C90" w:rsidRDefault="00D17C90" w:rsidP="00D17C9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3.2 Feature 2 — En-tête de Synthèse (KPI Header)</w:t>
      </w:r>
    </w:p>
    <w:p w14:paraId="406E5A4B" w14:textId="46277A1B" w:rsidR="00D17C90" w:rsidRDefault="00D17C90" w:rsidP="00D17C90">
      <w:pPr>
        <w:pStyle w:val="Titre4"/>
      </w:pPr>
      <w:r>
        <w:rPr>
          <w:rFonts w:eastAsia="Arial"/>
        </w:rPr>
        <w:t xml:space="preserve">3.2.1 Description </w:t>
      </w:r>
      <w:r w:rsidRPr="00D17C90">
        <w:t>générale</w:t>
      </w:r>
    </w:p>
    <w:p w14:paraId="648AC08B" w14:textId="77777777" w:rsidR="00D17C90" w:rsidRDefault="00D17C90" w:rsidP="00D17C90">
      <w:pPr>
        <w:spacing w:after="80"/>
      </w:pPr>
      <w:r>
        <w:rPr>
          <w:sz w:val="20"/>
          <w:szCs w:val="20"/>
        </w:rPr>
        <w:t xml:space="preserve">Ajout d’un </w:t>
      </w:r>
      <w:r>
        <w:rPr>
          <w:b/>
          <w:bCs/>
          <w:sz w:val="20"/>
          <w:szCs w:val="20"/>
        </w:rPr>
        <w:t>en-tête de synthèse (Header Facet avec KPI)</w:t>
      </w:r>
      <w:r>
        <w:rPr>
          <w:sz w:val="20"/>
          <w:szCs w:val="20"/>
        </w:rPr>
        <w:t xml:space="preserve"> au-dessus de la List Report affichant des compteurs agrégés sur l’ensemble du référentiel (ou sur la sélection filtrée).</w:t>
      </w:r>
    </w:p>
    <w:p w14:paraId="3A097168" w14:textId="315218BF" w:rsidR="00D17C90" w:rsidRDefault="00D17C90" w:rsidP="00D17C90">
      <w:pPr>
        <w:pStyle w:val="Titre4"/>
      </w:pPr>
      <w:r>
        <w:rPr>
          <w:rFonts w:eastAsia="Arial"/>
        </w:rPr>
        <w:t>3.2.2 KPIs à afficher</w:t>
      </w:r>
    </w:p>
    <w:p w14:paraId="1750859D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total de fournisseurs actifs dans le référentiel</w:t>
      </w:r>
    </w:p>
    <w:p w14:paraId="0722A1EB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de fournisseurs inactifs (InactivityMonths &gt;= 12)</w:t>
      </w:r>
    </w:p>
    <w:p w14:paraId="56AA6B98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de fournisseurs à risque élevé (RiskStatus = Elevé)</w:t>
      </w:r>
    </w:p>
    <w:p w14:paraId="62EE7B09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Pourcentage de fournisseurs bloqués</w:t>
      </w:r>
    </w:p>
    <w:p w14:paraId="71F2F9C8" w14:textId="77777777" w:rsidR="00D17C90" w:rsidRDefault="00D17C90" w:rsidP="00D17C90">
      <w:pPr>
        <w:spacing w:after="80"/>
      </w:pPr>
    </w:p>
    <w:p w14:paraId="116574FB" w14:textId="5CF05F43" w:rsidR="00D17C90" w:rsidRDefault="00D17C90" w:rsidP="00D17C90">
      <w:pPr>
        <w:pStyle w:val="Titre4"/>
      </w:pPr>
      <w:r>
        <w:rPr>
          <w:rFonts w:eastAsia="Arial"/>
        </w:rPr>
        <w:t xml:space="preserve">3.2.3 </w:t>
      </w:r>
      <w:r w:rsidRPr="00D17C90">
        <w:t>Comportement</w:t>
      </w:r>
      <w:r>
        <w:rPr>
          <w:rFonts w:eastAsia="Arial"/>
        </w:rPr>
        <w:t xml:space="preserve"> de l’Interface</w:t>
      </w:r>
    </w:p>
    <w:p w14:paraId="7C457674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L’en-tête est implémenté via un @UI.KPIAnnotation ou une DataPoint dans les annotations.</w:t>
      </w:r>
    </w:p>
    <w:p w14:paraId="0FDE45F7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lastRenderedPageBreak/>
        <w:t>Les valeurs sont recalculées à chaque chargement / rafraîchissement de la liste.</w:t>
      </w:r>
    </w:p>
    <w:p w14:paraId="17B5FA5F" w14:textId="3A6B759A" w:rsidR="00C930FA" w:rsidRDefault="00D17C90" w:rsidP="00D17C90">
      <w:pPr>
        <w:rPr>
          <w:sz w:val="20"/>
          <w:szCs w:val="20"/>
        </w:rPr>
      </w:pPr>
      <w:r>
        <w:rPr>
          <w:sz w:val="20"/>
          <w:szCs w:val="20"/>
        </w:rPr>
        <w:t>Les KPI s’affichent sous forme de tuiles numériques avec icone et unité.</w:t>
      </w:r>
    </w:p>
    <w:p w14:paraId="478B6D49" w14:textId="77777777" w:rsidR="00C930FA" w:rsidRDefault="00C930FA">
      <w:pPr>
        <w:spacing w:after="160" w:line="278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AEC6947" w14:textId="17676A6A" w:rsidR="00C930FA" w:rsidRDefault="00C930FA" w:rsidP="00C930FA">
      <w:pPr>
        <w:pBdr>
          <w:bottom w:val="single" w:sz="6" w:space="2" w:color="FFFFFF"/>
        </w:pBdr>
        <w:shd w:val="clear" w:color="auto" w:fill="B5430E"/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3  </w:t>
      </w:r>
      <w:r>
        <w:rPr>
          <w:b/>
          <w:bCs/>
          <w:color w:val="FFFFFF"/>
          <w:sz w:val="28"/>
          <w:szCs w:val="28"/>
        </w:rPr>
        <w:t xml:space="preserve">   </w:t>
      </w:r>
      <w:r w:rsidRPr="00C930FA">
        <w:rPr>
          <w:b/>
          <w:bCs/>
          <w:color w:val="FFFFFF"/>
          <w:sz w:val="28"/>
          <w:szCs w:val="28"/>
        </w:rPr>
        <w:t>NAVIGATION &amp; OBJECT PAGE</w:t>
      </w:r>
    </w:p>
    <w:p w14:paraId="6A8FA7E0" w14:textId="39FD6CB5" w:rsidR="00C930FA" w:rsidRDefault="00C930FA" w:rsidP="00C930FA">
      <w:pPr>
        <w:pStyle w:val="Titre1"/>
        <w:pBdr>
          <w:bottom w:val="single" w:sz="10" w:space="4" w:color="B5430E"/>
        </w:pBdr>
      </w:pPr>
      <w:r>
        <w:rPr>
          <w:rFonts w:ascii="Arial" w:eastAsia="Arial" w:hAnsi="Arial" w:cs="Arial"/>
          <w:b/>
          <w:bCs/>
          <w:color w:val="B5430E"/>
          <w:sz w:val="30"/>
          <w:szCs w:val="30"/>
        </w:rPr>
        <w:t>Sprint 3 — Navigation</w:t>
      </w:r>
      <w:r w:rsidRPr="00C930FA">
        <w:rPr>
          <w:rFonts w:ascii="Arial" w:eastAsia="Arial" w:hAnsi="Arial" w:cs="Arial"/>
          <w:b/>
          <w:bCs/>
          <w:color w:val="B5430E"/>
          <w:sz w:val="30"/>
          <w:szCs w:val="30"/>
        </w:rPr>
        <w:t xml:space="preserve"> &amp; </w:t>
      </w:r>
      <w:r>
        <w:rPr>
          <w:rFonts w:ascii="Arial" w:eastAsia="Arial" w:hAnsi="Arial" w:cs="Arial"/>
          <w:b/>
          <w:bCs/>
          <w:color w:val="B5430E"/>
          <w:sz w:val="30"/>
          <w:szCs w:val="30"/>
        </w:rPr>
        <w:t>Object Page</w:t>
      </w:r>
    </w:p>
    <w:p w14:paraId="24282979" w14:textId="4FDDC961" w:rsidR="00C930FA" w:rsidRDefault="00C930FA" w:rsidP="00C930FA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1 </w:t>
      </w:r>
      <w:r w:rsidRPr="00C930FA"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Objectif métier </w:t>
      </w:r>
      <w:r>
        <w:rPr>
          <w:rFonts w:ascii="Arial" w:eastAsia="Arial" w:hAnsi="Arial" w:cs="Arial"/>
          <w:b/>
          <w:bCs/>
          <w:color w:val="2C3E50"/>
          <w:sz w:val="24"/>
          <w:szCs w:val="24"/>
        </w:rPr>
        <w:t>- Vision fonctionnelle</w:t>
      </w:r>
    </w:p>
    <w:p w14:paraId="0AFA2BB5" w14:textId="0B45DF70" w:rsidR="00D17C90" w:rsidRDefault="00C930FA" w:rsidP="00D17C90">
      <w:r w:rsidRPr="00C930FA">
        <w:t>Le Sprint 3 ajoute une page de détail (Object Page) navigable depuis la List Report. L’acheteur peut accéder à l’ensemble des informations d’un fournisseur, ses indicateurs de performance et ses historiques d’activité, pour réaliser un diagnostic complet avant toute action.</w:t>
      </w:r>
    </w:p>
    <w:p w14:paraId="246E4E6B" w14:textId="77777777" w:rsidR="00C930FA" w:rsidRDefault="00C930FA" w:rsidP="00D17C90"/>
    <w:p w14:paraId="2A4223A7" w14:textId="77777777" w:rsidR="00C930FA" w:rsidRDefault="00C930FA" w:rsidP="00C930FA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3CB44384" w14:textId="77777777" w:rsidR="00C930FA" w:rsidRDefault="00C930FA" w:rsidP="00C930FA">
      <w:pPr>
        <w:pStyle w:val="Titre2"/>
        <w:rPr>
          <w:rFonts w:ascii="Arial" w:eastAsia="Arial" w:hAnsi="Arial" w:cs="Arial"/>
          <w:color w:val="1A1A2E"/>
          <w:sz w:val="20"/>
          <w:szCs w:val="20"/>
        </w:rPr>
      </w:pPr>
      <w:r w:rsidRPr="00C930FA">
        <w:rPr>
          <w:rFonts w:ascii="Arial" w:eastAsia="Arial" w:hAnsi="Arial" w:cs="Arial"/>
          <w:color w:val="1A1A2E"/>
          <w:sz w:val="20"/>
          <w:szCs w:val="20"/>
        </w:rPr>
        <w:t>Extension de l’entité Vendors avec des associations vers PurchaseOrders et Invoices pour l’Object Page. Ajout d’indicateurs supplémentaires calculés.</w:t>
      </w:r>
    </w:p>
    <w:p w14:paraId="364323C3" w14:textId="4C88F1E2" w:rsidR="00C930FA" w:rsidRDefault="00C930FA" w:rsidP="00C930FA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8BFB872" w14:textId="08709484" w:rsidR="00C930FA" w:rsidRDefault="00C930FA" w:rsidP="00C930FA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3.1 Feature 1 — Navigation vers l’Object Page</w:t>
      </w:r>
    </w:p>
    <w:p w14:paraId="7E13C7A0" w14:textId="77777777" w:rsidR="00C930FA" w:rsidRPr="00D17C90" w:rsidRDefault="00C930FA" w:rsidP="00C930FA">
      <w:pPr>
        <w:pStyle w:val="Titre4"/>
      </w:pPr>
      <w:r>
        <w:rPr>
          <w:rFonts w:eastAsia="Arial"/>
        </w:rPr>
        <w:t>3.1.1 Description générale</w:t>
      </w:r>
    </w:p>
    <w:p w14:paraId="5AF1633E" w14:textId="77777777" w:rsidR="00C930FA" w:rsidRDefault="00C930FA" w:rsidP="00C930FA">
      <w:pPr>
        <w:pStyle w:val="Titre4"/>
        <w:rPr>
          <w:rFonts w:eastAsia="Arial" w:cs="Arial"/>
          <w:i w:val="0"/>
          <w:iCs w:val="0"/>
          <w:color w:val="1A1A2E"/>
          <w:sz w:val="20"/>
          <w:szCs w:val="20"/>
        </w:rPr>
      </w:pPr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Chaque ligne de la List Report devient cliquable et navigue vers l’Object Page du fournisseur correspondant. La navigation est gérée via les routes Fiori (manifest.json) et l’annotation @UI.LineItem standard.</w:t>
      </w:r>
    </w:p>
    <w:p w14:paraId="03560D71" w14:textId="76561A68" w:rsidR="00C930FA" w:rsidRDefault="00C930FA" w:rsidP="00C930FA">
      <w:pPr>
        <w:pStyle w:val="Titre4"/>
      </w:pPr>
      <w:r>
        <w:rPr>
          <w:rFonts w:eastAsia="Arial"/>
        </w:rPr>
        <w:t xml:space="preserve">3.1.2 </w:t>
      </w:r>
      <w:r w:rsidRPr="00C930FA">
        <w:rPr>
          <w:rFonts w:eastAsia="Arial"/>
        </w:rPr>
        <w:t>Comportement de l’Interface</w:t>
      </w:r>
    </w:p>
    <w:p w14:paraId="2E903369" w14:textId="1CCE8F2C" w:rsidR="00C930FA" w:rsidRDefault="00C930FA" w:rsidP="00C930FA">
      <w:pPr>
        <w:pStyle w:val="Paragraphedeliste"/>
        <w:numPr>
          <w:ilvl w:val="0"/>
          <w:numId w:val="4"/>
        </w:numPr>
        <w:spacing w:after="80"/>
      </w:pPr>
      <w:r>
        <w:t>Clic sur une ligne → navigation vers l’Object Page (route : /Vendors/{VendorID}).</w:t>
      </w:r>
    </w:p>
    <w:p w14:paraId="6D111E1B" w14:textId="1D2964DC" w:rsidR="00C930FA" w:rsidRDefault="00C930FA" w:rsidP="00C930FA">
      <w:pPr>
        <w:pStyle w:val="Paragraphedeliste"/>
        <w:numPr>
          <w:ilvl w:val="0"/>
          <w:numId w:val="4"/>
        </w:numPr>
        <w:spacing w:after="80"/>
      </w:pPr>
      <w:r>
        <w:t>Bouton « Retour » standard Fiori pour revenir à la List Report.</w:t>
      </w:r>
    </w:p>
    <w:p w14:paraId="62414C9A" w14:textId="55CFB68A" w:rsidR="00C930FA" w:rsidRDefault="00C930FA" w:rsidP="00C930FA">
      <w:pPr>
        <w:pStyle w:val="Paragraphedeliste"/>
        <w:numPr>
          <w:ilvl w:val="0"/>
          <w:numId w:val="4"/>
        </w:numPr>
        <w:spacing w:after="80"/>
      </w:pPr>
      <w:r>
        <w:t>Le titre de l’Object Page affiche le VendorName.</w:t>
      </w:r>
    </w:p>
    <w:p w14:paraId="5EBE5ACB" w14:textId="77777777" w:rsidR="00C930FA" w:rsidRDefault="00C930FA" w:rsidP="00C930FA">
      <w:pPr>
        <w:spacing w:after="80"/>
      </w:pPr>
    </w:p>
    <w:p w14:paraId="47AE03F3" w14:textId="69C4BD8A" w:rsidR="00C930FA" w:rsidRDefault="00C930FA" w:rsidP="00C930FA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Feature 2 — </w:t>
      </w:r>
      <w:r w:rsidRPr="00C930FA">
        <w:rPr>
          <w:rFonts w:eastAsia="Arial" w:cs="Arial"/>
          <w:b/>
          <w:bCs/>
          <w:color w:val="3D5A73"/>
          <w:sz w:val="22"/>
          <w:szCs w:val="22"/>
        </w:rPr>
        <w:t>Object Page : Structure et Sections</w:t>
      </w:r>
    </w:p>
    <w:p w14:paraId="79DA51D2" w14:textId="2767E967" w:rsidR="00C930FA" w:rsidRDefault="00C930FA" w:rsidP="00C930FA">
      <w:pPr>
        <w:pStyle w:val="Titre4"/>
      </w:pPr>
      <w:r>
        <w:rPr>
          <w:rFonts w:eastAsia="Arial"/>
        </w:rPr>
        <w:t xml:space="preserve">3.2.1 Description </w:t>
      </w:r>
      <w:r w:rsidRPr="00D17C90">
        <w:t>générale</w:t>
      </w:r>
    </w:p>
    <w:p w14:paraId="2130500E" w14:textId="77777777" w:rsidR="00C930FA" w:rsidRDefault="00C930FA" w:rsidP="00C930FA">
      <w:pPr>
        <w:pStyle w:val="Titre4"/>
        <w:rPr>
          <w:rFonts w:eastAsia="Arial" w:cs="Arial"/>
          <w:i w:val="0"/>
          <w:iCs w:val="0"/>
          <w:color w:val="1A1A2E"/>
          <w:sz w:val="20"/>
          <w:szCs w:val="20"/>
        </w:rPr>
      </w:pPr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L’Object Page est structurée en plusieurs sections (Facets) présentant les informations du fournisseur de manière progressivement détaillée.</w:t>
      </w:r>
    </w:p>
    <w:p w14:paraId="5ED1F322" w14:textId="23C8C2EE" w:rsidR="00C930FA" w:rsidRDefault="00C930FA" w:rsidP="00C930FA">
      <w:pPr>
        <w:pStyle w:val="Titre4"/>
      </w:pPr>
      <w:r>
        <w:rPr>
          <w:rFonts w:eastAsia="Arial"/>
        </w:rPr>
        <w:t xml:space="preserve">3.2.2 </w:t>
      </w:r>
      <w:r w:rsidRPr="00C930FA">
        <w:rPr>
          <w:rFonts w:eastAsia="Arial"/>
        </w:rPr>
        <w:t>Structure de l’Object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930FA" w14:paraId="447D52A7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A6465" w14:textId="77777777" w:rsidR="00C930FA" w:rsidRDefault="00C930FA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Section (Facet)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A5A0C" w14:textId="77777777" w:rsidR="00C930FA" w:rsidRDefault="00C930FA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C930FA" w14:paraId="3B819D98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8B7C6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En-tête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ED803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VendorName, VendorID, Country, Category, RiskStatus (avec criticality color)</w:t>
            </w:r>
          </w:p>
        </w:tc>
      </w:tr>
      <w:tr w:rsidR="00C930FA" w14:paraId="163989CD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79407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Données générales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6B924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Informations de base (adresse, SIRET/Tax Number, données bancaires, gestionnaire)</w:t>
            </w:r>
          </w:p>
        </w:tc>
      </w:tr>
      <w:tr w:rsidR="00C930FA" w14:paraId="79989265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82A48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Activité &amp; 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AD776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InactivityMonths, RiskScore, LastPODate, LastInvoiceDate, TotalPOAmount, PaymentDelayAvg, DeliveryDelayAvg</w:t>
            </w:r>
          </w:p>
        </w:tc>
      </w:tr>
      <w:tr w:rsidR="00C930FA" w14:paraId="6663573D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5264C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Historique des 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B2A52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Table des derniers Bons de Commande (Date, Numéro, Montant, Statut)</w:t>
            </w:r>
          </w:p>
        </w:tc>
      </w:tr>
      <w:tr w:rsidR="00C930FA" w14:paraId="53FAD8D0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6BBFF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Historique des Factures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6CA46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Table des dernières Factures (Date, Numéro, Montant, Statut paiement, Retard)</w:t>
            </w:r>
          </w:p>
        </w:tc>
      </w:tr>
      <w:tr w:rsidR="00C930FA" w14:paraId="372FA750" w14:textId="77777777" w:rsidTr="002A6A6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C874A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Indicateurs graphiques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F1905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Graphique barres : évolution mensuelle du montant PO sur 12 mois</w:t>
            </w:r>
          </w:p>
        </w:tc>
      </w:tr>
    </w:tbl>
    <w:p w14:paraId="4D2CAC37" w14:textId="77777777" w:rsidR="00C930FA" w:rsidRDefault="00C930FA" w:rsidP="00C930FA">
      <w:pPr>
        <w:spacing w:after="80"/>
      </w:pPr>
    </w:p>
    <w:p w14:paraId="764E05D1" w14:textId="1279C7B4" w:rsidR="00C930FA" w:rsidRDefault="00C930FA" w:rsidP="00C930FA">
      <w:pPr>
        <w:pStyle w:val="Titre4"/>
      </w:pPr>
      <w:r>
        <w:rPr>
          <w:rFonts w:eastAsia="Arial"/>
        </w:rPr>
        <w:t xml:space="preserve">3.2.3 </w:t>
      </w:r>
      <w:r w:rsidRPr="00C930FA">
        <w:t>Règles de gestion</w:t>
      </w:r>
    </w:p>
    <w:p w14:paraId="75DE4A78" w14:textId="35014AD6" w:rsidR="00C930FA" w:rsidRDefault="00C930FA" w:rsidP="00C930FA">
      <w:pPr>
        <w:pStyle w:val="Paragraphedeliste"/>
        <w:numPr>
          <w:ilvl w:val="0"/>
          <w:numId w:val="5"/>
        </w:numPr>
      </w:pPr>
      <w:r>
        <w:t>Le champ PaymentDelayAvg est calculé côté CAP : moyenne des (DatePaiementRéel - DatePaiementDue) en jours sur les 24 derniers mois.</w:t>
      </w:r>
    </w:p>
    <w:p w14:paraId="6BDBD5C7" w14:textId="6A46DDF7" w:rsidR="00C930FA" w:rsidRDefault="00C930FA" w:rsidP="00C930FA">
      <w:pPr>
        <w:pStyle w:val="Paragraphedeliste"/>
        <w:numPr>
          <w:ilvl w:val="0"/>
          <w:numId w:val="5"/>
        </w:numPr>
      </w:pPr>
      <w:r>
        <w:t>Le champ DeliveryDelayAvg est calculé côté CAP : moyenne des (DateLivraisonRéelle - DateLivraisonPrevue) en jours sur les 24 derniers mois.</w:t>
      </w:r>
    </w:p>
    <w:p w14:paraId="3F5CE92C" w14:textId="0DE526A6" w:rsidR="00C930FA" w:rsidRDefault="00C930FA" w:rsidP="00C930FA">
      <w:pPr>
        <w:pStyle w:val="Paragraphedeliste"/>
        <w:numPr>
          <w:ilvl w:val="0"/>
          <w:numId w:val="5"/>
        </w:numPr>
      </w:pPr>
      <w:r>
        <w:t>Les tables PO et Factures affichent les 10 derniers éléments triés par date descendante.</w:t>
      </w:r>
    </w:p>
    <w:p w14:paraId="43C585C8" w14:textId="77777777" w:rsidR="00C930FA" w:rsidRDefault="00C930FA" w:rsidP="00C930FA"/>
    <w:p w14:paraId="36869BE4" w14:textId="1431C06F" w:rsidR="00C930FA" w:rsidRDefault="00C930FA" w:rsidP="00C930FA">
      <w:pPr>
        <w:pStyle w:val="Titre4"/>
      </w:pPr>
      <w:r>
        <w:rPr>
          <w:rFonts w:eastAsia="Arial"/>
        </w:rPr>
        <w:t xml:space="preserve">3.2.4 </w:t>
      </w:r>
      <w:r>
        <w:t>Comportement de l’interface</w:t>
      </w:r>
    </w:p>
    <w:p w14:paraId="46C8D86B" w14:textId="02D46294" w:rsidR="00C930FA" w:rsidRDefault="00C930FA" w:rsidP="00C930FA">
      <w:pPr>
        <w:pStyle w:val="Paragraphedeliste"/>
        <w:numPr>
          <w:ilvl w:val="0"/>
          <w:numId w:val="6"/>
        </w:numPr>
      </w:pPr>
      <w:r>
        <w:t>L’Object Page respecte le layout standard Fiori Elements (2 colonnes sur desktop, 1 colonne sur mobile).</w:t>
      </w:r>
    </w:p>
    <w:p w14:paraId="22235B3D" w14:textId="47374BB7" w:rsidR="00C930FA" w:rsidRDefault="00C930FA" w:rsidP="00C930FA">
      <w:pPr>
        <w:pStyle w:val="Paragraphedeliste"/>
        <w:numPr>
          <w:ilvl w:val="0"/>
          <w:numId w:val="6"/>
        </w:numPr>
      </w:pPr>
      <w:r>
        <w:lastRenderedPageBreak/>
        <w:t>La section « Indicateurs graphiques » utilise un @UI.Chart de type Bar.</w:t>
      </w:r>
    </w:p>
    <w:p w14:paraId="085B035C" w14:textId="2D55D3ED" w:rsidR="00C930FA" w:rsidRDefault="00C930FA" w:rsidP="006B3C6E">
      <w:pPr>
        <w:pStyle w:val="Paragraphedeliste"/>
        <w:numPr>
          <w:ilvl w:val="0"/>
          <w:numId w:val="6"/>
        </w:numPr>
      </w:pPr>
      <w:r>
        <w:t>Les champs avec valeurs manquantes affichent un placeholder « N/A ».</w:t>
      </w:r>
    </w:p>
    <w:p w14:paraId="0A7B2B38" w14:textId="03C857D3" w:rsidR="006B3C6E" w:rsidRDefault="006B3C6E">
      <w:pPr>
        <w:spacing w:after="160" w:line="278" w:lineRule="auto"/>
      </w:pPr>
      <w:r>
        <w:br w:type="page"/>
      </w:r>
    </w:p>
    <w:p w14:paraId="59742A6D" w14:textId="422F2392" w:rsidR="006B3C6E" w:rsidRDefault="006B3C6E" w:rsidP="006B3C6E">
      <w:pPr>
        <w:pBdr>
          <w:bottom w:val="single" w:sz="6" w:space="2" w:color="FFFFFF"/>
        </w:pBdr>
        <w:shd w:val="clear" w:color="auto" w:fill="8B0000"/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</w:t>
      </w:r>
      <w:r>
        <w:rPr>
          <w:b/>
          <w:bCs/>
          <w:color w:val="FFFFFF"/>
          <w:sz w:val="32"/>
          <w:szCs w:val="32"/>
        </w:rPr>
        <w:t>4</w:t>
      </w:r>
      <w:r>
        <w:rPr>
          <w:b/>
          <w:bCs/>
          <w:color w:val="FFFFFF"/>
          <w:sz w:val="32"/>
          <w:szCs w:val="32"/>
        </w:rPr>
        <w:t xml:space="preserve">  </w:t>
      </w:r>
      <w:r>
        <w:rPr>
          <w:b/>
          <w:bCs/>
          <w:color w:val="FFFFFF"/>
          <w:sz w:val="28"/>
          <w:szCs w:val="28"/>
        </w:rPr>
        <w:t xml:space="preserve">   </w:t>
      </w:r>
      <w:r w:rsidRPr="006B3C6E">
        <w:rPr>
          <w:b/>
          <w:bCs/>
          <w:color w:val="FFFFFF"/>
          <w:sz w:val="28"/>
          <w:szCs w:val="28"/>
        </w:rPr>
        <w:t>ACTIONS MÉTIER</w:t>
      </w:r>
    </w:p>
    <w:p w14:paraId="588C6B5E" w14:textId="27D968D4" w:rsidR="006B3C6E" w:rsidRDefault="006B3C6E" w:rsidP="006B3C6E">
      <w:pPr>
        <w:pStyle w:val="Titre1"/>
        <w:pBdr>
          <w:bottom w:val="single" w:sz="10" w:space="4" w:color="8B0000"/>
        </w:pBdr>
      </w:pPr>
      <w:r>
        <w:rPr>
          <w:color w:val="8B0000"/>
        </w:rPr>
        <w:t xml:space="preserve">Sprint </w:t>
      </w:r>
      <w:r>
        <w:rPr>
          <w:color w:val="8B0000"/>
        </w:rPr>
        <w:t>4</w:t>
      </w:r>
      <w:r>
        <w:rPr>
          <w:color w:val="8B0000"/>
        </w:rPr>
        <w:t xml:space="preserve"> — </w:t>
      </w:r>
      <w:r w:rsidRPr="006B3C6E">
        <w:rPr>
          <w:color w:val="8B0000"/>
        </w:rPr>
        <w:t>Actions Métier</w:t>
      </w:r>
    </w:p>
    <w:p w14:paraId="5731A7DA" w14:textId="741A228C" w:rsidR="006B3C6E" w:rsidRDefault="006B3C6E" w:rsidP="006B3C6E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color w:val="2C3E50"/>
          <w:sz w:val="24"/>
          <w:szCs w:val="24"/>
        </w:rPr>
        <w:t>Objectif métier – Vision fonctionnelle</w:t>
      </w:r>
    </w:p>
    <w:p w14:paraId="37DDF7B2" w14:textId="1E086FC3" w:rsidR="006B3C6E" w:rsidRPr="00C930FA" w:rsidRDefault="006B3C6E" w:rsidP="006B3C6E">
      <w:r w:rsidRPr="006B3C6E">
        <w:t xml:space="preserve">Le Sprint 4 active les actions métier directement dans l’application </w:t>
      </w:r>
      <w:r>
        <w:t xml:space="preserve">avec le </w:t>
      </w:r>
      <w:r w:rsidRPr="006B3C6E">
        <w:t>blocage, déblocage</w:t>
      </w:r>
      <w:r>
        <w:t xml:space="preserve"> et </w:t>
      </w:r>
      <w:r w:rsidRPr="006B3C6E">
        <w:t>demande de clôture</w:t>
      </w:r>
      <w:r>
        <w:t>.</w:t>
      </w:r>
    </w:p>
    <w:p w14:paraId="287F4BAB" w14:textId="77777777" w:rsidR="00C930FA" w:rsidRDefault="00C930FA" w:rsidP="00C930FA"/>
    <w:p w14:paraId="01C755C2" w14:textId="77777777" w:rsidR="006B3C6E" w:rsidRDefault="006B3C6E" w:rsidP="006B3C6E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32EE79E7" w14:textId="1951414B" w:rsidR="006B3C6E" w:rsidRDefault="006B3C6E" w:rsidP="00C930FA">
      <w:r w:rsidRPr="006B3C6E">
        <w:t>Ajout d’un champ ActionLog (entité associée) pour tracer les actions métier. Extension de l’entité Vendors avec un champ PendingAction.</w:t>
      </w:r>
    </w:p>
    <w:p w14:paraId="5C6F0D73" w14:textId="77777777" w:rsidR="006B3C6E" w:rsidRDefault="006B3C6E" w:rsidP="00C930FA"/>
    <w:p w14:paraId="5519E859" w14:textId="77777777" w:rsidR="006B3C6E" w:rsidRDefault="006B3C6E" w:rsidP="006B3C6E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5DF3709A" w14:textId="34C8C9F2" w:rsidR="006B3C6E" w:rsidRDefault="006B3C6E" w:rsidP="006B3C6E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3.1 Feature 1 — </w:t>
      </w:r>
      <w:r w:rsidRPr="006B3C6E">
        <w:rPr>
          <w:rFonts w:eastAsia="Arial" w:cs="Arial"/>
          <w:b/>
          <w:bCs/>
          <w:color w:val="3D5A73"/>
          <w:sz w:val="22"/>
          <w:szCs w:val="22"/>
        </w:rPr>
        <w:t>Boutons d’action métier</w:t>
      </w:r>
    </w:p>
    <w:p w14:paraId="5F33AEB7" w14:textId="77777777" w:rsidR="006B3C6E" w:rsidRPr="00D17C90" w:rsidRDefault="006B3C6E" w:rsidP="006B3C6E">
      <w:pPr>
        <w:pStyle w:val="Titre4"/>
      </w:pPr>
      <w:r>
        <w:rPr>
          <w:rFonts w:eastAsia="Arial"/>
        </w:rPr>
        <w:t>3.1.1 Description générale</w:t>
      </w:r>
    </w:p>
    <w:p w14:paraId="2E9E5936" w14:textId="40D59E84" w:rsidR="006B3C6E" w:rsidRDefault="003B129D" w:rsidP="00C930FA">
      <w:r w:rsidRPr="003B129D">
        <w:t>Des boutons d’action sont ajoutés dans la List Report (mode sélection multi-lignes) et dans l’Object Page (barre d’actions). Ils permettent de modifier le statut d’un ou plusieurs fournisseurs.</w:t>
      </w:r>
    </w:p>
    <w:p w14:paraId="18342199" w14:textId="77777777" w:rsidR="003B129D" w:rsidRDefault="003B129D" w:rsidP="00C930FA"/>
    <w:p w14:paraId="3BBBE954" w14:textId="60602557" w:rsidR="003B129D" w:rsidRPr="00D17C90" w:rsidRDefault="003B129D" w:rsidP="003B129D">
      <w:pPr>
        <w:pStyle w:val="Titre4"/>
      </w:pPr>
      <w:r>
        <w:rPr>
          <w:rFonts w:eastAsia="Arial"/>
        </w:rPr>
        <w:t>3.1.</w:t>
      </w:r>
      <w:r>
        <w:rPr>
          <w:rFonts w:eastAsia="Arial"/>
        </w:rPr>
        <w:t>2</w:t>
      </w:r>
      <w:r>
        <w:rPr>
          <w:rFonts w:eastAsia="Arial"/>
        </w:rPr>
        <w:t xml:space="preserve"> </w:t>
      </w:r>
      <w:r>
        <w:rPr>
          <w:rFonts w:eastAsia="Arial"/>
        </w:rPr>
        <w:t>Actions disponibles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3B129D" w14:paraId="79A9EFC9" w14:textId="77777777" w:rsidTr="0093507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CE55D" w14:textId="77777777" w:rsidR="003B129D" w:rsidRDefault="003B129D" w:rsidP="00935073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80B8F" w14:textId="77777777" w:rsidR="003B129D" w:rsidRDefault="003B129D" w:rsidP="00935073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Disponible depuis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04091" w14:textId="77777777" w:rsidR="003B129D" w:rsidRDefault="003B129D" w:rsidP="00935073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B129D" w14:paraId="5940DEDF" w14:textId="77777777" w:rsidTr="0093507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0EEA1" w14:textId="77777777" w:rsidR="003B129D" w:rsidRDefault="003B129D" w:rsidP="00935073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Bloquer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F4CAA" w14:textId="77777777" w:rsidR="003B129D" w:rsidRDefault="003B129D" w:rsidP="00935073">
            <w:pPr>
              <w:spacing w:after="100"/>
            </w:pPr>
            <w:r>
              <w:rPr>
                <w:sz w:val="18"/>
                <w:szCs w:val="18"/>
              </w:rPr>
              <w:t>List Report + Object Page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CD5BF" w14:textId="77777777" w:rsidR="003B129D" w:rsidRDefault="003B129D" w:rsidP="00935073">
            <w:pPr>
              <w:spacing w:after="100"/>
            </w:pPr>
            <w:r>
              <w:rPr>
                <w:sz w:val="18"/>
                <w:szCs w:val="18"/>
              </w:rPr>
              <w:t>Passe le BlockingStatus à 'Bloqué'. Applicable sur une sélection multiple depuis la List Report. Exécute une action CAP bound.</w:t>
            </w:r>
          </w:p>
        </w:tc>
      </w:tr>
      <w:tr w:rsidR="003B129D" w14:paraId="0547F715" w14:textId="77777777" w:rsidTr="0093507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2ECBA" w14:textId="77777777" w:rsidR="003B129D" w:rsidRDefault="003B129D" w:rsidP="00935073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Débloquer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05BA2" w14:textId="77777777" w:rsidR="003B129D" w:rsidRDefault="003B129D" w:rsidP="00935073">
            <w:pPr>
              <w:spacing w:after="100"/>
            </w:pPr>
            <w:r>
              <w:rPr>
                <w:sz w:val="18"/>
                <w:szCs w:val="18"/>
              </w:rPr>
              <w:t>List Report + Object Page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83B4F" w14:textId="77777777" w:rsidR="003B129D" w:rsidRDefault="003B129D" w:rsidP="00935073">
            <w:pPr>
              <w:spacing w:after="100"/>
            </w:pPr>
            <w:r>
              <w:rPr>
                <w:sz w:val="18"/>
                <w:szCs w:val="18"/>
              </w:rPr>
              <w:t>Passe le BlockingStatus à 'Actif'. Même mécanisme que Bloquer.</w:t>
            </w:r>
          </w:p>
        </w:tc>
      </w:tr>
      <w:tr w:rsidR="003B129D" w14:paraId="1FE0491B" w14:textId="77777777" w:rsidTr="0093507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E88A4" w14:textId="77777777" w:rsidR="003B129D" w:rsidRDefault="003B129D" w:rsidP="00935073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Demande de clôture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CD544" w14:textId="77777777" w:rsidR="003B129D" w:rsidRDefault="003B129D" w:rsidP="00935073">
            <w:pPr>
              <w:spacing w:after="100"/>
            </w:pPr>
            <w:r>
              <w:rPr>
                <w:sz w:val="18"/>
                <w:szCs w:val="18"/>
              </w:rPr>
              <w:t>List Report + Object Page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E7BCD" w14:textId="77777777" w:rsidR="003B129D" w:rsidRDefault="003B129D" w:rsidP="00935073">
            <w:pPr>
              <w:spacing w:after="100"/>
            </w:pPr>
            <w:r>
              <w:rPr>
                <w:sz w:val="18"/>
                <w:szCs w:val="18"/>
              </w:rPr>
              <w:t>Passe BlockingStatus à 'En cours de clôture' et crée une entrée dans ActionLog avec la date, l’utilisateur et le motif (dialog de confirmation requis).</w:t>
            </w:r>
          </w:p>
        </w:tc>
      </w:tr>
    </w:tbl>
    <w:p w14:paraId="5EAA062E" w14:textId="77777777" w:rsidR="003B129D" w:rsidRDefault="003B129D" w:rsidP="003B129D"/>
    <w:p w14:paraId="40CB6A51" w14:textId="77777777" w:rsidR="003B129D" w:rsidRDefault="003B129D" w:rsidP="003B129D">
      <w:pPr>
        <w:pStyle w:val="Titre4"/>
      </w:pPr>
      <w:r>
        <w:t>6.3.1.3 Règles de gestion</w:t>
      </w:r>
    </w:p>
    <w:p w14:paraId="56BA8CE7" w14:textId="78726292" w:rsidR="003B129D" w:rsidRDefault="003B129D" w:rsidP="003B129D">
      <w:pPr>
        <w:pStyle w:val="Paragraphedeliste"/>
        <w:numPr>
          <w:ilvl w:val="0"/>
          <w:numId w:val="7"/>
        </w:numPr>
      </w:pPr>
      <w:r>
        <w:t>L’action « Bloquer » est désactivée si le fournisseur est déjà Bloqué (via @Core.OperationAvailable).</w:t>
      </w:r>
    </w:p>
    <w:p w14:paraId="4DBC4DD6" w14:textId="4739A0B8" w:rsidR="003B129D" w:rsidRDefault="003B129D" w:rsidP="003B129D">
      <w:pPr>
        <w:pStyle w:val="Paragraphedeliste"/>
        <w:numPr>
          <w:ilvl w:val="0"/>
          <w:numId w:val="7"/>
        </w:numPr>
      </w:pPr>
      <w:r>
        <w:t>L’action « Débloquer » est désactivée si le fournisseur est Actif.</w:t>
      </w:r>
    </w:p>
    <w:p w14:paraId="4C02F55D" w14:textId="51E3743C" w:rsidR="003B129D" w:rsidRDefault="003B129D" w:rsidP="003B129D">
      <w:pPr>
        <w:pStyle w:val="Paragraphedeliste"/>
        <w:numPr>
          <w:ilvl w:val="0"/>
          <w:numId w:val="7"/>
        </w:numPr>
      </w:pPr>
      <w:r>
        <w:t>L’action « Demande de clôture » nécessite une confirmation via un dialog (MessageBox Fiori) avec saisie obligatoire d’un motif.</w:t>
      </w:r>
    </w:p>
    <w:p w14:paraId="288BDCD5" w14:textId="755AC0D2" w:rsidR="003B129D" w:rsidRDefault="003B129D" w:rsidP="003B129D">
      <w:pPr>
        <w:pStyle w:val="Paragraphedeliste"/>
        <w:numPr>
          <w:ilvl w:val="0"/>
          <w:numId w:val="7"/>
        </w:numPr>
      </w:pPr>
      <w:r>
        <w:t>Toutes les actions sont tracées dans l’entité ActionLog (VendorID, Action, Date, Utilisateur, Motif).</w:t>
      </w:r>
    </w:p>
    <w:p w14:paraId="18A3AE60" w14:textId="78E42269" w:rsidR="003B129D" w:rsidRDefault="003B129D" w:rsidP="003B129D">
      <w:pPr>
        <w:pStyle w:val="Paragraphedeliste"/>
        <w:numPr>
          <w:ilvl w:val="0"/>
          <w:numId w:val="7"/>
        </w:numPr>
      </w:pPr>
      <w:r>
        <w:t xml:space="preserve">Les actions sont implémentées comme </w:t>
      </w:r>
    </w:p>
    <w:p w14:paraId="5A6547EE" w14:textId="6D15D863" w:rsidR="003B129D" w:rsidRDefault="003B129D" w:rsidP="003B129D">
      <w:pPr>
        <w:pStyle w:val="Paragraphedeliste"/>
        <w:numPr>
          <w:ilvl w:val="1"/>
          <w:numId w:val="7"/>
        </w:numPr>
      </w:pPr>
      <w:r>
        <w:t>Bound Actions CAP (sur l’entité Vendors)</w:t>
      </w:r>
    </w:p>
    <w:p w14:paraId="7A8551FE" w14:textId="77777777" w:rsidR="003B129D" w:rsidRDefault="003B129D" w:rsidP="003B129D"/>
    <w:p w14:paraId="67A789FD" w14:textId="77777777" w:rsidR="003B129D" w:rsidRDefault="003B129D" w:rsidP="003B129D">
      <w:pPr>
        <w:pStyle w:val="Titre4"/>
      </w:pPr>
      <w:r>
        <w:t>6.3.1.4 Comportement de l’Interface</w:t>
      </w:r>
    </w:p>
    <w:p w14:paraId="21658D8C" w14:textId="4CC2B68D" w:rsidR="003B129D" w:rsidRDefault="003B129D" w:rsidP="003B129D">
      <w:pPr>
        <w:pStyle w:val="Paragraphedeliste"/>
        <w:numPr>
          <w:ilvl w:val="0"/>
          <w:numId w:val="8"/>
        </w:numPr>
      </w:pPr>
      <w:r>
        <w:t>Les boutons d’action sont rendus via @UI.DataFieldForAction dans les annotations.</w:t>
      </w:r>
    </w:p>
    <w:p w14:paraId="4FF3F725" w14:textId="5307940A" w:rsidR="003B129D" w:rsidRDefault="003B129D" w:rsidP="003B129D">
      <w:pPr>
        <w:pStyle w:val="Paragraphedeliste"/>
        <w:numPr>
          <w:ilvl w:val="0"/>
          <w:numId w:val="8"/>
        </w:numPr>
      </w:pPr>
      <w:r>
        <w:t>Après exécution, la liste / l’Object Page se rafraîchit automatiquement.</w:t>
      </w:r>
    </w:p>
    <w:p w14:paraId="7B49E251" w14:textId="49B36F3C" w:rsidR="003B129D" w:rsidRDefault="003B129D" w:rsidP="003B129D">
      <w:pPr>
        <w:pStyle w:val="Paragraphedeliste"/>
        <w:numPr>
          <w:ilvl w:val="0"/>
          <w:numId w:val="8"/>
        </w:numPr>
      </w:pPr>
      <w:r>
        <w:t>Un message toast « Action réalisée avec succès » s’affiche en retour positif.</w:t>
      </w:r>
    </w:p>
    <w:p w14:paraId="4A3DF106" w14:textId="77777777" w:rsidR="009C532F" w:rsidRDefault="009C532F" w:rsidP="009C532F"/>
    <w:p w14:paraId="36051117" w14:textId="6138092A" w:rsidR="009C532F" w:rsidRDefault="009C532F" w:rsidP="009C532F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3.</w:t>
      </w:r>
      <w:r>
        <w:rPr>
          <w:rFonts w:eastAsia="Arial" w:cs="Arial"/>
          <w:b/>
          <w:bCs/>
          <w:color w:val="3D5A73"/>
          <w:sz w:val="22"/>
          <w:szCs w:val="22"/>
        </w:rPr>
        <w:t>2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Feature </w:t>
      </w:r>
      <w:r>
        <w:rPr>
          <w:rFonts w:eastAsia="Arial" w:cs="Arial"/>
          <w:b/>
          <w:bCs/>
          <w:color w:val="3D5A73"/>
          <w:sz w:val="22"/>
          <w:szCs w:val="22"/>
        </w:rPr>
        <w:t>2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— </w:t>
      </w:r>
      <w:r>
        <w:rPr>
          <w:rFonts w:eastAsia="Arial" w:cs="Arial"/>
          <w:b/>
          <w:bCs/>
          <w:color w:val="3D5A73"/>
          <w:sz w:val="22"/>
          <w:szCs w:val="22"/>
        </w:rPr>
        <w:t>Evolutions de l’En-tête de Synthèse (</w:t>
      </w:r>
      <w:r w:rsidRPr="009C532F">
        <w:rPr>
          <w:rFonts w:eastAsia="Arial" w:cs="Arial"/>
          <w:b/>
          <w:bCs/>
          <w:color w:val="3D5A73"/>
          <w:sz w:val="22"/>
          <w:szCs w:val="22"/>
        </w:rPr>
        <w:t>MicroCharts &amp; Nouveaux KPI</w:t>
      </w:r>
      <w:r>
        <w:rPr>
          <w:rFonts w:eastAsia="Arial" w:cs="Arial"/>
          <w:b/>
          <w:bCs/>
          <w:color w:val="3D5A73"/>
          <w:sz w:val="22"/>
          <w:szCs w:val="22"/>
        </w:rPr>
        <w:t>)</w:t>
      </w:r>
    </w:p>
    <w:p w14:paraId="0B4DAE2E" w14:textId="67803EBA" w:rsidR="009C532F" w:rsidRPr="00D17C90" w:rsidRDefault="009C532F" w:rsidP="009C532F">
      <w:pPr>
        <w:pStyle w:val="Titre4"/>
      </w:pPr>
      <w:r>
        <w:rPr>
          <w:rFonts w:eastAsia="Arial"/>
        </w:rPr>
        <w:t>3.</w:t>
      </w:r>
      <w:r>
        <w:rPr>
          <w:rFonts w:eastAsia="Arial"/>
        </w:rPr>
        <w:t>2</w:t>
      </w:r>
      <w:r>
        <w:rPr>
          <w:rFonts w:eastAsia="Arial"/>
        </w:rPr>
        <w:t>.1 Description générale</w:t>
      </w:r>
    </w:p>
    <w:p w14:paraId="66BF571F" w14:textId="77777777" w:rsidR="009C532F" w:rsidRDefault="009C532F" w:rsidP="009C532F">
      <w:r>
        <w:t>Dans le cadre de l'amélioration continue de l'expérience utilisateur, l'en-tête de synthèse (Header Facet) de la List Report évolue. Les indicateurs purement numériques (tels que le pourcentage de fournisseurs bloqués ) sont remplacés ou complétés par des graphiques interactifs de type « MicroCharts » .</w:t>
      </w:r>
    </w:p>
    <w:p w14:paraId="5CD36CE2" w14:textId="557E2B55" w:rsidR="009C532F" w:rsidRDefault="009C532F" w:rsidP="009C532F">
      <w:r>
        <w:t>L’objectif est d'offrir à l'acheteur une lecture analytique immédiate du référentiel, de visualiser rapidement la distribution de la « Long Tail » et d'identifier l'impact financier des fournisseurs à risque.</w:t>
      </w:r>
    </w:p>
    <w:p w14:paraId="1DC56025" w14:textId="77777777" w:rsidR="009C532F" w:rsidRDefault="009C532F" w:rsidP="009C532F"/>
    <w:p w14:paraId="5D8992CB" w14:textId="24D2DC61" w:rsidR="009C532F" w:rsidRDefault="009C532F" w:rsidP="009C532F">
      <w:pPr>
        <w:pStyle w:val="Titre4"/>
      </w:pPr>
      <w:r w:rsidRPr="009C532F">
        <w:lastRenderedPageBreak/>
        <w:t>3.</w:t>
      </w:r>
      <w:r>
        <w:t>2</w:t>
      </w:r>
      <w:r w:rsidRPr="009C532F">
        <w:t>.2 Indicateurs graphiques (MicroCharts)</w:t>
      </w:r>
    </w:p>
    <w:p w14:paraId="7A4CF8D9" w14:textId="1E4437D4" w:rsidR="009C532F" w:rsidRDefault="009C532F" w:rsidP="009C532F">
      <w:r w:rsidRPr="009C532F">
        <w:t>Les graphiques suivants sont intégrés dans l'en-tête de la List Report et agissent comme des filtres visuels interactifs :</w:t>
      </w: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532"/>
        <w:gridCol w:w="2046"/>
        <w:gridCol w:w="1843"/>
        <w:gridCol w:w="2777"/>
      </w:tblGrid>
      <w:tr w:rsidR="009C532F" w14:paraId="3717C65C" w14:textId="6E5762A9" w:rsidTr="009C532F">
        <w:tblPrEx>
          <w:tblCellMar>
            <w:top w:w="0" w:type="dxa"/>
            <w:bottom w:w="0" w:type="dxa"/>
          </w:tblCellMar>
        </w:tblPrEx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80437" w14:textId="4FD21E23" w:rsidR="009C532F" w:rsidRPr="009C532F" w:rsidRDefault="009C532F" w:rsidP="009C532F">
            <w:pPr>
              <w:spacing w:after="100"/>
              <w:rPr>
                <w:b/>
                <w:bCs/>
                <w:color w:val="FFFFFF" w:themeColor="background1"/>
              </w:rPr>
            </w:pPr>
            <w:r w:rsidRPr="009C532F">
              <w:rPr>
                <w:b/>
                <w:bCs/>
                <w:color w:val="FFFFFF" w:themeColor="background1"/>
              </w:rPr>
              <w:t>Titre du Graphique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67FC2" w14:textId="4E953D0F" w:rsidR="009C532F" w:rsidRPr="009C532F" w:rsidRDefault="009C532F" w:rsidP="009C532F">
            <w:pPr>
              <w:spacing w:after="100"/>
              <w:rPr>
                <w:b/>
                <w:bCs/>
                <w:color w:val="FFFFFF" w:themeColor="background1"/>
              </w:rPr>
            </w:pPr>
            <w:r w:rsidRPr="009C532F">
              <w:rPr>
                <w:b/>
                <w:bCs/>
                <w:color w:val="FFFFFF" w:themeColor="background1"/>
              </w:rPr>
              <w:t>Type de Contrôle</w:t>
            </w:r>
          </w:p>
        </w:tc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FFDC9" w14:textId="126E77D3" w:rsidR="009C532F" w:rsidRPr="009C532F" w:rsidRDefault="009C532F" w:rsidP="009C532F">
            <w:pPr>
              <w:spacing w:after="100"/>
              <w:rPr>
                <w:b/>
                <w:bCs/>
                <w:color w:val="FFFFFF" w:themeColor="background1"/>
              </w:rPr>
            </w:pPr>
            <w:r w:rsidRPr="009C532F">
              <w:rPr>
                <w:b/>
                <w:bCs/>
                <w:color w:val="FFFFFF" w:themeColor="background1"/>
              </w:rPr>
              <w:t>Dimension (Axe / Catégorie)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</w:tcPr>
          <w:p w14:paraId="1207DEA8" w14:textId="32F78FE7" w:rsidR="009C532F" w:rsidRPr="009C532F" w:rsidRDefault="009C532F" w:rsidP="009C532F">
            <w:pPr>
              <w:spacing w:after="10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9C532F">
              <w:rPr>
                <w:b/>
                <w:bCs/>
                <w:color w:val="FFFFFF" w:themeColor="background1"/>
              </w:rPr>
              <w:t>Mesure (Valeur)</w:t>
            </w:r>
          </w:p>
        </w:tc>
        <w:tc>
          <w:tcPr>
            <w:tcW w:w="2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</w:tcPr>
          <w:p w14:paraId="2970EA60" w14:textId="5E5857E0" w:rsidR="009C532F" w:rsidRPr="009C532F" w:rsidRDefault="009C532F" w:rsidP="009C532F">
            <w:pPr>
              <w:spacing w:after="10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9C532F">
              <w:rPr>
                <w:b/>
                <w:bCs/>
                <w:color w:val="FFFFFF" w:themeColor="background1"/>
              </w:rPr>
              <w:t>Description &amp; Comportement</w:t>
            </w:r>
          </w:p>
        </w:tc>
      </w:tr>
      <w:tr w:rsidR="009C532F" w14:paraId="7F9E76F5" w14:textId="6BDC3DD0" w:rsidTr="009C532F">
        <w:tblPrEx>
          <w:tblCellMar>
            <w:top w:w="0" w:type="dxa"/>
            <w:bottom w:w="0" w:type="dxa"/>
          </w:tblCellMar>
        </w:tblPrEx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21960F" w14:textId="4B0E5FA6" w:rsidR="009C532F" w:rsidRDefault="009C532F" w:rsidP="009C532F">
            <w:pPr>
              <w:spacing w:after="100"/>
            </w:pPr>
            <w:r w:rsidRPr="009C532F">
              <w:rPr>
                <w:b/>
                <w:bCs/>
              </w:rPr>
              <w:t>Répartition par Statut de Blocage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680BB" w14:textId="7E809295" w:rsidR="009C532F" w:rsidRDefault="009C532F" w:rsidP="009C532F">
            <w:pPr>
              <w:spacing w:after="100"/>
            </w:pPr>
            <w:r w:rsidRPr="009C532F">
              <w:t>Donut Chart (Anneau)</w:t>
            </w:r>
          </w:p>
        </w:tc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058A7B" w14:textId="60CDAF7A" w:rsidR="009C532F" w:rsidRDefault="009C532F" w:rsidP="009C532F">
            <w:pPr>
              <w:spacing w:after="100"/>
            </w:pPr>
            <w:r w:rsidRPr="009C532F">
              <w:t xml:space="preserve">BlockingStatus (Actif, Bloqué, En cours de clôture) 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74E109" w14:textId="4DD1D1B5" w:rsidR="009C532F" w:rsidRDefault="009C532F" w:rsidP="009C532F">
            <w:pPr>
              <w:spacing w:after="100"/>
              <w:rPr>
                <w:sz w:val="18"/>
                <w:szCs w:val="18"/>
              </w:rPr>
            </w:pPr>
            <w:r w:rsidRPr="009C532F">
              <w:t>Nombre de fournisseurs (Count)</w:t>
            </w:r>
          </w:p>
        </w:tc>
        <w:tc>
          <w:tcPr>
            <w:tcW w:w="2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3C45B3" w14:textId="0566E64C" w:rsidR="009C532F" w:rsidRDefault="009C532F" w:rsidP="009C532F">
            <w:pPr>
              <w:spacing w:after="100"/>
              <w:rPr>
                <w:sz w:val="18"/>
                <w:szCs w:val="18"/>
              </w:rPr>
            </w:pPr>
            <w:r w:rsidRPr="009C532F">
              <w:t>Remplace l'ancien KPI "% Bloqués". Affiche la part de chaque statut. Un clic sur une section (ex. "Bloqué") filtre automatiquement la liste.</w:t>
            </w:r>
          </w:p>
        </w:tc>
      </w:tr>
      <w:tr w:rsidR="009C532F" w14:paraId="7D93B737" w14:textId="524AEF05" w:rsidTr="009C532F">
        <w:tblPrEx>
          <w:tblCellMar>
            <w:top w:w="0" w:type="dxa"/>
            <w:bottom w:w="0" w:type="dxa"/>
          </w:tblCellMar>
        </w:tblPrEx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4692E1" w14:textId="698A901B" w:rsidR="009C532F" w:rsidRDefault="009C532F" w:rsidP="009C532F">
            <w:pPr>
              <w:spacing w:after="100"/>
            </w:pPr>
            <w:r w:rsidRPr="009C532F">
              <w:rPr>
                <w:b/>
                <w:bCs/>
              </w:rPr>
              <w:t>Répartition des Niveaux de Risque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7DC7F0" w14:textId="0F224A4C" w:rsidR="009C532F" w:rsidRDefault="009C532F" w:rsidP="009C532F">
            <w:pPr>
              <w:spacing w:after="100"/>
            </w:pPr>
            <w:r w:rsidRPr="009C532F">
              <w:t>Pie Chart (Secteurs)</w:t>
            </w:r>
          </w:p>
        </w:tc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6C01F3" w14:textId="7146B5F3" w:rsidR="009C532F" w:rsidRDefault="009C532F" w:rsidP="009C532F">
            <w:pPr>
              <w:spacing w:after="100"/>
            </w:pPr>
            <w:r w:rsidRPr="009C532F">
              <w:t xml:space="preserve">RiskStatus (Faible, Modéré, Élevé) 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D314B1" w14:textId="40BF30E0" w:rsidR="009C532F" w:rsidRDefault="009C532F" w:rsidP="009C532F">
            <w:pPr>
              <w:spacing w:after="100"/>
              <w:rPr>
                <w:sz w:val="18"/>
                <w:szCs w:val="18"/>
              </w:rPr>
            </w:pPr>
            <w:r w:rsidRPr="009C532F">
              <w:t>Nombre de fournisseurs (Count)</w:t>
            </w:r>
          </w:p>
        </w:tc>
        <w:tc>
          <w:tcPr>
            <w:tcW w:w="2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C06A8F" w14:textId="01C2D61F" w:rsidR="009C532F" w:rsidRDefault="009C532F" w:rsidP="009C532F">
            <w:pPr>
              <w:spacing w:after="100"/>
              <w:rPr>
                <w:sz w:val="18"/>
                <w:szCs w:val="18"/>
              </w:rPr>
            </w:pPr>
            <w:r w:rsidRPr="009C532F">
              <w:t>Permet de visualiser la proportion du référentiel à risque. Les couleurs doivent respecter l'annotation @UI.Criticality (Vert, Orange, Rouge).</w:t>
            </w:r>
          </w:p>
        </w:tc>
      </w:tr>
      <w:tr w:rsidR="009C532F" w14:paraId="200C81F0" w14:textId="33C4BE53" w:rsidTr="009C532F">
        <w:tblPrEx>
          <w:tblCellMar>
            <w:top w:w="0" w:type="dxa"/>
            <w:bottom w:w="0" w:type="dxa"/>
          </w:tblCellMar>
        </w:tblPrEx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E8C76C" w14:textId="53FD6B36" w:rsidR="009C532F" w:rsidRDefault="009C532F" w:rsidP="009C532F">
            <w:pPr>
              <w:spacing w:after="100"/>
            </w:pPr>
            <w:r w:rsidRPr="009C532F">
              <w:rPr>
                <w:b/>
                <w:bCs/>
              </w:rPr>
              <w:t>Analyse de l'Inactivité (Long Tail)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373940" w14:textId="6DD3BA86" w:rsidR="009C532F" w:rsidRDefault="009C532F" w:rsidP="009C532F">
            <w:pPr>
              <w:spacing w:after="100"/>
            </w:pPr>
            <w:r w:rsidRPr="009C532F">
              <w:t>Bar Chart (Barres)</w:t>
            </w:r>
          </w:p>
        </w:tc>
        <w:tc>
          <w:tcPr>
            <w:tcW w:w="2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C1CE0" w14:textId="30AB9E92" w:rsidR="009C532F" w:rsidRDefault="009C532F" w:rsidP="009C532F">
            <w:pPr>
              <w:spacing w:after="100"/>
            </w:pPr>
            <w:r w:rsidRPr="009C532F">
              <w:t xml:space="preserve">Tranches d'inactivité basées sur InactivityMonths (&lt; 6 mois, 6-12 mois, &gt; 12 mois) 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B138A4" w14:textId="42EF1CAF" w:rsidR="009C532F" w:rsidRDefault="009C532F" w:rsidP="009C532F">
            <w:pPr>
              <w:spacing w:after="100"/>
              <w:rPr>
                <w:sz w:val="18"/>
                <w:szCs w:val="18"/>
              </w:rPr>
            </w:pPr>
            <w:r w:rsidRPr="009C532F">
              <w:t>Nombre de fournisseurs (Count)</w:t>
            </w:r>
          </w:p>
        </w:tc>
        <w:tc>
          <w:tcPr>
            <w:tcW w:w="27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C64FD8" w14:textId="6A2C30A6" w:rsidR="009C532F" w:rsidRDefault="009C532F" w:rsidP="009C532F">
            <w:pPr>
              <w:spacing w:after="100"/>
              <w:rPr>
                <w:sz w:val="18"/>
                <w:szCs w:val="18"/>
              </w:rPr>
            </w:pPr>
            <w:r w:rsidRPr="009C532F">
              <w:t>Permet d'identifier visuellement le volume du "ventre mou" du référentiel (les inactifs et sous-actifs).</w:t>
            </w:r>
          </w:p>
        </w:tc>
      </w:tr>
    </w:tbl>
    <w:p w14:paraId="61CA9140" w14:textId="77777777" w:rsidR="009C532F" w:rsidRDefault="009C532F" w:rsidP="009C532F"/>
    <w:p w14:paraId="3F09F5ED" w14:textId="5CD5924C" w:rsidR="009C532F" w:rsidRDefault="009C532F" w:rsidP="009C532F">
      <w:pPr>
        <w:pStyle w:val="Titre4"/>
      </w:pPr>
      <w:r w:rsidRPr="009C532F">
        <w:t>3.</w:t>
      </w:r>
      <w:r>
        <w:t>2</w:t>
      </w:r>
      <w:r w:rsidRPr="009C532F">
        <w:t>.</w:t>
      </w:r>
      <w:r>
        <w:t>3</w:t>
      </w:r>
      <w:r w:rsidRPr="009C532F">
        <w:t xml:space="preserve"> </w:t>
      </w:r>
      <w:r>
        <w:t>Nouveaux indicateurs numériques (KPI)</w:t>
      </w:r>
    </w:p>
    <w:p w14:paraId="2A188852" w14:textId="113C35B7" w:rsidR="009C532F" w:rsidRDefault="009C532F" w:rsidP="009C532F">
      <w:r w:rsidRPr="009C532F">
        <w:t>Afin de compléter la vision volumétrique (nombre de fournisseurs) par une vision orientée "Impact", un nouveau KPI financier est ajouté à l'en-tête :</w:t>
      </w:r>
    </w:p>
    <w:p w14:paraId="741BA4CB" w14:textId="77777777" w:rsidR="009C532F" w:rsidRDefault="009C532F" w:rsidP="009C532F"/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3305"/>
        <w:gridCol w:w="4961"/>
      </w:tblGrid>
      <w:tr w:rsidR="009C532F" w14:paraId="1B612305" w14:textId="77777777" w:rsidTr="009C532F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1E6401" w14:textId="23A56D58" w:rsidR="009C532F" w:rsidRPr="009C532F" w:rsidRDefault="009C532F" w:rsidP="009C532F">
            <w:pPr>
              <w:spacing w:after="100"/>
              <w:rPr>
                <w:b/>
                <w:bCs/>
                <w:color w:val="FFFFFF" w:themeColor="background1"/>
              </w:rPr>
            </w:pPr>
            <w:r w:rsidRPr="009C532F">
              <w:rPr>
                <w:b/>
                <w:bCs/>
                <w:color w:val="FFFFFF" w:themeColor="background1"/>
              </w:rPr>
              <w:t>Nom du KPI</w:t>
            </w:r>
          </w:p>
        </w:tc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EF6BBA" w14:textId="3EA0FB6B" w:rsidR="009C532F" w:rsidRPr="009C532F" w:rsidRDefault="009C532F" w:rsidP="009C532F">
            <w:pPr>
              <w:spacing w:after="100"/>
              <w:rPr>
                <w:b/>
                <w:bCs/>
                <w:color w:val="FFFFFF" w:themeColor="background1"/>
              </w:rPr>
            </w:pPr>
            <w:r w:rsidRPr="009C532F">
              <w:rPr>
                <w:b/>
                <w:bCs/>
                <w:color w:val="FFFFFF" w:themeColor="background1"/>
              </w:rPr>
              <w:t>Règle de calcul (Business Rule)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4B7F5" w14:textId="0ACC0EF0" w:rsidR="009C532F" w:rsidRPr="009C532F" w:rsidRDefault="009C532F" w:rsidP="009C532F">
            <w:pPr>
              <w:spacing w:after="100"/>
              <w:rPr>
                <w:b/>
                <w:bCs/>
                <w:color w:val="FFFFFF" w:themeColor="background1"/>
              </w:rPr>
            </w:pPr>
            <w:r w:rsidRPr="009C532F">
              <w:rPr>
                <w:b/>
                <w:bCs/>
                <w:color w:val="FFFFFF" w:themeColor="background1"/>
              </w:rPr>
              <w:t>Comportement de l'Interface</w:t>
            </w:r>
          </w:p>
        </w:tc>
      </w:tr>
      <w:tr w:rsidR="009C532F" w14:paraId="46FB9F00" w14:textId="77777777" w:rsidTr="009C532F">
        <w:tblPrEx>
          <w:tblCellMar>
            <w:top w:w="0" w:type="dxa"/>
            <w:bottom w:w="0" w:type="dxa"/>
          </w:tblCellMar>
        </w:tblPrEx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8929D7" w14:textId="46A8B66C" w:rsidR="009C532F" w:rsidRDefault="009C532F" w:rsidP="009C532F">
            <w:pPr>
              <w:spacing w:after="100"/>
            </w:pPr>
            <w:r w:rsidRPr="009C532F">
              <w:rPr>
                <w:b/>
                <w:bCs/>
              </w:rPr>
              <w:t>Montant des Commandes à Risque</w:t>
            </w:r>
          </w:p>
        </w:tc>
        <w:tc>
          <w:tcPr>
            <w:tcW w:w="3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1711B2" w14:textId="17762DB0" w:rsidR="009C532F" w:rsidRDefault="009C532F" w:rsidP="009C532F">
            <w:pPr>
              <w:spacing w:after="100"/>
            </w:pPr>
            <w:r w:rsidRPr="009C532F">
              <w:t>Somme du TotalPOAmount conditionnée par les fournisseurs ayant un RiskStatus égal à "Élevé".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0EA56B" w14:textId="05A3F358" w:rsidR="009C532F" w:rsidRDefault="009C532F" w:rsidP="009C532F">
            <w:pPr>
              <w:spacing w:after="100"/>
            </w:pPr>
            <w:r w:rsidRPr="009C532F">
              <w:t>Affichage sous forme de tuile numérique avec la devise (ex: "450 000 €"). Le texte s'affiche en rouge (@UI.Criticality Negative) avec une icône d'alerte.</w:t>
            </w:r>
          </w:p>
        </w:tc>
      </w:tr>
    </w:tbl>
    <w:p w14:paraId="5847EE8B" w14:textId="77777777" w:rsidR="009C532F" w:rsidRDefault="009C532F" w:rsidP="009C532F"/>
    <w:p w14:paraId="0C81E0C9" w14:textId="77777777" w:rsidR="009C532F" w:rsidRDefault="009C532F" w:rsidP="009C532F"/>
    <w:p w14:paraId="079B609D" w14:textId="4F4856CE" w:rsidR="009C532F" w:rsidRDefault="009C532F" w:rsidP="009C532F">
      <w:pPr>
        <w:pStyle w:val="Titre4"/>
      </w:pPr>
      <w:r>
        <w:t>3.</w:t>
      </w:r>
      <w:r>
        <w:t>2</w:t>
      </w:r>
      <w:r>
        <w:t>.4 Comportement de l'Interface &amp; Règles techniques</w:t>
      </w:r>
    </w:p>
    <w:p w14:paraId="261D2CC4" w14:textId="0A0745FF" w:rsidR="009C532F" w:rsidRDefault="009C532F" w:rsidP="009C532F">
      <w:pPr>
        <w:pStyle w:val="Paragraphedeliste"/>
        <w:numPr>
          <w:ilvl w:val="0"/>
          <w:numId w:val="9"/>
        </w:numPr>
      </w:pPr>
      <w:r>
        <w:t>L’en-tête graphique est implémenté via les annotations @UI.Chart associées à des @UI.PresentationVariant dans le fichier annotations.cds.</w:t>
      </w:r>
    </w:p>
    <w:p w14:paraId="03C0EC67" w14:textId="67980D6F" w:rsidR="009C532F" w:rsidRDefault="009C532F" w:rsidP="009C532F">
      <w:pPr>
        <w:pStyle w:val="Paragraphedeliste"/>
        <w:numPr>
          <w:ilvl w:val="0"/>
          <w:numId w:val="9"/>
        </w:numPr>
      </w:pPr>
      <w:r>
        <w:t>Les graphiques (MicroCharts) sont cliquables. Sélectionner une catégorie dans un graphique (ex: cliquer sur la barre "&gt; 12 mois") met à jour dynamiquement le tableau de la List Report en appliquant ce filtre.</w:t>
      </w:r>
    </w:p>
    <w:p w14:paraId="4BC82D5B" w14:textId="1B39DD3F" w:rsidR="009C532F" w:rsidRDefault="009C532F" w:rsidP="009C532F">
      <w:pPr>
        <w:pStyle w:val="Paragraphedeliste"/>
        <w:numPr>
          <w:ilvl w:val="0"/>
          <w:numId w:val="9"/>
        </w:numPr>
      </w:pPr>
      <w:r>
        <w:t>Les valeurs et les graphiques sont recalculés automatiquement à chaque rafraîchissement de la liste ou lors de l'application d'un filtre dans la Filter Bar.</w:t>
      </w:r>
    </w:p>
    <w:p w14:paraId="3A1E8DF0" w14:textId="77777777" w:rsidR="009C532F" w:rsidRDefault="009C532F" w:rsidP="009C532F"/>
    <w:p w14:paraId="1DA36331" w14:textId="77777777" w:rsidR="009C532F" w:rsidRDefault="009C532F" w:rsidP="009C532F"/>
    <w:p w14:paraId="3004B113" w14:textId="77777777" w:rsidR="009C532F" w:rsidRPr="009C532F" w:rsidRDefault="009C532F" w:rsidP="009C532F"/>
    <w:sectPr w:rsidR="009C532F" w:rsidRPr="009C532F" w:rsidSect="00921110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EA7B7" w14:textId="77777777" w:rsidR="00944A5F" w:rsidRDefault="00944A5F" w:rsidP="00026C2A">
      <w:r>
        <w:separator/>
      </w:r>
    </w:p>
  </w:endnote>
  <w:endnote w:type="continuationSeparator" w:id="0">
    <w:p w14:paraId="4B3EA859" w14:textId="77777777" w:rsidR="00944A5F" w:rsidRDefault="00944A5F" w:rsidP="0002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EB4C" w14:textId="77777777" w:rsidR="00921110" w:rsidRDefault="00921110">
    <w:pPr>
      <w:pBdr>
        <w:top w:val="single" w:sz="4" w:space="4" w:color="BECBD8"/>
      </w:pBdr>
      <w:jc w:val="center"/>
    </w:pPr>
    <w:r>
      <w:rPr>
        <w:i/>
        <w:iCs/>
        <w:color w:val="888888"/>
        <w:sz w:val="15"/>
        <w:szCs w:val="15"/>
      </w:rPr>
      <w:t xml:space="preserve"> LVMH TECH  |  Hackathon AI for Dev – SAP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A5AAB" w14:textId="77777777" w:rsidR="00944A5F" w:rsidRDefault="00944A5F" w:rsidP="00026C2A">
      <w:r>
        <w:separator/>
      </w:r>
    </w:p>
  </w:footnote>
  <w:footnote w:type="continuationSeparator" w:id="0">
    <w:p w14:paraId="3EB30297" w14:textId="77777777" w:rsidR="00944A5F" w:rsidRDefault="00944A5F" w:rsidP="00026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B1D4" w14:textId="6C7E80A0" w:rsidR="00921110" w:rsidRDefault="00921110">
    <w:pPr>
      <w:pBdr>
        <w:bottom w:val="single" w:sz="4" w:space="4" w:color="BECBD8"/>
      </w:pBdr>
      <w:jc w:val="right"/>
    </w:pPr>
    <w:r>
      <w:rPr>
        <w:i/>
        <w:iCs/>
        <w:color w:val="888888"/>
        <w:sz w:val="15"/>
        <w:szCs w:val="15"/>
      </w:rPr>
      <w:t xml:space="preserve">LVMH TECH — </w:t>
    </w:r>
    <w:r w:rsidR="00026C2A" w:rsidRPr="00026C2A">
      <w:rPr>
        <w:i/>
        <w:iCs/>
        <w:color w:val="888888"/>
        <w:sz w:val="15"/>
        <w:szCs w:val="15"/>
      </w:rPr>
      <w:t xml:space="preserve">Long Tail Vendor Management </w:t>
    </w:r>
    <w:r>
      <w:rPr>
        <w:i/>
        <w:iCs/>
        <w:color w:val="888888"/>
        <w:sz w:val="15"/>
        <w:szCs w:val="15"/>
      </w:rPr>
      <w:t xml:space="preserve">— Spécifications Sprints </w:t>
    </w:r>
    <w:r w:rsidR="00026C2A">
      <w:rPr>
        <w:i/>
        <w:iCs/>
        <w:color w:val="888888"/>
        <w:sz w:val="15"/>
        <w:szCs w:val="15"/>
      </w:rPr>
      <w:t>1</w:t>
    </w:r>
    <w:r>
      <w:rPr>
        <w:i/>
        <w:iCs/>
        <w:color w:val="888888"/>
        <w:sz w:val="15"/>
        <w:szCs w:val="15"/>
      </w:rPr>
      <w:t>→</w:t>
    </w:r>
    <w:r w:rsidR="00026C2A">
      <w:rPr>
        <w:i/>
        <w:iCs/>
        <w:color w:val="888888"/>
        <w:sz w:val="15"/>
        <w:szCs w:val="15"/>
      </w:rPr>
      <w:t xml:space="preserve">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CFD"/>
    <w:multiLevelType w:val="hybridMultilevel"/>
    <w:tmpl w:val="63C4D5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D2764"/>
    <w:multiLevelType w:val="hybridMultilevel"/>
    <w:tmpl w:val="D5107BF6"/>
    <w:lvl w:ilvl="0" w:tplc="0F1CE51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F67212D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20826166">
      <w:numFmt w:val="decimal"/>
      <w:lvlText w:val=""/>
      <w:lvlJc w:val="left"/>
    </w:lvl>
    <w:lvl w:ilvl="3" w:tplc="FED023A2">
      <w:numFmt w:val="decimal"/>
      <w:lvlText w:val=""/>
      <w:lvlJc w:val="left"/>
    </w:lvl>
    <w:lvl w:ilvl="4" w:tplc="6470A3A6">
      <w:numFmt w:val="decimal"/>
      <w:lvlText w:val=""/>
      <w:lvlJc w:val="left"/>
    </w:lvl>
    <w:lvl w:ilvl="5" w:tplc="883C0474">
      <w:numFmt w:val="decimal"/>
      <w:lvlText w:val=""/>
      <w:lvlJc w:val="left"/>
    </w:lvl>
    <w:lvl w:ilvl="6" w:tplc="4702A7A0">
      <w:numFmt w:val="decimal"/>
      <w:lvlText w:val=""/>
      <w:lvlJc w:val="left"/>
    </w:lvl>
    <w:lvl w:ilvl="7" w:tplc="0D8E6520">
      <w:numFmt w:val="decimal"/>
      <w:lvlText w:val=""/>
      <w:lvlJc w:val="left"/>
    </w:lvl>
    <w:lvl w:ilvl="8" w:tplc="05AE61B4">
      <w:numFmt w:val="decimal"/>
      <w:lvlText w:val=""/>
      <w:lvlJc w:val="left"/>
    </w:lvl>
  </w:abstractNum>
  <w:abstractNum w:abstractNumId="2" w15:restartNumberingAfterBreak="0">
    <w:nsid w:val="30ED33CC"/>
    <w:multiLevelType w:val="hybridMultilevel"/>
    <w:tmpl w:val="BF9655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84B21"/>
    <w:multiLevelType w:val="hybridMultilevel"/>
    <w:tmpl w:val="FB4E6C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14E43"/>
    <w:multiLevelType w:val="hybridMultilevel"/>
    <w:tmpl w:val="4038FC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125B6"/>
    <w:multiLevelType w:val="hybridMultilevel"/>
    <w:tmpl w:val="BEE255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E20D6"/>
    <w:multiLevelType w:val="multilevel"/>
    <w:tmpl w:val="B5B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0F7C44"/>
    <w:multiLevelType w:val="hybridMultilevel"/>
    <w:tmpl w:val="09AEBE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50FE9"/>
    <w:multiLevelType w:val="hybridMultilevel"/>
    <w:tmpl w:val="18D89FA0"/>
    <w:lvl w:ilvl="0" w:tplc="63DA0A0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884094B6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8932A716">
      <w:numFmt w:val="decimal"/>
      <w:lvlText w:val=""/>
      <w:lvlJc w:val="left"/>
    </w:lvl>
    <w:lvl w:ilvl="3" w:tplc="91922530">
      <w:numFmt w:val="decimal"/>
      <w:lvlText w:val=""/>
      <w:lvlJc w:val="left"/>
    </w:lvl>
    <w:lvl w:ilvl="4" w:tplc="F78663E8">
      <w:numFmt w:val="decimal"/>
      <w:lvlText w:val=""/>
      <w:lvlJc w:val="left"/>
    </w:lvl>
    <w:lvl w:ilvl="5" w:tplc="3A1CA540">
      <w:numFmt w:val="decimal"/>
      <w:lvlText w:val=""/>
      <w:lvlJc w:val="left"/>
    </w:lvl>
    <w:lvl w:ilvl="6" w:tplc="FFFC146A">
      <w:numFmt w:val="decimal"/>
      <w:lvlText w:val=""/>
      <w:lvlJc w:val="left"/>
    </w:lvl>
    <w:lvl w:ilvl="7" w:tplc="62E687F4">
      <w:numFmt w:val="decimal"/>
      <w:lvlText w:val=""/>
      <w:lvlJc w:val="left"/>
    </w:lvl>
    <w:lvl w:ilvl="8" w:tplc="0A863AF4">
      <w:numFmt w:val="decimal"/>
      <w:lvlText w:val=""/>
      <w:lvlJc w:val="left"/>
    </w:lvl>
  </w:abstractNum>
  <w:num w:numId="1" w16cid:durableId="520243322">
    <w:abstractNumId w:val="6"/>
  </w:num>
  <w:num w:numId="2" w16cid:durableId="1354962552">
    <w:abstractNumId w:val="8"/>
    <w:lvlOverride w:ilvl="0">
      <w:startOverride w:val="1"/>
    </w:lvlOverride>
  </w:num>
  <w:num w:numId="3" w16cid:durableId="915212185">
    <w:abstractNumId w:val="1"/>
    <w:lvlOverride w:ilvl="0">
      <w:startOverride w:val="1"/>
    </w:lvlOverride>
  </w:num>
  <w:num w:numId="4" w16cid:durableId="759258694">
    <w:abstractNumId w:val="7"/>
  </w:num>
  <w:num w:numId="5" w16cid:durableId="1643920009">
    <w:abstractNumId w:val="5"/>
  </w:num>
  <w:num w:numId="6" w16cid:durableId="1601526070">
    <w:abstractNumId w:val="3"/>
  </w:num>
  <w:num w:numId="7" w16cid:durableId="252278689">
    <w:abstractNumId w:val="2"/>
  </w:num>
  <w:num w:numId="8" w16cid:durableId="719592212">
    <w:abstractNumId w:val="0"/>
  </w:num>
  <w:num w:numId="9" w16cid:durableId="1975942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10"/>
    <w:rsid w:val="00026C2A"/>
    <w:rsid w:val="0009238E"/>
    <w:rsid w:val="001F178D"/>
    <w:rsid w:val="002F548C"/>
    <w:rsid w:val="00360DFB"/>
    <w:rsid w:val="003675B4"/>
    <w:rsid w:val="0037238D"/>
    <w:rsid w:val="003B129D"/>
    <w:rsid w:val="003B74D8"/>
    <w:rsid w:val="004E4C4B"/>
    <w:rsid w:val="0055553F"/>
    <w:rsid w:val="006B3C6E"/>
    <w:rsid w:val="006F4DE1"/>
    <w:rsid w:val="008E128C"/>
    <w:rsid w:val="008F2CD9"/>
    <w:rsid w:val="00921110"/>
    <w:rsid w:val="00931831"/>
    <w:rsid w:val="00944A5F"/>
    <w:rsid w:val="009C532F"/>
    <w:rsid w:val="00B176F3"/>
    <w:rsid w:val="00C930FA"/>
    <w:rsid w:val="00D17C90"/>
    <w:rsid w:val="00D761F1"/>
    <w:rsid w:val="00DE6F4D"/>
    <w:rsid w:val="00E1626A"/>
    <w:rsid w:val="00E22F33"/>
    <w:rsid w:val="00F377D0"/>
    <w:rsid w:val="00FF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046D"/>
  <w15:chartTrackingRefBased/>
  <w15:docId w15:val="{8FADA544-4B85-472D-966D-AED56F2A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10"/>
    <w:pPr>
      <w:spacing w:after="0" w:line="240" w:lineRule="auto"/>
    </w:pPr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2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211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1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1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1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1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1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110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9211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1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1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11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211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Policepardfaut"/>
    <w:rsid w:val="00921110"/>
  </w:style>
  <w:style w:type="character" w:customStyle="1" w:styleId="eop">
    <w:name w:val="eop"/>
    <w:basedOn w:val="Policepardfaut"/>
    <w:rsid w:val="00921110"/>
  </w:style>
  <w:style w:type="paragraph" w:styleId="En-tte">
    <w:name w:val="header"/>
    <w:basedOn w:val="Normal"/>
    <w:link w:val="En-tteCar"/>
    <w:uiPriority w:val="99"/>
    <w:unhideWhenUsed/>
    <w:rsid w:val="00026C2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26C2A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26C2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26C2A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C532F"/>
    <w:rPr>
      <w:b/>
      <w:bCs/>
    </w:rPr>
  </w:style>
  <w:style w:type="character" w:customStyle="1" w:styleId="citation-419">
    <w:name w:val="citation-419"/>
    <w:basedOn w:val="Policepardfaut"/>
    <w:rsid w:val="009C532F"/>
  </w:style>
  <w:style w:type="character" w:styleId="CodeHTML">
    <w:name w:val="HTML Code"/>
    <w:basedOn w:val="Policepardfaut"/>
    <w:uiPriority w:val="99"/>
    <w:semiHidden/>
    <w:unhideWhenUsed/>
    <w:rsid w:val="009C532F"/>
    <w:rPr>
      <w:rFonts w:ascii="Courier New" w:eastAsia="Times New Roman" w:hAnsi="Courier New" w:cs="Courier New"/>
      <w:sz w:val="20"/>
      <w:szCs w:val="20"/>
    </w:rPr>
  </w:style>
  <w:style w:type="character" w:customStyle="1" w:styleId="citation-418">
    <w:name w:val="citation-418"/>
    <w:basedOn w:val="Policepardfaut"/>
    <w:rsid w:val="009C5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2408</TotalTime>
  <Pages>11</Pages>
  <Words>2769</Words>
  <Characters>15842</Characters>
  <Application>Microsoft Office Word</Application>
  <DocSecurity>0</DocSecurity>
  <Lines>688</Lines>
  <Paragraphs>620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Raffin-Peyloz</dc:creator>
  <cp:keywords/>
  <dc:description/>
  <cp:lastModifiedBy>Alexandre Raffin-Peyloz</cp:lastModifiedBy>
  <cp:revision>19</cp:revision>
  <dcterms:created xsi:type="dcterms:W3CDTF">2026-04-01T10:24:00Z</dcterms:created>
  <dcterms:modified xsi:type="dcterms:W3CDTF">2026-04-03T13:22:00Z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2026-04-01T10:43:17Z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9bf8f3b1-ecdd-43fb-ad0e-815efc304d0b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</Properties>
</file>