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Andrew Paul Rueda Valencia</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rPr>
              <w:t xml:space="preserve">[Por completar]</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01/10/2026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1E7B34"/>
              </w:rPr>
              <w:t xml:space="preserve">SI (nivel Junior)</w:t>
            </w:r>
          </w:p>
        </w:tc>
      </w:tr>
    </w:tbl>
    <w:p w14:paraId="0D0B940D" w14:textId="77777777" w:rsidR="008E39F4" w:rsidRDefault="008E39F4" w:rsidP="008E39F4">
      <w:pPr>
        <w:jc w:val="center"/>
        <w:rPr>
          <w:rFonts w:ascii="Roboto Slab" w:eastAsia="Roboto Slab" w:hAnsi="Roboto Slab" w:cs="Roboto Slab"/>
        </w:rPr>
      </w:pPr>
    </w:p>
    <w:p w14:paraId="0E27B00A" w14:textId="77777777" w:rsidR="00372D5B" w:rsidRDefault="008E39F4" w:rsidP="008E39F4">
      <w:pPr>
        <w:jc w:val="center"/>
        <w:rPr>
          <w:rFonts w:ascii="Roboto Slab" w:eastAsia="Roboto Slab" w:hAnsi="Roboto Slab" w:cs="Roboto Slab"/>
        </w:rPr>
      </w:pPr>
      <w:r w:rsidRPr="008E39F4">
        <w:rPr>
          <w:noProof/>
        </w:rPr>
        <w:drawing>
          <wp:inline distT="0" distB="0" distL="0" distR="0" wp14:anchorId="46365A8F" wp14:editId="2E3D0301">
            <wp:extent cx="4267200" cy="1352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352550"/>
                    </a:xfrm>
                    <a:prstGeom prst="rect">
                      <a:avLst/>
                    </a:prstGeom>
                    <a:noFill/>
                    <a:ln>
                      <a:noFill/>
                    </a:ln>
                  </pic:spPr>
                </pic:pic>
              </a:graphicData>
            </a:graphic>
          </wp:inline>
        </w:drawing>
      </w:r>
    </w:p>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1F3864"/>
                <w:sz w:val="22"/>
                <w:szCs w:val="22"/>
              </w:rPr>
              <w:t xml:space="preserve">JUNIOR SÓLIDO – 68 %</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Pr>
                <w:rFonts w:ascii="Roboto Slab" w:eastAsia="Roboto Slab" w:hAnsi="Roboto Slab" w:cs="Roboto Slab"/>
                <w:b/>
                <w:bCs/>
                <w:sz w:val="36"/>
                <w:szCs w:val="36"/>
              </w:rPr>
              <w:t xml:space="preserve">X</w:t>
            </w: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candidato presentó el reto técnico de un agente de análisis financiero. Entregó una solución funcional con componentes relevantes de IA generativa: un agente con LangChain y LangGraph, herramientas financieras, control de tokens y costos, pruebas automatizadas y una interfaz desplegada en Google Cloud Run. Esto muestra iniciativa y capacidad para integrar tecnologías y completar una parte visible del flujo.</w:t>
      </w:r>
    </w:p>
    <w:p>
      <w:pPr>
        <w:spacing w:before="0" w:after="120" w:line="264" w:lineRule="auto"/>
        <w:jc w:val="both"/>
      </w:pPr>
      <w:r>
        <w:rPr>
          <w:rFonts w:ascii="Roboto Slab" w:eastAsia="Roboto Slab" w:hAnsi="Roboto Slab" w:cs="Roboto Slab"/>
          <w:sz w:val="20"/>
          <w:szCs w:val="20"/>
        </w:rPr>
        <w:t xml:space="preserve">La evidencia no alcanza para un nivel Semi-Senior en ingeniería de software. En la defensa no pudo explicar con claridad la diferencia entre pruebas unitarias y de integración, ni recorrer el ciclo de vida de una petición desde el frontend hasta la respuesta del backend. Tampoco supo ubicar la cobertura de código ni sustentar sus decisiones de desacoplamiento. El backend con el agente no quedó desplegado, aunque sí el frontend. La clasificación de la hoja es JUNIOR; este informe la precisa como Junior sólido.</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3700"/>
        <w:gridCol w:w="1600"/>
        <w:gridCol w:w="1800"/>
        <w:gridCol w:w="1919"/>
      </w:tblGrid>
      <w:tr>
        <w:trPr>
          <w:tblHeader/>
        </w:trPr>
        <w:tc>
          <w:tcPr>
            <w:tcW w:w="37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16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Cumplimiento</w:t>
            </w:r>
          </w:p>
        </w:tc>
        <w:tc>
          <w:tcPr>
            <w:tcW w:w="19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Estado</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Evaluación teórica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18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90 %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Aprobado</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14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26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65 %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23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58 %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63 / 100</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63 %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(teórica + práctica)</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68 %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Junior</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14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Calidad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26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 / IA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23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Evaluación teórica: 18 / 20 (aprobada)</w:t>
      </w:r>
    </w:p>
    <w:p>
      <w:pPr>
        <w:spacing w:before="0" w:after="120" w:line="264" w:lineRule="auto"/>
        <w:jc w:val="both"/>
      </w:pPr>
      <w:r>
        <w:rPr>
          <w:rFonts w:ascii="Roboto Slab" w:eastAsia="Roboto Slab" w:hAnsi="Roboto Slab" w:cs="Roboto Slab"/>
          <w:sz w:val="20"/>
          <w:szCs w:val="20"/>
        </w:rPr>
        <w:t xml:space="preserve">Buen dominio conceptual de los temas evaluados.</w:t>
      </w: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14 / 20</w:t>
      </w:r>
    </w:p>
    <w:p>
      <w:pPr>
        <w:spacing w:before="0" w:after="120" w:line="264" w:lineRule="auto"/>
        <w:jc w:val="both"/>
      </w:pPr>
      <w:r>
        <w:rPr>
          <w:rFonts w:ascii="Roboto Slab" w:eastAsia="Roboto Slab" w:hAnsi="Roboto Slab" w:cs="Roboto Slab"/>
          <w:sz w:val="20"/>
          <w:szCs w:val="20"/>
        </w:rPr>
        <w:t xml:space="preserve">El diagrama muestra a un analista que entra por SSO a un frontend en Cloud Run, que llama por HTTP al backend ait-msa-agent (agente, motor LLM, herramientas financieras, observabilidad y Kafka). Comunica los participantes principales, pero no especifica contratos, límites de confianza, persistencia, manejo de errores, autorización ni escalado.</w:t>
      </w:r>
    </w:p>
    <w:p>
      <w:pPr>
        <w:spacing w:before="0" w:after="120" w:line="264" w:lineRule="auto"/>
        <w:jc w:val="both"/>
      </w:pPr>
      <w:r>
        <w:rPr>
          <w:rFonts w:ascii="Roboto Slab" w:eastAsia="Roboto Slab" w:hAnsi="Roboto Slab" w:cs="Roboto Slab"/>
          <w:b/>
          <w:bCs/>
          <w:sz w:val="20"/>
          <w:szCs w:val="20"/>
        </w:rPr>
        <w:t xml:space="preserve">Uso de capas (4/6). </w:t>
      </w:r>
      <w:r>
        <w:rPr>
          <w:rFonts w:ascii="Roboto Slab" w:eastAsia="Roboto Slab" w:hAnsi="Roboto Slab" w:cs="Roboto Slab"/>
          <w:sz w:val="20"/>
          <w:szCs w:val="20"/>
        </w:rPr>
        <w:t xml:space="preserve">Identifica las capas de forma parcial y no delimita con claridad sus responsabilidades. La arquitectura hexagonal aparece solo en parte.</w:t>
      </w:r>
    </w:p>
    <w:p>
      <w:pPr>
        <w:spacing w:before="0" w:after="120" w:line="264" w:lineRule="auto"/>
        <w:jc w:val="both"/>
      </w:pPr>
      <w:r>
        <w:rPr>
          <w:rFonts w:ascii="Roboto Slab" w:eastAsia="Roboto Slab" w:hAnsi="Roboto Slab" w:cs="Roboto Slab"/>
          <w:b/>
          <w:bCs/>
          <w:sz w:val="20"/>
          <w:szCs w:val="20"/>
        </w:rPr>
        <w:t xml:space="preserve">Aplicabilidad (6/8) y controles (4/6). </w:t>
      </w:r>
      <w:r>
        <w:rPr>
          <w:rFonts w:ascii="Roboto Slab" w:eastAsia="Roboto Slab" w:hAnsi="Roboto Slab" w:cs="Roboto Slab"/>
          <w:sz w:val="20"/>
          <w:szCs w:val="20"/>
        </w:rPr>
        <w:t xml:space="preserve">El diseño responde razonablemente al escenario y define controles de consumo, pero ambos quedan incompletos.</w:t>
      </w:r>
    </w:p>
    <w:p>
      <w:pPr>
        <w:spacing w:before="0" w:after="120" w:line="264" w:lineRule="auto"/>
        <w:jc w:val="both"/>
      </w:pPr>
      <w:r>
        <w:rPr>
          <w:rFonts w:ascii="Roboto Slab" w:eastAsia="Roboto Slab" w:hAnsi="Roboto Slab" w:cs="Roboto Slab"/>
          <w:b/>
          <w:bCs/>
          <w:sz w:val="20"/>
          <w:szCs w:val="20"/>
        </w:rPr>
        <w:t xml:space="preserve">Diagrama frente al código. </w:t>
      </w:r>
      <w:r>
        <w:rPr>
          <w:rFonts w:ascii="Roboto Slab" w:eastAsia="Roboto Slab" w:hAnsi="Roboto Slab" w:cs="Roboto Slab"/>
          <w:sz w:val="20"/>
          <w:szCs w:val="20"/>
        </w:rPr>
        <w:t xml:space="preserve">Varios elementos del diagrama no aparecen en el repositorio: SSO, MCP, RAG (no hay embeddings ni índice vectorial; consultar SQLite no es RAG) y Kafka. La observabilidad se limita a logs JSON de FinOps, con LangSmith desactivado por defecto. Esto se registra como un problema de trazabilidad entre lo diseñado y lo implementado, sin concluir que el candidato haya afirmado algo falso: las versiones pueden diferir.</w:t>
      </w:r>
    </w:p>
    <w:p>
      <w:pPr>
        <w:keepNext/>
        <w:spacing w:before="200" w:after="80" w:line="264" w:lineRule="auto"/>
        <w:jc w:val="left"/>
      </w:pPr>
      <w:r>
        <w:rPr>
          <w:rFonts w:ascii="Roboto Slab" w:eastAsia="Roboto Slab" w:hAnsi="Roboto Slab" w:cs="Roboto Slab"/>
          <w:b/>
          <w:bCs/>
          <w:color w:val="1F3864"/>
          <w:sz w:val="22"/>
          <w:szCs w:val="22"/>
        </w:rPr>
        <w:t xml:space="preserve">Implementación: 26 / 40</w:t>
      </w:r>
    </w:p>
    <w:p>
      <w:pPr>
        <w:spacing w:before="0" w:after="120" w:line="264" w:lineRule="auto"/>
        <w:jc w:val="both"/>
      </w:pPr>
      <w:r>
        <w:rPr>
          <w:rFonts w:ascii="Roboto Slab" w:eastAsia="Roboto Slab" w:hAnsi="Roboto Slab" w:cs="Roboto Slab"/>
          <w:b/>
          <w:bCs/>
          <w:sz w:val="20"/>
          <w:szCs w:val="20"/>
        </w:rPr>
        <w:t xml:space="preserve">Fortalezas. </w:t>
      </w:r>
      <w:r>
        <w:rPr>
          <w:rFonts w:ascii="Roboto Slab" w:eastAsia="Roboto Slab" w:hAnsi="Roboto Slab" w:cs="Roboto Slab"/>
          <w:sz w:val="20"/>
          <w:szCs w:val="20"/>
        </w:rPr>
        <w:t xml:space="preserve">Las reglas de validación y presupuesto viven en el dominio sin depender de FastAPI ni de LangChain. Los casos de uso están separados de los adaptadores. El grafo de LangGraph valida la entrada, revisa el presupuesto, delega al agente, aplica políticas y arma la respuesta. El agente tiene allowlist de herramientas con verificación en middleware y detección de bucles y límite de pasos, cubiertos por pruebas. Hay validación con Pydantic, Dockerfiles con usuario no-root y secretos de Groq en Secret Manager.</w:t>
      </w:r>
    </w:p>
    <w:p>
      <w:pPr>
        <w:spacing w:before="0" w:after="120" w:line="264" w:lineRule="auto"/>
        <w:jc w:val="both"/>
      </w:pPr>
      <w:r>
        <w:rPr>
          <w:rFonts w:ascii="Roboto Slab" w:eastAsia="Roboto Slab" w:hAnsi="Roboto Slab" w:cs="Roboto Slab"/>
          <w:b/>
          <w:bCs/>
          <w:sz w:val="20"/>
          <w:szCs w:val="20"/>
        </w:rPr>
        <w:t xml:space="preserve">Desacoplamiento incompleto. </w:t>
      </w:r>
      <w:r>
        <w:rPr>
          <w:rFonts w:ascii="Roboto Slab" w:eastAsia="Roboto Slab" w:hAnsi="Roboto Slab" w:cs="Roboto Slab"/>
          <w:sz w:val="20"/>
          <w:szCs w:val="20"/>
        </w:rPr>
        <w:t xml:space="preserve">Los puertos son alias Callable genéricos y parte del estado viaja en diccionarios sin tipos, en lugar de interfaces con contratos explícitos.</w:t>
      </w:r>
    </w:p>
    <w:p>
      <w:pPr>
        <w:spacing w:before="0" w:after="120" w:line="264" w:lineRule="auto"/>
        <w:jc w:val="both"/>
      </w:pPr>
      <w:r>
        <w:rPr>
          <w:rFonts w:ascii="Roboto Slab" w:eastAsia="Roboto Slab" w:hAnsi="Roboto Slab" w:cs="Roboto Slab"/>
          <w:b/>
          <w:bCs/>
          <w:sz w:val="20"/>
          <w:szCs w:val="20"/>
        </w:rPr>
        <w:t xml:space="preserve">Autenticación y autorización. </w:t>
      </w:r>
      <w:r>
        <w:rPr>
          <w:rFonts w:ascii="Roboto Slab" w:eastAsia="Roboto Slab" w:hAnsi="Roboto Slab" w:cs="Roboto Slab"/>
          <w:sz w:val="20"/>
          <w:szCs w:val="20"/>
        </w:rPr>
        <w:t xml:space="preserve">No hay autenticación ni roles y Cloud Run se configura con acceso público. El endpoint GET de un análisis no verifica que quien consulta sea su dueño. Es un riesgo potencial de acceso no autorizado, no una explotación demostrada.</w:t>
      </w:r>
    </w:p>
    <w:p>
      <w:pPr>
        <w:spacing w:before="0" w:after="120" w:line="264" w:lineRule="auto"/>
        <w:jc w:val="both"/>
      </w:pPr>
      <w:r>
        <w:rPr>
          <w:rFonts w:ascii="Roboto Slab" w:eastAsia="Roboto Slab" w:hAnsi="Roboto Slab" w:cs="Roboto Slab"/>
          <w:b/>
          <w:bCs/>
          <w:sz w:val="20"/>
          <w:szCs w:val="20"/>
        </w:rPr>
        <w:t xml:space="preserve">Persistencia y presupuesto. </w:t>
      </w:r>
      <w:r>
        <w:rPr>
          <w:rFonts w:ascii="Roboto Slab" w:eastAsia="Roboto Slab" w:hAnsi="Roboto Slab" w:cs="Roboto Slab"/>
          <w:sz w:val="20"/>
          <w:szCs w:val="20"/>
        </w:rPr>
        <w:t xml:space="preserve">El gasto se lee, se ejecuta el análisis y recién después se descuenta en SQLite, por lo que dos solicitudes simultáneas pueden pasar el límite. Además, la base está en /tmp de cada instancia de Cloud Run: es efímera y no se comparte entre instancias.</w:t>
      </w:r>
    </w:p>
    <w:p>
      <w:pPr>
        <w:spacing w:before="0" w:after="120" w:line="264" w:lineRule="auto"/>
        <w:jc w:val="both"/>
      </w:pPr>
      <w:r>
        <w:rPr>
          <w:rFonts w:ascii="Roboto Slab" w:eastAsia="Roboto Slab" w:hAnsi="Roboto Slab" w:cs="Roboto Slab"/>
          <w:b/>
          <w:bCs/>
          <w:sz w:val="20"/>
          <w:szCs w:val="20"/>
        </w:rPr>
        <w:t xml:space="preserve">Resiliencia y operación. </w:t>
      </w:r>
      <w:r>
        <w:rPr>
          <w:rFonts w:ascii="Roboto Slab" w:eastAsia="Roboto Slab" w:hAnsi="Roboto Slab" w:cs="Roboto Slab"/>
          <w:sz w:val="20"/>
          <w:szCs w:val="20"/>
        </w:rPr>
        <w:t xml:space="preserve">Tiene timeout y un solo reintento con el proveedor, y responde con estado parcial ante fallos. La detección de bucles y de errores de herramientas limita al agente, pero no es un circuit breaker. El endpoint /health no revisa dependencias, no hay rate limiting y no hay pipeline de CI, cobertura, linter ni type checker.</w:t>
      </w:r>
    </w:p>
    <w:p>
      <w:pPr>
        <w:spacing w:before="0" w:after="120" w:line="264" w:lineRule="auto"/>
        <w:jc w:val="both"/>
      </w:pPr>
      <w:r>
        <w:rPr>
          <w:rFonts w:ascii="Roboto Slab" w:eastAsia="Roboto Slab" w:hAnsi="Roboto Slab" w:cs="Roboto Slab"/>
          <w:b/>
          <w:bCs/>
          <w:sz w:val="20"/>
          <w:szCs w:val="20"/>
        </w:rPr>
        <w:t xml:space="preserve">IA generativa. </w:t>
      </w:r>
      <w:r>
        <w:rPr>
          <w:rFonts w:ascii="Roboto Slab" w:eastAsia="Roboto Slab" w:hAnsi="Roboto Slab" w:cs="Roboto Slab"/>
          <w:sz w:val="20"/>
          <w:szCs w:val="20"/>
        </w:rPr>
        <w:t xml:space="preserve">Es un solo agente con herramientas dentro de un grafo supervisor determinista, no un sistema multiagente; la referencia a A2A es solo una estructura AgentCard. Los límites de gasto se calculan en código y no se delegan al LLM, lo cual es un acierto. No hay fallback de modelo, evaluación automatizada de respuestas ni enrutamiento por costo o riesgo.</w:t>
      </w:r>
    </w:p>
    <w:p>
      <w:pPr>
        <w:spacing w:before="0" w:after="120" w:line="264" w:lineRule="auto"/>
        <w:jc w:val="both"/>
      </w:pPr>
      <w:r>
        <w:rPr>
          <w:rFonts w:ascii="Roboto Slab" w:eastAsia="Roboto Slab" w:hAnsi="Roboto Slab" w:cs="Roboto Slab"/>
          <w:b/>
          <w:bCs/>
          <w:sz w:val="20"/>
          <w:szCs w:val="20"/>
        </w:rPr>
        <w:t xml:space="preserve">Pruebas. </w:t>
      </w:r>
      <w:r>
        <w:rPr>
          <w:rFonts w:ascii="Roboto Slab" w:eastAsia="Roboto Slab" w:hAnsi="Roboto Slab" w:cs="Roboto Slab"/>
          <w:sz w:val="20"/>
          <w:szCs w:val="20"/>
        </w:rPr>
        <w:t xml:space="preserve">Hay pruebas unitarias (dominio y herramientas), de integración del agente con un LLM simulado y de integración HTTP con TestClient; la documentación declara 43 tests. No hay configuración ni reporte de cobertura, y en la revisión no se pudo ejecutar la suite, así que su estado actual queda sin verificar.</w:t>
      </w:r>
    </w:p>
    <w:p>
      <w:pPr>
        <w:spacing w:before="0" w:after="120" w:line="264" w:lineRule="auto"/>
        <w:jc w:val="both"/>
      </w:pPr>
      <w:r>
        <w:rPr>
          <w:rFonts w:ascii="Roboto Slab" w:eastAsia="Roboto Slab" w:hAnsi="Roboto Slab" w:cs="Roboto Slab"/>
          <w:b/>
          <w:bCs/>
          <w:sz w:val="20"/>
          <w:szCs w:val="20"/>
        </w:rPr>
        <w:t xml:space="preserve">Cloud. </w:t>
      </w:r>
      <w:r>
        <w:rPr>
          <w:rFonts w:ascii="Roboto Slab" w:eastAsia="Roboto Slab" w:hAnsi="Roboto Slab" w:cs="Roboto Slab"/>
          <w:sz w:val="20"/>
          <w:szCs w:val="20"/>
        </w:rPr>
        <w:t xml:space="preserve">Desplegó el frontend en Cloud Run, lo cual se valora. El backend, que ejecuta LangGraph, integra Groq y guarda el estado, no quedó desplegado.</w:t>
      </w:r>
    </w:p>
    <w:p>
      <w:pPr>
        <w:keepNext/>
        <w:spacing w:before="200" w:after="80" w:line="264" w:lineRule="auto"/>
        <w:jc w:val="left"/>
      </w:pPr>
      <w:r>
        <w:rPr>
          <w:rFonts w:ascii="Roboto Slab" w:eastAsia="Roboto Slab" w:hAnsi="Roboto Slab" w:cs="Roboto Slab"/>
          <w:b/>
          <w:bCs/>
          <w:color w:val="1F3864"/>
          <w:sz w:val="22"/>
          <w:szCs w:val="22"/>
        </w:rPr>
        <w:t xml:space="preserve">Defensa: 23 / 40</w:t>
      </w:r>
    </w:p>
    <w:p>
      <w:pPr>
        <w:spacing w:before="0" w:after="120" w:line="264" w:lineRule="auto"/>
        <w:jc w:val="both"/>
      </w:pPr>
      <w:r>
        <w:rPr>
          <w:rFonts w:ascii="Roboto Slab" w:eastAsia="Roboto Slab" w:hAnsi="Roboto Slab" w:cs="Roboto Slab"/>
          <w:sz w:val="20"/>
          <w:szCs w:val="20"/>
        </w:rPr>
        <w:t xml:space="preserve">Dio explicaciones básicas y justificó algunas decisiones, pero varios conceptos que defendió no estaban reflejados en el código. No pudo explicar la diferencia entre pruebas unitarias y de integración, ubicar la cobertura, recorrer una petición de punta a punta ni sustentar sus decisiones de desacoplamiento. Es importante distinguir esto de la existencia de los tests: el código sí tiene pruebas de ambos tipos, pero el candidato no supo explicarlas.</w:t>
      </w:r>
    </w:p>
    <w:p>
      <w:pPr>
        <w:keepNext/>
        <w:spacing w:before="200" w:after="80" w:line="264" w:lineRule="auto"/>
        <w:jc w:val="left"/>
      </w:pPr>
      <w:r>
        <w:rPr>
          <w:rFonts w:ascii="Roboto Slab" w:eastAsia="Roboto Slab" w:hAnsi="Roboto Slab" w:cs="Roboto Slab"/>
          <w:b/>
          <w:bCs/>
          <w:color w:val="1F3864"/>
          <w:sz w:val="22"/>
          <w:szCs w:val="22"/>
        </w:rPr>
        <w:t xml:space="preserve">Evaluación por competencia</w:t>
      </w:r>
    </w:p>
    <w:tbl>
      <w:tblPr>
        <w:tblStyle w:val="Tablaconcuadrcula"/>
        <w:tblW w:w="9019" w:type="dxa"/>
        <w:tblLayout w:type="fixed"/>
        <w:tblLook w:val="04A0" w:firstRow="1" w:lastRow="0" w:firstColumn="1" w:lastColumn="0" w:noHBand="0" w:noVBand="1"/>
      </w:tblPr>
      <w:tblGrid>
        <w:gridCol w:w="2600"/>
        <w:gridCol w:w="1900"/>
        <w:gridCol w:w="4519"/>
      </w:tblGrid>
      <w:tr>
        <w:trPr>
          <w:tblHeader/>
        </w:trPr>
        <w:tc>
          <w:tcPr>
            <w:tcW w:w="26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Competencia</w:t>
            </w:r>
          </w:p>
        </w:tc>
        <w:tc>
          <w:tcPr>
            <w:tcW w:w="19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Nivel</w:t>
            </w:r>
          </w:p>
        </w:tc>
        <w:tc>
          <w:tcPr>
            <w:tcW w:w="45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Evidencia principal</w:t>
            </w:r>
          </w:p>
        </w:tc>
      </w:tr>
      <w:tr>
        <w:trPr>
          <w:cantSplit/>
        </w:trPr>
        <w:tc>
          <w:tcPr>
            <w:tcW w:w="2600" w:type="dxa"/>
            <w:vAlign w:val="center"/>
          </w:tcPr>
          <w:p>
            <w:pPr>
              <w:spacing w:before="40" w:after="40" w:line="240" w:lineRule="auto"/>
              <w:jc w:val="left"/>
            </w:pPr>
            <w:r>
              <w:rPr>
                <w:rFonts w:ascii="Roboto Slab" w:eastAsia="Roboto Slab" w:hAnsi="Roboto Slab" w:cs="Roboto Slab"/>
                <w:sz w:val="19"/>
                <w:szCs w:val="19"/>
              </w:rPr>
              <w:t xml:space="preserve">Ingeniería de software</w:t>
            </w:r>
          </w:p>
        </w:tc>
        <w:tc>
          <w:tcPr>
            <w:tcW w:w="1900" w:type="dxa"/>
            <w:vAlign w:val="center"/>
          </w:tcPr>
          <w:p>
            <w:pPr>
              <w:spacing w:before="40" w:after="40" w:line="240" w:lineRule="auto"/>
              <w:jc w:val="left"/>
            </w:pPr>
            <w:r>
              <w:rPr>
                <w:rFonts w:ascii="Roboto Slab" w:eastAsia="Roboto Slab" w:hAnsi="Roboto Slab" w:cs="Roboto Slab"/>
                <w:sz w:val="19"/>
                <w:szCs w:val="19"/>
              </w:rPr>
              <w:t xml:space="preserve">Junior sólido</w:t>
            </w:r>
          </w:p>
        </w:tc>
        <w:tc>
          <w:tcPr>
            <w:tcW w:w="4519" w:type="dxa"/>
            <w:vAlign w:val="center"/>
          </w:tcPr>
          <w:p>
            <w:pPr>
              <w:spacing w:before="40" w:after="40" w:line="240" w:lineRule="auto"/>
              <w:jc w:val="left"/>
            </w:pPr>
            <w:r>
              <w:rPr>
                <w:rFonts w:ascii="Roboto Slab" w:eastAsia="Roboto Slab" w:hAnsi="Roboto Slab" w:cs="Roboto Slab"/>
                <w:sz w:val="19"/>
                <w:szCs w:val="19"/>
              </w:rPr>
              <w:t xml:space="preserve">Flujo funcional con límites y capas; dificultad para explicar pruebas, ciclo de vida de la petición, cobertura y desacoplamiento.</w:t>
            </w:r>
          </w:p>
        </w:tc>
      </w:tr>
      <w:tr>
        <w:trPr>
          <w:cantSplit/>
        </w:trPr>
        <w:tc>
          <w:tcPr>
            <w:tcW w:w="2600" w:type="dxa"/>
            <w:vAlign w:val="center"/>
          </w:tcPr>
          <w:p>
            <w:pPr>
              <w:spacing w:before="40" w:after="40" w:line="240" w:lineRule="auto"/>
              <w:jc w:val="left"/>
            </w:pPr>
            <w:r>
              <w:rPr>
                <w:rFonts w:ascii="Roboto Slab" w:eastAsia="Roboto Slab" w:hAnsi="Roboto Slab" w:cs="Roboto Slab"/>
                <w:sz w:val="19"/>
                <w:szCs w:val="19"/>
              </w:rPr>
              <w:t xml:space="preserve">Gen AI</w:t>
            </w:r>
          </w:p>
        </w:tc>
        <w:tc>
          <w:tcPr>
            <w:tcW w:w="1900" w:type="dxa"/>
            <w:vAlign w:val="center"/>
          </w:tcPr>
          <w:p>
            <w:pPr>
              <w:spacing w:before="40" w:after="40" w:line="240" w:lineRule="auto"/>
              <w:jc w:val="left"/>
            </w:pPr>
            <w:r>
              <w:rPr>
                <w:rFonts w:ascii="Roboto Slab" w:eastAsia="Roboto Slab" w:hAnsi="Roboto Slab" w:cs="Roboto Slab"/>
                <w:sz w:val="19"/>
                <w:szCs w:val="19"/>
              </w:rPr>
              <w:t xml:space="preserve">Semi-Senior inicial</w:t>
            </w:r>
          </w:p>
        </w:tc>
        <w:tc>
          <w:tcPr>
            <w:tcW w:w="4519" w:type="dxa"/>
            <w:vAlign w:val="center"/>
          </w:tcPr>
          <w:p>
            <w:pPr>
              <w:spacing w:before="40" w:after="40" w:line="240" w:lineRule="auto"/>
              <w:jc w:val="left"/>
            </w:pPr>
            <w:r>
              <w:rPr>
                <w:rFonts w:ascii="Roboto Slab" w:eastAsia="Roboto Slab" w:hAnsi="Roboto Slab" w:cs="Roboto Slab"/>
                <w:sz w:val="19"/>
                <w:szCs w:val="19"/>
              </w:rPr>
              <w:t xml:space="preserve">Integra agente, herramientas, LangGraph y control FinOps; no defendió en profundidad la arquitectura agéntica ni operó el backend desplegado.</w:t>
            </w:r>
          </w:p>
        </w:tc>
      </w:tr>
      <w:tr>
        <w:trPr>
          <w:cantSplit/>
        </w:trPr>
        <w:tc>
          <w:tcPr>
            <w:tcW w:w="2600" w:type="dxa"/>
            <w:vAlign w:val="center"/>
          </w:tcPr>
          <w:p>
            <w:pPr>
              <w:spacing w:before="40" w:after="40" w:line="240" w:lineRule="auto"/>
              <w:jc w:val="left"/>
            </w:pPr>
            <w:r>
              <w:rPr>
                <w:rFonts w:ascii="Roboto Slab" w:eastAsia="Roboto Slab" w:hAnsi="Roboto Slab" w:cs="Roboto Slab"/>
                <w:sz w:val="19"/>
                <w:szCs w:val="19"/>
              </w:rPr>
              <w:t xml:space="preserve">Cloud</w:t>
            </w:r>
          </w:p>
        </w:tc>
        <w:tc>
          <w:tcPr>
            <w:tcW w:w="1900" w:type="dxa"/>
            <w:vAlign w:val="center"/>
          </w:tcPr>
          <w:p>
            <w:pPr>
              <w:spacing w:before="40" w:after="40" w:line="240" w:lineRule="auto"/>
              <w:jc w:val="left"/>
            </w:pPr>
            <w:r>
              <w:rPr>
                <w:rFonts w:ascii="Roboto Slab" w:eastAsia="Roboto Slab" w:hAnsi="Roboto Slab" w:cs="Roboto Slab"/>
                <w:sz w:val="19"/>
                <w:szCs w:val="19"/>
              </w:rPr>
              <w:t xml:space="preserve">Junior</w:t>
            </w:r>
          </w:p>
        </w:tc>
        <w:tc>
          <w:tcPr>
            <w:tcW w:w="4519" w:type="dxa"/>
            <w:vAlign w:val="center"/>
          </w:tcPr>
          <w:p>
            <w:pPr>
              <w:spacing w:before="40" w:after="40" w:line="240" w:lineRule="auto"/>
              <w:jc w:val="left"/>
            </w:pPr>
            <w:r>
              <w:rPr>
                <w:rFonts w:ascii="Roboto Slab" w:eastAsia="Roboto Slab" w:hAnsi="Roboto Slab" w:cs="Roboto Slab"/>
                <w:sz w:val="19"/>
                <w:szCs w:val="19"/>
              </w:rPr>
              <w:t xml:space="preserve">Desplegó el frontend en Cloud Run; el backend con el agente no quedó desplegado.</w:t>
            </w:r>
          </w:p>
        </w:tc>
      </w:tr>
      <w:tr>
        <w:trPr>
          <w:cantSplit/>
        </w:trPr>
        <w:tc>
          <w:tcPr>
            <w:tcW w:w="2600"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900" w:type="dxa"/>
            <w:vAlign w:val="center"/>
          </w:tcPr>
          <w:p>
            <w:pPr>
              <w:spacing w:before="40" w:after="40" w:line="240" w:lineRule="auto"/>
              <w:jc w:val="left"/>
            </w:pPr>
            <w:r>
              <w:rPr>
                <w:rFonts w:ascii="Roboto Slab" w:eastAsia="Roboto Slab" w:hAnsi="Roboto Slab" w:cs="Roboto Slab"/>
                <w:sz w:val="19"/>
                <w:szCs w:val="19"/>
              </w:rPr>
              <w:t xml:space="preserve">Por debajo de lo esperado</w:t>
            </w:r>
          </w:p>
        </w:tc>
        <w:tc>
          <w:tcPr>
            <w:tcW w:w="4519" w:type="dxa"/>
            <w:vAlign w:val="center"/>
          </w:tcPr>
          <w:p>
            <w:pPr>
              <w:spacing w:before="40" w:after="40" w:line="240" w:lineRule="auto"/>
              <w:jc w:val="left"/>
            </w:pPr>
            <w:r>
              <w:rPr>
                <w:rFonts w:ascii="Roboto Slab" w:eastAsia="Roboto Slab" w:hAnsi="Roboto Slab" w:cs="Roboto Slab"/>
                <w:sz w:val="19"/>
                <w:szCs w:val="19"/>
              </w:rPr>
              <w:t xml:space="preserve">El diagrama incluye SSO, pero el backend no aplica autenticación ni roles y Cloud Run queda con acceso público.</w:t>
            </w:r>
          </w:p>
        </w:tc>
      </w:tr>
      <w:tr>
        <w:trPr>
          <w:cantSplit/>
        </w:trPr>
        <w:tc>
          <w:tcPr>
            <w:tcW w:w="2600" w:type="dxa"/>
            <w:vAlign w:val="center"/>
          </w:tcPr>
          <w:p>
            <w:pPr>
              <w:spacing w:before="40" w:after="40" w:line="240" w:lineRule="auto"/>
              <w:jc w:val="left"/>
            </w:pPr>
            <w:r>
              <w:rPr>
                <w:rFonts w:ascii="Roboto Slab" w:eastAsia="Roboto Slab" w:hAnsi="Roboto Slab" w:cs="Roboto Slab"/>
                <w:sz w:val="19"/>
                <w:szCs w:val="19"/>
              </w:rPr>
              <w:t xml:space="preserve">Comunicación técnica</w:t>
            </w:r>
          </w:p>
        </w:tc>
        <w:tc>
          <w:tcPr>
            <w:tcW w:w="1900" w:type="dxa"/>
            <w:vAlign w:val="center"/>
          </w:tcPr>
          <w:p>
            <w:pPr>
              <w:spacing w:before="40" w:after="40" w:line="240" w:lineRule="auto"/>
              <w:jc w:val="left"/>
            </w:pPr>
            <w:r>
              <w:rPr>
                <w:rFonts w:ascii="Roboto Slab" w:eastAsia="Roboto Slab" w:hAnsi="Roboto Slab" w:cs="Roboto Slab"/>
                <w:sz w:val="19"/>
                <w:szCs w:val="19"/>
              </w:rPr>
              <w:t xml:space="preserve">Junior</w:t>
            </w:r>
          </w:p>
        </w:tc>
        <w:tc>
          <w:tcPr>
            <w:tcW w:w="4519" w:type="dxa"/>
            <w:vAlign w:val="center"/>
          </w:tcPr>
          <w:p>
            <w:pPr>
              <w:spacing w:before="40" w:after="40" w:line="240" w:lineRule="auto"/>
              <w:jc w:val="left"/>
            </w:pPr>
            <w:r>
              <w:rPr>
                <w:rFonts w:ascii="Roboto Slab" w:eastAsia="Roboto Slab" w:hAnsi="Roboto Slab" w:cs="Roboto Slab"/>
                <w:sz w:val="19"/>
                <w:szCs w:val="19"/>
              </w:rPr>
              <w:t xml:space="preserve">No pudo recorrer una petición de punta a punta ni diferenciar con claridad los tipos de prueba.</w:t>
            </w:r>
          </w:p>
        </w:tc>
      </w:tr>
    </w:tbl>
    <w:p>
      <w:pPr>
        <w:spacing w:before="0" w:after="60" w:line="264" w:lineRule="auto"/>
        <w:jc w:val="both"/>
      </w:pP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como Software Engineer AI Junior sólido. Muestra iniciativa, capacidad para construir un prototipo funcional con herramientas de IA y una comprensión práctica inicial de agentes con herramientas y control de consumo. El frontend desplegado es un resultado concreto, y la separación de las políticas FinOps con control determinista del gasto es una buena decisión.</w:t>
      </w:r>
    </w:p>
    <w:p>
      <w:pPr>
        <w:spacing w:before="0" w:after="120" w:line="264" w:lineRule="auto"/>
        <w:jc w:val="both"/>
      </w:pPr>
      <w:r>
        <w:rPr>
          <w:rFonts w:ascii="Roboto Slab" w:eastAsia="Roboto Slab" w:hAnsi="Roboto Slab" w:cs="Roboto Slab"/>
          <w:sz w:val="20"/>
          <w:szCs w:val="20"/>
        </w:rPr>
        <w:t xml:space="preserve">Sus limitaciones no son solo componentes faltantes: tuvo dificultades con fundamentos de pruebas y con la trazabilidad de una petición. Debe reforzar testing y cobertura, depuración y trazabilidad de peticiones, contratos entre capas, autenticación y autorización, persistencia compartida y consistencia, despliegue completo del backend, patrones de resiliencia y evaluación y observabilidad de aplicaciones con LLM.</w:t>
      </w:r>
    </w:p>
    <w:p w14:paraId="74F3755F" w14:textId="77777777" w:rsidR="008E39F4" w:rsidRDefault="008E39F4" w:rsidP="008E39F4">
      <w:pPr>
        <w:pageBreakBefore/>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No sustenta sus decisiones de desacoplamiento y el diagrama incluye componentes (SSO, MCP, RAG, Kafka) que no están en el código. Debe mantener la trazabilidad entre diseño e implementación.</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Puertos genéricos y estado sin tipos. No pudo recorrer una petición de punta a punta. El control de presupuesto no es atómico y la persistencia en SQLite es efímera y local a cada instancia.</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Tiene pruebas unitarias y de integración, pero no supo explicar la diferencia ni ubicar la cobertura. Sin CI, cobertura, linter ni type checker.</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Frontend desplegado en Cloud Run; el backend con el agente no. Despliegue manual con scripts, sin pipeline ni tests previos al despliegue. Health check superficial.</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Sin autenticación ni autorización: Cloud Run público y sin control de propiedad de los análisis. La allowlist de herramientas no reemplaza la autenticación ni la defensa contra prompt injection.</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