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Вам нужно установить пакеты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bib2df</w:t>
      </w:r>
      <w:r>
        <w:t xml:space="preserve">,</w:t>
      </w:r>
      <w:r>
        <w:t xml:space="preserve"> </w:t>
      </w:r>
      <w:r>
        <w:rPr>
          <w:rStyle w:val="VerbatimChar"/>
        </w:rPr>
        <w:t xml:space="preserve">lingglosses</w:t>
      </w:r>
      <w:r>
        <w:t xml:space="preserve">.</w:t>
      </w:r>
    </w:p>
    <w:bookmarkStart w:id="30" w:name="пример-главы"/>
    <w:p>
      <w:pPr>
        <w:pStyle w:val="Heading1"/>
      </w:pPr>
      <w:r>
        <w:t xml:space="preserve">Пример главы</w:t>
      </w:r>
    </w:p>
    <w:p>
      <w:pPr>
        <w:pStyle w:val="FirstParagraph"/>
      </w:pPr>
      <w:r>
        <w:t xml:space="preserve">В нашей главе вот так сделать</w:t>
      </w:r>
      <w:r>
        <w:t xml:space="preserve"> </w:t>
      </w:r>
      <w:r>
        <w:rPr>
          <w:bCs/>
          <w:b/>
        </w:rPr>
        <w:t xml:space="preserve">жирное</w:t>
      </w:r>
      <w:r>
        <w:t xml:space="preserve">, вот так вот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. Рисунки следует складывать в папку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Если у Вас в тексте есть рисунок/график на него нужно сослаться, см.</w:t>
      </w:r>
      <w:r>
        <w:t xml:space="preserve"> </w:t>
      </w:r>
      <w:hyperlink w:anchor="fig-example">
        <w:r>
          <w:rPr>
            <w:rStyle w:val="Hyperlink"/>
          </w:rPr>
          <w:t xml:space="preserve">Figure 1</w:t>
        </w:r>
      </w:hyperlink>
      <w:r>
        <w:t xml:space="preserve">, (см. на параметр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в следующем чанке)</w:t>
      </w:r>
      <w:r>
        <w:rPr>
          <w:rStyle w:val="FootnoteReference"/>
        </w:rPr>
        <w:footnoteReference w:id="20"/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example"/>
          <w:p>
            <w:pPr>
              <w:jc w:val="center"/>
            </w:pPr>
            <w:r>
              <w:drawing>
                <wp:inline>
                  <wp:extent cx="5334000" cy="528494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exampl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84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Мой график</w:t>
            </w:r>
          </w:p>
          <w:bookmarkEnd w:id="24"/>
        </w:tc>
      </w:tr>
    </w:tbl>
    <w:bookmarkStart w:id="29" w:name="заголовок-второго-уровня"/>
    <w:p>
      <w:pPr>
        <w:pStyle w:val="Heading2"/>
      </w:pPr>
      <w:r>
        <w:t xml:space="preserve">Заголовок второго уровня</w:t>
      </w:r>
    </w:p>
    <w:p>
      <w:pPr>
        <w:pStyle w:val="FirstParagraph"/>
      </w:pPr>
      <w:r>
        <w:t xml:space="preserve">Таблицы можно считать из файла (лучше кладите в папку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). Ну или еще их можно создать прямо в кусочке кода. И на них тоже обязательно нужно сослаться в тексте</w:t>
      </w:r>
      <w:r>
        <w:t xml:space="preserve"> </w:t>
      </w:r>
      <w:hyperlink w:anchor="tbl-example1">
        <w:r>
          <w:rPr>
            <w:rStyle w:val="Hyperlink"/>
          </w:rPr>
          <w:t xml:space="preserve">Table 1</w:t>
        </w:r>
      </w:hyperlink>
      <w:r>
        <w:t xml:space="preserve">:</w:t>
      </w:r>
    </w:p>
    <w:bookmarkStart w:id="25" w:name="tbl-example1"/>
    <w:p>
      <w:pPr>
        <w:pStyle w:val="TableCaption"/>
      </w:pPr>
      <w:r>
        <w:t xml:space="preserve">Table 1: Моя таблица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Моя таблица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Adyghe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Rutul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5"/>
    <w:p>
      <w:pPr>
        <w:pStyle w:val="BodyText"/>
      </w:pPr>
      <w:r>
        <w:t xml:space="preserve">Другой способ вставлять таблицы — использовать маркдаун таблицы (их можно копи-пейстом генерить</w:t>
      </w:r>
      <w:r>
        <w:t xml:space="preserve"> </w:t>
      </w:r>
      <w:hyperlink r:id="rId26">
        <w:r>
          <w:rPr>
            <w:rStyle w:val="Hyperlink"/>
          </w:rPr>
          <w:t xml:space="preserve">на этом сайте</w:t>
        </w:r>
      </w:hyperlink>
      <w:r>
        <w:t xml:space="preserve">), см.</w:t>
      </w:r>
      <w:r>
        <w:t xml:space="preserve"> </w:t>
      </w:r>
      <w:hyperlink w:anchor="tbl-example2">
        <w:r>
          <w:rPr>
            <w:rStyle w:val="Hyperlink"/>
          </w:rPr>
          <w:t xml:space="preserve">Table 2</w:t>
        </w:r>
      </w:hyperlink>
      <w:r>
        <w:t xml:space="preserve">:</w:t>
      </w:r>
    </w:p>
    <w:bookmarkStart w:id="27" w:name="tbl-example2"/>
    <w:p>
      <w:pPr>
        <w:pStyle w:val="TableCaption"/>
      </w:pPr>
      <w:r>
        <w:t xml:space="preserve">Table 2: Пример маркдаун таблицы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Пример маркдаун таблицы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1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left-aligned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bookmarkEnd w:id="27"/>
    <w:p>
      <w:pPr>
        <w:pStyle w:val="BodyText"/>
      </w:pPr>
      <w:r>
        <w:t xml:space="preserve">А еще нужно ссылаться на литературу</w:t>
      </w:r>
      <w:r>
        <w:t xml:space="preserve"> </w:t>
      </w:r>
      <w:r>
        <w:t xml:space="preserve">(Forker 2020: 22-43)</w:t>
      </w:r>
      <w:r>
        <w:t xml:space="preserve">. Или вот еще</w:t>
      </w:r>
      <w:r>
        <w:t xml:space="preserve"> </w:t>
      </w:r>
      <w:r>
        <w:t xml:space="preserve">(Сосенская 1999; Authier 2012; Dobrushina 2012)</w:t>
      </w:r>
      <w:r>
        <w:t xml:space="preserve">.</w:t>
      </w:r>
    </w:p>
    <w:p>
      <w:pPr>
        <w:pStyle w:val="BodyText"/>
      </w:pPr>
      <w:r>
        <w:t xml:space="preserve">Для примеров нужно использовать пакет</w:t>
      </w:r>
      <w:r>
        <w:t xml:space="preserve"> </w:t>
      </w:r>
      <w:r>
        <w:rPr>
          <w:rStyle w:val="VerbatimChar"/>
        </w:rPr>
        <w:t xml:space="preserve">lingglosses</w:t>
      </w:r>
      <w:r>
        <w:t xml:space="preserve">, более сложные примеры можно найти</w:t>
      </w:r>
      <w:r>
        <w:t xml:space="preserve"> </w:t>
      </w:r>
      <w:hyperlink r:id="rId28">
        <w:r>
          <w:rPr>
            <w:rStyle w:val="Hyperlink"/>
          </w:rPr>
          <w:t xml:space="preserve">здесь</w:t>
        </w:r>
      </w:hyperlink>
      <w:r>
        <w:t xml:space="preserve">. И конечно, нужно ссылаться на примеры, см. пример (1):</w:t>
      </w:r>
    </w:p>
    <w:p>
      <w:pPr>
        <w:numPr>
          <w:ilvl w:val="0"/>
          <w:numId w:val="1001"/>
        </w:numPr>
        <w:pStyle w:val="Compact"/>
      </w:pPr>
      <w:r>
        <w:t xml:space="preserve">Ваш интересный пример из зиловского андийского</w:t>
      </w:r>
    </w:p>
    <w:tbl>
      <w:tblPr>
        <w:tblStyle w:val="Table"/>
        <w:tblW w:type="auto" w:w="0"/>
        <w:tblLook w:firstRow="0" w:lastRow="1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bur-e-ri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c'in-ne-s:u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fly-</w:t>
            </w:r>
            <w:r>
              <w:rPr>
                <w:smallCaps/>
              </w:rPr>
              <w:t xml:space="preserve">npst</w:t>
            </w:r>
            <w:r>
              <w:t xml:space="preserve">-</w:t>
            </w:r>
            <w:r>
              <w:rPr>
                <w:smallCaps/>
              </w:rP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know-</w:t>
            </w:r>
            <w:r>
              <w:rPr>
                <w:smallCaps/>
              </w:rPr>
              <w:t xml:space="preserve">hab</w:t>
            </w:r>
            <w:r>
              <w:t xml:space="preserve">-</w:t>
            </w:r>
            <w:r>
              <w:rPr>
                <w:smallCaps/>
              </w:rPr>
              <w:t xml:space="preserve">neg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'I cannot fly.'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К сожалению в quarto не работает маркдаун разметка в примерах, которая показана в документации</w:t>
      </w:r>
      <w:r>
        <w:t xml:space="preserve"> </w:t>
      </w:r>
      <w:r>
        <w:rPr>
          <w:rStyle w:val="VerbatimChar"/>
        </w:rPr>
        <w:t xml:space="preserve">lingglosses</w:t>
      </w:r>
      <w:r>
        <w:t xml:space="preserve">, автор пакета когда-нибудь придет и исправит это.</w:t>
      </w:r>
    </w:p>
    <w:p>
      <w:pPr>
        <w:pStyle w:val="BodyText"/>
      </w:pPr>
      <w:r>
        <w:t xml:space="preserve">Можно даже автоматически составить список глосс:</w:t>
      </w:r>
    </w:p>
    <w:p>
      <w:pPr>
        <w:pStyle w:val="BodyText"/>
      </w:pPr>
      <w:r>
        <w:rPr>
          <w:smallCaps/>
        </w:rPr>
        <w:t xml:space="preserve">hab</w:t>
      </w:r>
      <w:r>
        <w:t xml:space="preserve"> — habitual;</w:t>
      </w:r>
      <w:r>
        <w:t xml:space="preserve"> </w:t>
      </w:r>
      <w:r>
        <w:rPr>
          <w:smallCaps/>
        </w:rPr>
        <w:t xml:space="preserve">inf</w:t>
      </w:r>
      <w:r>
        <w:t xml:space="preserve"> — infinitive;</w:t>
      </w:r>
      <w:r>
        <w:t xml:space="preserve"> </w:t>
      </w:r>
      <w:r>
        <w:rPr>
          <w:smallCaps/>
        </w:rPr>
        <w:t xml:space="preserve">neg</w:t>
      </w:r>
      <w:r>
        <w:t xml:space="preserve"> — negation;</w:t>
      </w:r>
      <w:r>
        <w:t xml:space="preserve"> </w:t>
      </w:r>
      <w:r>
        <w:rPr>
          <w:smallCaps/>
        </w:rPr>
        <w:t xml:space="preserve">npst</w:t>
      </w:r>
      <w:r>
        <w:t xml:space="preserve"> — non-past</w:t>
      </w:r>
    </w:p>
    <w:p>
      <w:pPr>
        <w:pStyle w:val="BodyText"/>
      </w:pPr>
      <w:r>
        <w:t xml:space="preserve">Если в списке что-то синее – значит, нужно узнать, что автор имел в виду и сообщить об этом в личном сообщении или в тексте.</w:t>
      </w:r>
    </w:p>
    <w:bookmarkEnd w:id="29"/>
    <w:bookmarkEnd w:id="30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authier2012"/>
    <w:p>
      <w:pPr>
        <w:pStyle w:val="Bibliography"/>
      </w:pPr>
      <w:r>
        <w:t xml:space="preserve">Authier, Gilles. 2012.</w:t>
      </w:r>
      <w:r>
        <w:t xml:space="preserve"> </w:t>
      </w:r>
      <w:r>
        <w:rPr>
          <w:iCs/>
          <w:i/>
        </w:rPr>
        <w:t xml:space="preserve">Grammaire Juhuri, Ou Judéo-Tat, Langue Iranienne Des Juifs Du Caucase de l’est</w:t>
      </w:r>
      <w:r>
        <w:t xml:space="preserve">. Wiesbaden: Dr. Ludwig Reichert Verlag Wiesbaden.</w:t>
      </w:r>
    </w:p>
    <w:bookmarkEnd w:id="31"/>
    <w:bookmarkStart w:id="32" w:name="ref-dobrushina2012"/>
    <w:p>
      <w:pPr>
        <w:pStyle w:val="Bibliography"/>
      </w:pPr>
      <w:r>
        <w:t xml:space="preserve">Dobrushina, Nina. 2012.</w:t>
      </w:r>
      <w:r>
        <w:t xml:space="preserve"> </w:t>
      </w:r>
      <w:r>
        <w:t xml:space="preserve">“What Is the Jussive for? A Study of Third Person Commands in Six Caucasian Languages.”</w:t>
      </w:r>
      <w:r>
        <w:t xml:space="preserve"> </w:t>
      </w:r>
      <w:r>
        <w:rPr>
          <w:iCs/>
          <w:i/>
        </w:rPr>
        <w:t xml:space="preserve">Linguistics</w:t>
      </w:r>
      <w:r>
        <w:t xml:space="preserve"> </w:t>
      </w:r>
      <w:r>
        <w:t xml:space="preserve">50 (1): 1–25.</w:t>
      </w:r>
    </w:p>
    <w:bookmarkEnd w:id="32"/>
    <w:bookmarkStart w:id="33" w:name="ref-forker2020"/>
    <w:p>
      <w:pPr>
        <w:pStyle w:val="Bibliography"/>
      </w:pPr>
      <w:r>
        <w:t xml:space="preserve">Forker, Diana. 2020.</w:t>
      </w:r>
      <w:r>
        <w:t xml:space="preserve"> </w:t>
      </w:r>
      <w:r>
        <w:rPr>
          <w:iCs/>
          <w:i/>
        </w:rPr>
        <w:t xml:space="preserve">A Grammar of Sanzhi Dargwa</w:t>
      </w:r>
      <w:r>
        <w:t xml:space="preserve">. Berlin: Language Science Press.</w:t>
      </w:r>
    </w:p>
    <w:bookmarkEnd w:id="33"/>
    <w:bookmarkStart w:id="34" w:name="ref-sosenskaja1999"/>
    <w:p>
      <w:pPr>
        <w:pStyle w:val="Bibliography"/>
      </w:pPr>
      <w:r>
        <w:t xml:space="preserve">Сосенская, Татьяна Б. 1999.</w:t>
      </w:r>
      <w:r>
        <w:t xml:space="preserve"> </w:t>
      </w:r>
      <w:r>
        <w:t xml:space="preserve">“Послелог.”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Элементы Цахурского Языка в Типологическом Освещении</w:t>
      </w:r>
      <w:r>
        <w:t xml:space="preserve">, edited by Александр Е. Кибрик and Сергей Г. Татевосов, 121–29. Москва: Наследие.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Приставки</w:t>
      </w:r>
      <w:r>
        <w:t xml:space="preserve"> </w:t>
      </w:r>
      <w:r>
        <w:rPr>
          <w:rStyle w:val="VerbatimChar"/>
        </w:rPr>
        <w:t xml:space="preserve">fig-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tbl-</w:t>
      </w:r>
      <w:r>
        <w:t xml:space="preserve"> </w:t>
      </w:r>
      <w:r>
        <w:t xml:space="preserve">обязательны для ссылок на графики и таблицы.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8" Target="https://agricolamz.github.io/lingglosses/" TargetMode="External" /><Relationship Type="http://schemas.openxmlformats.org/officeDocument/2006/relationships/hyperlink" Id="rId26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icolamz.github.io/lingglosses/" TargetMode="External" /><Relationship Type="http://schemas.openxmlformats.org/officeDocument/2006/relationships/hyperlink" Id="rId26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2023-10-08T13:47:13Z</dcterms:created>
  <dcterms:modified xsi:type="dcterms:W3CDTF">2023-10-08T13:47:13Z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