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入戏交互与界面设计</w:t>
      </w:r>
    </w:p>
    <w:p>
      <w:pPr>
        <w:pStyle w:val="Subtitle"/>
      </w:pPr>
      <w:r>
        <w:t>D03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视觉与信息层级</w:t>
      </w:r>
    </w:p>
    <w:p>
      <w:r>
        <w:t>舞台先于工具。玩家进入局内首先看到地点、人物与叙事，随后看到可以做什么及成本。采用暖白、炭黑、深青绿为控件基调，场景按剧本美术变化；不使用紫色作为主题色。玻璃仅用于背景足够稳定的浮层，正文始终有足够的不透明底色，视频亮暗变化不能降低可读性。</w:t>
      </w:r>
    </w:p>
    <w:p>
      <w:r>
        <w:t>图稿见 figures/player_mobile.png、player_wide.png、studio_wide.png、components.png。它们是本轮 HTML 原型的实际渲染截图，场景使用程序绘制的几何示意，并非最终立绘或影视资产。配套原型在 prototypes/player.html 与 studio.html，可直接打开，无网络依赖。原型用本地状态模拟服务，不能作为多人安全或 AI 能力证明。</w:t>
      </w:r>
    </w:p>
    <w:p>
      <w:pPr>
        <w:pStyle w:val="Heading1"/>
      </w:pPr>
      <w:r>
        <w:t>2 导航与页面规格</w:t>
      </w:r>
    </w:p>
    <w:p>
      <w:r>
        <w:t>P01—P12、W01—W05、A01—A02 的路由、角色、返回和异常由 D01 第5节定义。此处将这些页面归为可复用模板，所有页面均须实现对应状态；没有高保真单图不表示可以省略。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模板与页面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内容与操作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状态要求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目录 P02 P03 P09 W01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标题、搜索筛选、卡片、最近访问、主操作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骨架、空态、离线可读、失效内容、重试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表单 P01 P10 P11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持续标签、字段说明、保存或恢复、错误定位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聚焦、输入、校验、提交、错误保留值、成功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大厅 P04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席位、公开简介、准备、邀请码、邀请、换角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占用、待接受、离线、取消准备、开始失败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舞台 P05 P08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背景/视频、人物、对白、行动、历史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打字、完整文本、等候、结果、媒体失败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浮层 P06 P07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地图、物品、线索、队伍、提案确认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未发现、锁定、已知、选中、等待、无权限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结局 P12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结局正文、本人经历、公开回顾、重玩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读取失败、部分媒体不可用、已过保留期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编辑 W02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地图容器、关联线、属性、问题、预览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选中、修改、保存、冲突、引用错误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任务与资源 W03 W04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任务阶段、结果、来源、修订、素材状态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取消、失败、恢复、重试、缺失、替换影响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审核 W05 A01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变更差异、验证、审批、发布目标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过期审批、权限不足、发布中、失败可查询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运行 A02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筛选、脱敏诊断、反馈单、操作记录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服务异常、拒绝访问、操作未知、重查状态</w:t>
            </w:r>
          </w:p>
        </w:tc>
      </w:tr>
    </w:tbl>
    <w:p/>
    <w:p>
      <w:r>
        <w:t>启动失败显示重试与帮助，不把错误伪装成登录失败。注销和离局必须告知对活动房间的影响。外链邀请码认证后回到目标大厅，链接失效时提供返回详情而非空白页。</w:t>
      </w:r>
    </w:p>
    <w:p>
      <w:pPr>
        <w:pStyle w:val="Heading1"/>
      </w:pPr>
      <w:r>
        <w:t>3 局内布局</w:t>
      </w:r>
    </w:p>
    <w:p>
      <w:r>
        <w:t>窄屏建议竖屏：上方轻量地点与行动点，舞台占可用高度约45%—60%，底部对白和不超过三条推荐操作；内容不足高时自然伸展。更多操作与自由输入为次级入口。底部工具栏只显示地图、记录与菜单，物品、线索和队伍可在菜单或场景入口展开，避免十个按钮同时挤占屏幕。</w:t>
      </w:r>
    </w:p>
    <w:p>
      <w:r>
        <w:t>宽屏将舞台与人物保持中央，底部对白最大宽度约880逻辑像素；行动可以置于对白右侧但不跨越人物面部。地图或物品以右侧面板展开，视口不足时退化为模态底部面板。横向低高度时对白与行动进入可滚动区域，保留当前行和主按钮，不能把字体缩成不可读。</w:t>
      </w:r>
    </w:p>
    <w:p>
      <w:r>
        <w:t>触摸目标至少48逻辑像素。常规正文17、辅助14、标题24，字号响应系统缩放。200%时允许全屏文本阅读模式；选择项不截断关键含义。安全区、键盘高度和系统返回均影响容器约束。断点按内容最小宽度判断，原型720px仅是示例，不是Flutter硬编码机型规则。</w:t>
      </w:r>
    </w:p>
    <w:p>
      <w:pPr>
        <w:pStyle w:val="Heading1"/>
      </w:pPr>
      <w:r>
        <w:t>4 对白与行动行为</w:t>
      </w:r>
    </w:p>
    <w:p>
      <w:r>
        <w:t>点对白第一次补全文字，第二次进入下一条；点选项不会兼做补全或下一条。自动播放等待本条阅读与配音完成，只能推进叙事队列，遇到行动、投票、权限披露或费用确认立即停止。跳过仅跳已读内容或已提供等价摘要的媒体，不触发世界效果。</w:t>
      </w:r>
    </w:p>
    <w:p>
      <w:r>
        <w:t>预设操作显示名称、费用和已知风险，点击后进入queued并显示“待本步结算”，直到提交视图到达才更改预算。自由输入发送后显示判断中，允许取消任务；提案卡展示成本和风险，确认后才提交意图。超时显示仍可执行预设操作，不清除输入草稿。操作发生时世界已变化应提示刷新提案，不默认沿用旧报价。</w:t>
      </w:r>
    </w:p>
    <w:p>
      <w:r>
        <w:t>pending、queued、resolved必须视觉区分。局部按压即时反馈，业务成功动画依赖服务端授权视图。修改尺寸、旋转、重新显示页面不能重新提交命令。自己阅读期间的队友行动只出现轻量摘要徽标；点击后进入相关记录，不能抢焦点或展开私密内容。</w:t>
      </w:r>
    </w:p>
    <w:p>
      <w:pPr>
        <w:pStyle w:val="Heading1"/>
      </w:pPr>
      <w:r>
        <w:t>5 面板 手势与动效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交互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参数建议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中断与降级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按钮按压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90ms 缩放0.98 回弹140ms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取消触摸恢复，不发送业务命令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地点转场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240ms 淡出淡入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从当前透明度转向新目标，结果不会等待动画完成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面板展开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280ms cubic-bezier(.2,.8,.2,1)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中途关闭从当前值反向，不排队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布局重排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240ms 位置与容器尺寸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保留播放器、焦点、草稿、滚动；持续拖窗直接跟随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新知识提示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180ms 淡入，手动可查看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批量合并，不按数量泄露未授权信息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减少动态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80ms 淡入或直接切换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移除大幅位移、缩放与视差，保留状态反馈</w:t>
            </w:r>
          </w:p>
        </w:tc>
      </w:tr>
    </w:tbl>
    <w:p/>
    <w:p>
      <w:r>
        <w:t>底部面板拖动进度=实际位移/可展开高度，松手按位置最近锚点吸附；速度超过800逻辑像素每秒则沿方向吸附一档。正文滚动未到顶时由正文消费下拖，到顶才交给面板；点遮罩关闭，已提交操作继续处理。HTML 演示展开/关闭及中断，复杂滚动仲裁须用 Flutter 实验样例验证。</w:t>
      </w:r>
    </w:p>
    <w:p>
      <w:r>
        <w:t>模态打开后焦点进入标题或首个可操作元素，Tab不逃逸；Escape和系统返回关闭并恢复触发按钮焦点。非模态宽屏侧栏不锁键盘焦点。读屏按地点、当前叙事、可执行动作、辅助工具排序，不频繁朗读全部队友消息。</w:t>
      </w:r>
    </w:p>
    <w:p>
      <w:pPr>
        <w:pStyle w:val="Heading1"/>
      </w:pPr>
      <w:r>
        <w:t>6 设计参数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token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color.canvas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#F5F3EF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局外底色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color.surface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表单与卡片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color.ink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#172522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主要文字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color.accent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#245F52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主操作与选中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color.muted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#5A6964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辅助文字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color.danger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#A73535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失败与危险操作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space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4 8 12 16 24 32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间距尺度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radius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12控件 20面板 28大容器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层级而非统一圆角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motion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90 140 180 240 280ms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对应第5节</w:t>
            </w:r>
          </w:p>
        </w:tc>
      </w:tr>
    </w:tbl>
    <w:p/>
    <w:p>
      <w:r>
        <w:t>深色舞台对白使用#14221E的高不透明背景与#F8F7F3文本。焦点环2px、内外留白清晰；禁用不仅变浅，还提供理由。不得在未授权行动上写出“需要某秘密线索”的名称。</w:t>
      </w:r>
    </w:p>
    <w:p>
      <w:pPr>
        <w:pStyle w:val="Heading1"/>
      </w:pPr>
      <w:r>
        <w:t>7 工作台交互</w:t>
      </w:r>
    </w:p>
    <w:p>
      <w:r>
        <w:t>默认地图视图，地点是容器，内部对象、人物和行动可展开。选中对象后在属性面板查看操作、条件、效果及引用它的事件；点击引用定位同一个实体，不复制实体。事件关系以筛选叠层或局部图显示，保留地点面包屑和选中上下文。</w:t>
      </w:r>
    </w:p>
    <w:p>
      <w:r>
        <w:t>拖拽移动节点只修改布局；修改角色初始地点需要属性操作并列出影响。连接线必须选语义类型，禁止一根无类型线同时表示移动、因果与知识依赖。删除显示引用清单，默认拒绝破坏引用；批量重定向后可删除。键盘支持搜索、撤销、保存和定位错误，但不能绑定在正在输入的字段上。</w:t>
      </w:r>
    </w:p>
    <w:p>
      <w:pPr>
        <w:pStyle w:val="Heading1"/>
      </w:pPr>
      <w:r>
        <w:t>8 配套原型与验证</w:t>
      </w:r>
    </w:p>
    <w:p>
      <w:r>
        <w:t>player.html 覆盖发现、建房、进入舞台、预设行动、自由提案、地图、阅读、设置、结局和续局。模拟队友和网络的控制项清楚标记为演示工具，生产界面不包含它们。studio.html 演示选地点、编辑行动、查看事件依赖、校验错误和多角色预览，采用原生DOM模拟关联编辑；React Flow真实技术实验另见 prototypes/react_flow_probe.tsx。</w:t>
      </w:r>
    </w:p>
    <w:p>
      <w:r>
        <w:t>Flutter实验见 prototypes/flutter_probe.dart，使用稳定播放器占位宿主验证布局状态、手势和草稿保持；不含真实视频插件，媒体解码、帧率与真机读屏仍需D11 QA11、QA12验证。HTML本地测试记录见 verification/results.json，不能以浏览器通过代替原生验收。</w:t>
      </w:r>
    </w:p>
    <w:p>
      <w:pPr>
        <w:pStyle w:val="Heading1"/>
      </w:pPr>
      <w:r>
        <w:t>9 局外与管理操作细节</w:t>
      </w:r>
    </w:p>
    <w:p>
      <w:r>
        <w:t>目录点击卡片进入详情，筛选与滚动位置在返回时保留；搜索无结果提供清除筛选。我的游戏按进行中、待恢复、已结束分组，继续时先查询房间状态，过期提供只读说明。个人资料保存只更新本人，失败保留字段；恢复码轮换需确认旧码失效，关闭弹窗前提示保存。退出清会话但不删除服务器身份；注销明确共同游戏的保留范围并二次确认。</w:t>
      </w:r>
    </w:p>
    <w:p>
      <w:r>
        <w:t>大厅邀请提供复制与撤销重发，使用系统分享取消不改变房间；角色交换通过对方接受，等待期间禁用准备。房主开始按钮在所有条件满足前显示原因。帮助手册覆盖行动点、分享秘密、离局与恢复；反馈提交后保留可查询编号。管理审核页按内容hash对照修改，批准和驳回填写原因；下架显示对新房和活动房的不同影响并要求确认。</w:t>
      </w:r>
    </w:p>
    <w:p>
      <w:r>
        <w:t>这些页面行为在正文中已定义，HTML仅演示所列代表流程，未包含真实身份认证、审核授权、视频播放器和运营服务。不得将未演示页面当作不需要开发。</w:t>
      </w:r>
    </w:p>
    <w:p>
      <w:pPr>
        <w:pStyle w:val="Heading1"/>
      </w:pPr>
      <w:r>
        <w:t>10 界面示意图</w:t>
      </w:r>
    </w:p>
    <w:p>
      <w:pPr>
        <w:pStyle w:val="Heading2"/>
      </w:pPr>
      <w:r>
        <w:t>手机舞台 对白与预设操作</w:t>
      </w:r>
    </w:p>
    <w:p>
      <w:r>
        <w:drawing>
          <wp:inline xmlns:a="http://schemas.openxmlformats.org/drawingml/2006/main" xmlns:pic="http://schemas.openxmlformats.org/drawingml/2006/picture">
            <wp:extent cx="2743200" cy="6013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13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实际HTML原型截图。场景为几何示意，非最终游戏美术。</w:t>
      </w:r>
    </w:p>
    <w:p>
      <w:pPr>
        <w:pStyle w:val="Heading2"/>
      </w:pPr>
      <w:r>
        <w:t>宽屏舞台与工具入口</w:t>
      </w:r>
    </w:p>
    <w:p>
      <w:r>
        <w:drawing>
          <wp:inline xmlns:a="http://schemas.openxmlformats.org/drawingml/2006/main" xmlns:pic="http://schemas.openxmlformats.org/drawingml/2006/picture">
            <wp:extent cx="6309360" cy="4127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w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2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实际HTML原型截图。场景为几何示意，非最终游戏美术。</w:t>
      </w:r>
    </w:p>
    <w:p>
      <w:pPr>
        <w:pStyle w:val="Heading2"/>
      </w:pPr>
      <w:r>
        <w:t>地点与行动在同一编辑上下文</w:t>
      </w:r>
    </w:p>
    <w:p>
      <w:r>
        <w:drawing>
          <wp:inline xmlns:a="http://schemas.openxmlformats.org/drawingml/2006/main" xmlns:pic="http://schemas.openxmlformats.org/drawingml/2006/picture">
            <wp:extent cx="6309360" cy="3965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_w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6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实际HTML原型截图。场景为几何示意，非最终游戏美术。</w:t>
      </w:r>
    </w:p>
    <w:p>
      <w:pPr>
        <w:pStyle w:val="Heading2"/>
      </w:pPr>
      <w:r>
        <w:t>组件与状态</w:t>
      </w:r>
    </w:p>
    <w:p>
      <w:r>
        <w:drawing>
          <wp:inline xmlns:a="http://schemas.openxmlformats.org/drawingml/2006/main" xmlns:pic="http://schemas.openxmlformats.org/drawingml/2006/picture">
            <wp:extent cx="6309360" cy="4469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实际HTML原型截图。场景为几何示意，非最终游戏美术。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D03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入戏交互与界面设计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入戏交互与界面设计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