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DDoS attack due to a misconfigured firewall. The attacker was able to send a flood of ICMP packets through the misconfigured firewall, overwhelming the internal network and causing a disruption to normal business activities. The cybersecurity team responded by blocking the ICMP packets, configuring the firewall correctly, and implementing intrusion detection and prevention systems to monitor and protect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identified a misconfigured firewall as the main attack vector for this cybersecurity incident. The servers and devices in the internal network were unable to handle the overwhelmingly high level of traffic and normal operations were disrupted entirely for 2 hours.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New firewall rules were implemented that block abnormal ICMP requests. It is important that new policies are implemented to ensure that firewalls are correctly configured when installed and audited regularly.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Monitoring software, prevention and detection devices, and source IP verification for ICMP requests have been added in order to help detect future attempted attacks and stop them before they can disrupt the network.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responded by blocking the incoming ICMP requests, disabling non critical network services, and restoring critical network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rest of the non-critical network services must be restored to resume normal business operations. The organization has implemented new policies, along with an intrusion detection system that will help identify future attacks more quickly, allowing faster recovery.</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