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i w:val="1"/>
              </w:rPr>
            </w:pPr>
            <w:r w:rsidDel="00000000" w:rsidR="00000000" w:rsidRPr="00000000">
              <w:rPr>
                <w:i w:val="1"/>
                <w:rtl w:val="0"/>
              </w:rPr>
              <w:t xml:space="preserve">The bank’s funds could be at risk due to several factors, including phishing, misconfiguration, hacks, and physical theft. The bank’s funds could also be left at risk if the supply chain of funds is disrupted due to external factors.</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