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一周资讯速递（01.20-01.24</w:t>
      </w:r>
      <w:bookmarkStart w:id="0" w:name="_GoBack"/>
      <w:bookmarkEnd w:id="0"/>
      <w:r>
        <w:rPr>
          <w:rFonts w:hint="eastAsia"/>
          <w:sz w:val="44"/>
          <w:lang w:val="en-US" w:eastAsia="zh-CN"/>
        </w:rPr>
        <w:t>）</w:t>
      </w:r>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jc w:val="both"/>
        <w:textAlignment w:val="auto"/>
        <w:rPr>
          <w:rFonts w:hint="default" w:ascii="Times New Roman" w:hAnsi="Times New Roman" w:eastAsia="宋体" w:cs="Times New Roman"/>
          <w:sz w:val="16"/>
          <w:szCs w:val="16"/>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sz w:val="32"/>
          <w:szCs w:val="32"/>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0288;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1312"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1312;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p>
    <w:p>
      <w:pPr>
        <w:jc w:val="both"/>
        <w:rPr>
          <w:rFonts w:hint="eastAsia"/>
          <w:sz w:val="6"/>
          <w:szCs w:val="6"/>
          <w:lang w:val="en-US" w:eastAsia="zh-CN"/>
        </w:rPr>
      </w:pP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ascii="Times New Roman" w:hAnsi="Times New Roman" w:eastAsia="宋体" w:cs="Times New Roman"/>
          <w:lang w:val="en-US" w:eastAsia="zh-CN"/>
        </w:rPr>
      </w:pPr>
    </w:p>
    <w:p>
      <w:pPr>
        <w:bidi w:val="0"/>
        <w:spacing w:line="360" w:lineRule="auto"/>
        <w:ind w:firstLine="480" w:firstLineChars="200"/>
        <w:jc w:val="left"/>
        <w:rPr>
          <w:rFonts w:hint="eastAsia"/>
          <w:lang w:val="en-US" w:eastAsia="zh-CN"/>
        </w:rPr>
      </w:pPr>
      <w:r>
        <w:rPr>
          <w:lang w:val="en-US" w:eastAsia="zh-CN"/>
        </w:rPr>
        <w:t>国家发展改革委、国家数据局日前公布《公共数据资源登记管理暂行办法》、《公共数据资源授权运营实施规范（试行）》，以及《关于建立公共数据资源授权运营价格形成机制的通知》三份政策文件。</w:t>
      </w:r>
      <w:r>
        <w:rPr>
          <w:rFonts w:hint="eastAsia"/>
          <w:lang w:val="en-US" w:eastAsia="zh-CN"/>
        </w:rPr>
        <w:t xml:space="preserve">     </w:t>
      </w:r>
    </w:p>
    <w:p>
      <w:pPr>
        <w:bidi w:val="0"/>
        <w:spacing w:line="360" w:lineRule="auto"/>
        <w:ind w:firstLine="480" w:firstLineChars="200"/>
        <w:jc w:val="left"/>
      </w:pPr>
      <w:r>
        <w:rPr>
          <w:rFonts w:hint="eastAsia"/>
          <w:lang w:val="en-US" w:eastAsia="zh-CN"/>
        </w:rPr>
        <w:t>2024年10月9日，《中共中央办公厅、国务院办公厅关于加快公共数据资源开发利用的意见》（以下简称《意见》）公开发布，提出共享、开放和授权运营三种开发利用模式。其中，共享和开放制度规则、运行机制相对成熟。《意见》明确要求建立公共数据资源登记制度，鼓励探索公共数据资源授权运营，建立健全价格形成机制。本次出台的三份文件是落实《意见》要求的重要举措，针对授权运营相关活动进行规范。</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keepNext w:val="0"/>
        <w:keepLines w:val="0"/>
        <w:widowControl/>
        <w:suppressLineNumbers w:val="0"/>
        <w:spacing w:line="360" w:lineRule="auto"/>
        <w:jc w:val="center"/>
      </w:pPr>
      <w:r>
        <w:rPr>
          <w:rFonts w:hint="eastAsia" w:ascii="Times New Roman" w:hAnsi="Times New Roman" w:eastAsia="宋体" w:cs="Times New Roman"/>
          <w:b/>
          <w:bCs/>
          <w:kern w:val="44"/>
          <w:sz w:val="28"/>
          <w:szCs w:val="44"/>
          <w:lang w:val="en-US" w:eastAsia="zh-CN" w:bidi="ar-SA"/>
        </w:rPr>
        <w:t>一、公共数据资源登记管理暂行办法的通知</w:t>
      </w:r>
    </w:p>
    <w:p>
      <w:pPr>
        <w:pStyle w:val="26"/>
        <w:keepNext w:val="0"/>
        <w:keepLines w:val="0"/>
        <w:widowControl/>
        <w:suppressLineNumbers w:val="0"/>
        <w:shd w:val="clear" w:fill="FFFFFF"/>
        <w:spacing w:before="0" w:beforeAutospacing="0" w:after="0" w:afterAutospacing="0" w:line="360" w:lineRule="auto"/>
        <w:ind w:left="0" w:right="0" w:firstLine="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w:t>
      </w:r>
      <w:r>
        <w:rPr>
          <w:rFonts w:hint="eastAsia" w:cs="Times New Roman"/>
          <w:kern w:val="2"/>
          <w:sz w:val="24"/>
          <w:szCs w:val="24"/>
          <w:lang w:val="en-US" w:eastAsia="zh-CN" w:bidi="ar-SA"/>
        </w:rPr>
        <w:t xml:space="preserve">   </w:t>
      </w:r>
      <w:r>
        <w:rPr>
          <w:rFonts w:hint="eastAsia" w:ascii="Times New Roman" w:hAnsi="Times New Roman" w:eastAsia="宋体" w:cs="Times New Roman"/>
          <w:kern w:val="2"/>
          <w:sz w:val="24"/>
          <w:szCs w:val="24"/>
          <w:lang w:val="en-US" w:eastAsia="zh-CN" w:bidi="ar-SA"/>
        </w:rPr>
        <w:t>《公共数据资源登记管理暂行办法》是为规范公共数据资源登记工作，构建全国一体化公共数据资源登记体系，促进公共数据资源合规高效开发利用而制定的重要文件。文中明确了登记主体与范围；登记流程包括申请、受理、形式审核、公示、赋码等环节。登记结果有效期原则上为三年，期满可续展。在登记管理方面，国家数据局将建设国家公共数据资源登记平台，在全国范围内实现登记结果统一赋码，实现与省级平台的对接，推动登记信息互联互通。《公共数据资源登记管理暂行办法》为公共数据资源的规范化管理提供了明确的制度框架，为数据要素市场的健康发展奠定了基础。</w:t>
      </w:r>
    </w:p>
    <w:p>
      <w:pPr>
        <w:pStyle w:val="26"/>
        <w:keepNext w:val="0"/>
        <w:keepLines w:val="0"/>
        <w:widowControl/>
        <w:suppressLineNumbers w:val="0"/>
        <w:shd w:val="clear" w:fill="FFFFFF"/>
        <w:spacing w:before="0" w:beforeAutospacing="0" w:after="0" w:afterAutospacing="0" w:line="288" w:lineRule="atLeast"/>
        <w:ind w:left="0" w:right="0" w:firstLine="0"/>
        <w:rPr>
          <w:rFonts w:hint="default" w:ascii="Times New Roman" w:hAnsi="Times New Roman" w:eastAsia="宋体" w:cs="Times New Roman"/>
          <w:kern w:val="2"/>
          <w:sz w:val="24"/>
          <w:szCs w:val="24"/>
          <w:lang w:val="en-US" w:eastAsia="zh-CN" w:bidi="ar-SA"/>
        </w:rPr>
      </w:pPr>
    </w:p>
    <w:p>
      <w:pPr>
        <w:pStyle w:val="26"/>
        <w:keepNext w:val="0"/>
        <w:keepLines w:val="0"/>
        <w:widowControl/>
        <w:suppressLineNumbers w:val="0"/>
        <w:shd w:val="clear" w:fill="FFFFFF"/>
        <w:spacing w:before="0" w:beforeAutospacing="0" w:after="0" w:afterAutospacing="0" w:line="288" w:lineRule="atLeast"/>
        <w:ind w:left="0" w:right="0" w:firstLine="0"/>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发文时间：2025年1月20日</w:t>
      </w:r>
    </w:p>
    <w:p>
      <w:pPr>
        <w:pStyle w:val="26"/>
        <w:keepNext w:val="0"/>
        <w:keepLines w:val="0"/>
        <w:widowControl/>
        <w:suppressLineNumbers w:val="0"/>
        <w:shd w:val="clear" w:fill="FFFFFF"/>
        <w:spacing w:before="0" w:beforeAutospacing="0" w:after="0" w:afterAutospacing="0" w:line="288" w:lineRule="atLeast"/>
        <w:ind w:left="0" w:right="0" w:firstLine="0"/>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发文单位：国家发展改革委、国家数据局</w:t>
      </w:r>
    </w:p>
    <w:p>
      <w:pPr>
        <w:pStyle w:val="26"/>
        <w:keepNext w:val="0"/>
        <w:keepLines w:val="0"/>
        <w:widowControl/>
        <w:suppressLineNumbers w:val="0"/>
        <w:shd w:val="clear" w:fill="FFFFFF"/>
        <w:spacing w:before="0" w:beforeAutospacing="0" w:after="0" w:afterAutospacing="0" w:line="288" w:lineRule="atLeast"/>
        <w:ind w:left="0" w:right="0" w:firstLine="0"/>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   </w:t>
      </w:r>
    </w:p>
    <w:p>
      <w:pPr>
        <w:pStyle w:val="26"/>
        <w:keepNext w:val="0"/>
        <w:keepLines w:val="0"/>
        <w:widowControl/>
        <w:suppressLineNumbers w:val="0"/>
        <w:shd w:val="clear" w:fill="FFFFFF"/>
        <w:spacing w:before="0" w:beforeAutospacing="0" w:after="0" w:afterAutospacing="0" w:line="288" w:lineRule="atLeast"/>
        <w:ind w:left="0" w:right="0" w:firstLine="0"/>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https://www.ndrc.gov.cn/xxgk/zcfb/ghxwj/202501/t20250116_1395725.html</w:t>
      </w:r>
    </w:p>
    <w:p>
      <w:pPr>
        <w:pStyle w:val="26"/>
        <w:keepNext w:val="0"/>
        <w:keepLines w:val="0"/>
        <w:widowControl/>
        <w:suppressLineNumbers w:val="0"/>
        <w:shd w:val="clear" w:fill="FFFFFF"/>
        <w:spacing w:before="0" w:beforeAutospacing="0" w:after="0" w:afterAutospacing="0" w:line="288" w:lineRule="atLeast"/>
        <w:ind w:left="0" w:right="0" w:firstLine="0"/>
        <w:rPr>
          <w:rFonts w:hint="default" w:ascii="Times New Roman" w:hAnsi="Times New Roman" w:cs="Times New Roman"/>
          <w:spacing w:val="9"/>
          <w:sz w:val="24"/>
          <w:szCs w:val="24"/>
        </w:rPr>
      </w:pPr>
    </w:p>
    <w:p>
      <w:pPr>
        <w:pStyle w:val="26"/>
        <w:keepNext w:val="0"/>
        <w:keepLines w:val="0"/>
        <w:widowControl/>
        <w:suppressLineNumbers w:val="0"/>
        <w:shd w:val="clear" w:fill="FFFFFF"/>
        <w:spacing w:before="0" w:beforeAutospacing="0" w:after="0" w:afterAutospacing="0" w:line="288" w:lineRule="atLeast"/>
        <w:ind w:left="0" w:right="0" w:firstLine="0"/>
        <w:rPr>
          <w:rFonts w:hint="default" w:ascii="Times New Roman" w:hAnsi="Times New Roman" w:cs="Times New Roman"/>
          <w:spacing w:val="9"/>
          <w:sz w:val="24"/>
          <w:szCs w:val="24"/>
        </w:rPr>
      </w:pPr>
    </w:p>
    <w:p>
      <w:pPr>
        <w:pStyle w:val="26"/>
        <w:keepNext w:val="0"/>
        <w:keepLines w:val="0"/>
        <w:widowControl/>
        <w:suppressLineNumbers w:val="0"/>
        <w:spacing w:after="0" w:afterAutospacing="0" w:line="360" w:lineRule="auto"/>
        <w:jc w:val="center"/>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二、公共数据资源授权运营实施规范（试行）的通知</w:t>
      </w: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ascii="Times New Roman" w:hAnsi="Times New Roman" w:eastAsia="宋体" w:cs="Times New Roman"/>
          <w:kern w:val="2"/>
          <w:sz w:val="24"/>
          <w:szCs w:val="24"/>
          <w:lang w:val="en-US" w:eastAsia="zh-CN" w:bidi="ar-SA"/>
        </w:rPr>
      </w:pPr>
      <w:r>
        <w:rPr>
          <w:rFonts w:hint="eastAsia" w:ascii="Microsoft YaHei UI" w:hAnsi="Microsoft YaHei UI" w:eastAsia="Microsoft YaHei UI" w:cs="Microsoft YaHei UI"/>
          <w:color w:val="3E3E3E"/>
          <w:spacing w:val="30"/>
          <w:sz w:val="21"/>
          <w:szCs w:val="21"/>
          <w:shd w:val="clear" w:fill="FFFFFF"/>
        </w:rPr>
        <w:t>    </w:t>
      </w:r>
      <w:r>
        <w:rPr>
          <w:rFonts w:hint="eastAsia" w:ascii="Times New Roman" w:hAnsi="Times New Roman" w:eastAsia="宋体" w:cs="Times New Roman"/>
          <w:kern w:val="2"/>
          <w:sz w:val="24"/>
          <w:szCs w:val="24"/>
          <w:lang w:val="en-US" w:eastAsia="zh-CN" w:bidi="ar-SA"/>
        </w:rPr>
        <w:t> 为推进公共数据资源开发利用，规范公共数据资源授权运营，国家发改委近日印发关于《公共数据资源授权运营实施规范（试行）》。文中说明，授权运营是将县级以上地方各级人民政府、国家行业主管部门持有的公共数据资源，按照法律法规和相关要求，授权符合条件的运营机构进行治理、开发，并面向市场公平提供数据产品和技术服务的活动。县级以上地方各级数据管理部门、国家行业主管部门数据管理机构可根据实际情况制定实施细则。《实施规范》从方案编制、协议签订、运营实施、运营管理四个方面，为公共数据资源的开发利用提供了明确的制度框架，推动了数据要素市场的规范化和可持续发展。该规范自2025年3月1日起施行。</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发布时间：2025年1月20日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发文单位：国家发展改革委、国家数据局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https://www.ndrc.gov.cn/xxgk/zcfb/ghxwj/202501/t20250116_1395726.html</w:t>
      </w:r>
    </w:p>
    <w:p>
      <w:pPr>
        <w:pStyle w:val="26"/>
        <w:keepNext w:val="0"/>
        <w:keepLines w:val="0"/>
        <w:widowControl/>
        <w:suppressLineNumbers w:val="0"/>
        <w:shd w:val="clear" w:fill="FFFFFF"/>
        <w:spacing w:before="0" w:beforeAutospacing="0" w:after="0" w:afterAutospacing="0" w:line="288" w:lineRule="atLeast"/>
        <w:ind w:left="0" w:right="0" w:firstLine="0"/>
        <w:rPr>
          <w:rFonts w:hint="default" w:ascii="Times New Roman" w:hAnsi="Times New Roman" w:cs="Times New Roman"/>
          <w:spacing w:val="9"/>
          <w:sz w:val="24"/>
          <w:szCs w:val="24"/>
        </w:rPr>
      </w:pPr>
    </w:p>
    <w:p>
      <w:pPr>
        <w:pStyle w:val="26"/>
        <w:keepNext w:val="0"/>
        <w:keepLines w:val="0"/>
        <w:widowControl/>
        <w:suppressLineNumbers w:val="0"/>
        <w:shd w:val="clear" w:fill="FFFFFF"/>
        <w:spacing w:after="0" w:afterAutospacing="0" w:line="420" w:lineRule="atLeast"/>
        <w:ind w:left="0" w:right="0" w:firstLine="0"/>
        <w:jc w:val="center"/>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三、建立公共数据资源授权运营价格形成机制的通知 </w:t>
      </w:r>
    </w:p>
    <w:p>
      <w:pPr>
        <w:pStyle w:val="26"/>
        <w:keepNext w:val="0"/>
        <w:keepLines w:val="0"/>
        <w:widowControl/>
        <w:suppressLineNumbers w:val="0"/>
        <w:spacing w:after="0" w:afterAutospacing="0" w:line="360" w:lineRule="auto"/>
        <w:jc w:val="both"/>
        <w:rPr>
          <w:spacing w:val="9"/>
        </w:rPr>
      </w:pPr>
      <w:r>
        <w:rPr>
          <w:rFonts w:hint="eastAsia" w:ascii="Microsoft YaHei UI" w:hAnsi="Microsoft YaHei UI" w:eastAsia="Microsoft YaHei UI" w:cs="Microsoft YaHei UI"/>
          <w:color w:val="3E3E3E"/>
          <w:spacing w:val="7"/>
          <w:sz w:val="21"/>
          <w:szCs w:val="21"/>
          <w:shd w:val="clear" w:fill="FFFFFF"/>
        </w:rPr>
        <w:t>     </w:t>
      </w:r>
      <w:r>
        <w:rPr>
          <w:rFonts w:hint="eastAsia" w:ascii="Microsoft YaHei UI" w:hAnsi="Microsoft YaHei UI" w:eastAsia="Microsoft YaHei UI" w:cs="Microsoft YaHei UI"/>
          <w:color w:val="3E3E3E"/>
          <w:spacing w:val="30"/>
          <w:sz w:val="21"/>
          <w:szCs w:val="21"/>
        </w:rPr>
        <w:t xml:space="preserve"> </w:t>
      </w:r>
      <w:r>
        <w:rPr>
          <w:rFonts w:hint="eastAsia" w:ascii="Times New Roman" w:hAnsi="Times New Roman" w:eastAsia="宋体" w:cs="Times New Roman"/>
          <w:kern w:val="2"/>
          <w:sz w:val="24"/>
          <w:szCs w:val="24"/>
          <w:lang w:val="en-US" w:eastAsia="zh-CN" w:bidi="ar-SA"/>
        </w:rPr>
        <w:t>为规范公共数据资源授权运营的价格管理，发改委及数据局印发关于《建立公共数据资源授权运营价格形成机制》的通知。文中从定价范围和权限，定价程序，最高准许收入和上限收费标准，定期评估调整制度和指导监督几个方面的部署，旨在平衡公共数据资源的公益性和市场化开发利用，推动数据要素市场的健康发展。</w:t>
      </w:r>
    </w:p>
    <w:p>
      <w:pPr>
        <w:pStyle w:val="26"/>
        <w:keepNext w:val="0"/>
        <w:keepLines w:val="0"/>
        <w:widowControl/>
        <w:suppressLineNumbers w:val="0"/>
        <w:shd w:val="clear" w:fill="FFFFFF"/>
        <w:spacing w:after="0" w:afterAutospacing="0" w:line="240" w:lineRule="auto"/>
        <w:jc w:val="left"/>
        <w:rPr>
          <w:rFonts w:hint="eastAsia" w:ascii="Microsoft YaHei UI" w:hAnsi="Microsoft YaHei UI" w:eastAsia="Microsoft YaHei UI" w:cs="Microsoft YaHei UI"/>
          <w:spacing w:val="8"/>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发文日期：2025年1月20日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发文单位：国家发展改革委</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https://www.ndrc.gov.cn/xxgk/zcfb/tz/202501/t20250120_1395799.html</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i/>
          <w:iCs/>
          <w:caps w:val="0"/>
          <w:color w:val="666666"/>
          <w:spacing w:val="0"/>
          <w:sz w:val="21"/>
          <w:szCs w:val="21"/>
          <w:shd w:val="clear" w:color="auto" w:fill="FFFFFF"/>
          <w:lang w:val="en-US" w:eastAsia="zh-CN"/>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i/>
          <w:iCs/>
          <w:caps w:val="0"/>
          <w:color w:val="666666"/>
          <w:spacing w:val="0"/>
          <w:sz w:val="21"/>
          <w:szCs w:val="21"/>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3360;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2336;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b/>
          <w:bCs/>
          <w:lang w:val="en-US" w:eastAsia="zh-CN"/>
        </w:rPr>
      </w:pPr>
    </w:p>
    <w:p>
      <w:pPr>
        <w:keepNext w:val="0"/>
        <w:keepLines w:val="0"/>
        <w:widowControl/>
        <w:numPr>
          <w:ilvl w:val="0"/>
          <w:numId w:val="4"/>
        </w:numPr>
        <w:suppressLineNumbers w:val="0"/>
        <w:spacing w:line="360" w:lineRule="auto"/>
        <w:jc w:val="left"/>
        <w:rPr>
          <w:rFonts w:ascii="Microsoft YaHei UI" w:hAnsi="Microsoft YaHei UI" w:eastAsia="Microsoft YaHei UI" w:cs="Microsoft YaHei UI"/>
          <w:color w:val="3E3E3E"/>
          <w:spacing w:val="7"/>
          <w:kern w:val="0"/>
          <w:sz w:val="21"/>
          <w:szCs w:val="21"/>
          <w:shd w:val="clear" w:fill="FFFFFF"/>
          <w:lang w:val="en-US" w:eastAsia="zh-CN" w:bidi="ar"/>
        </w:rPr>
      </w:pPr>
      <w:r>
        <w:rPr>
          <w:rFonts w:hint="eastAsia" w:ascii="Times New Roman" w:hAnsi="Times New Roman" w:eastAsia="宋体" w:cs="Times New Roman"/>
          <w:b/>
          <w:bCs/>
          <w:kern w:val="44"/>
          <w:sz w:val="28"/>
          <w:szCs w:val="44"/>
          <w:lang w:val="en-US" w:eastAsia="zh-CN" w:bidi="ar-SA"/>
        </w:rPr>
        <w:t xml:space="preserve">教育强国建设规划纲要（2024－2035年）  </w:t>
      </w:r>
      <w:r>
        <w:rPr>
          <w:rFonts w:ascii="Microsoft YaHei UI" w:hAnsi="Microsoft YaHei UI" w:eastAsia="Microsoft YaHei UI" w:cs="Microsoft YaHei UI"/>
          <w:color w:val="3E3E3E"/>
          <w:spacing w:val="7"/>
          <w:kern w:val="0"/>
          <w:sz w:val="21"/>
          <w:szCs w:val="21"/>
          <w:shd w:val="clear" w:fill="FFFFFF"/>
          <w:lang w:val="en-US" w:eastAsia="zh-CN" w:bidi="ar"/>
        </w:rPr>
        <w:t xml:space="preserve">    </w:t>
      </w:r>
    </w:p>
    <w:p>
      <w:pPr>
        <w:bidi w:val="0"/>
        <w:spacing w:line="360" w:lineRule="auto"/>
        <w:ind w:firstLine="480" w:firstLineChars="200"/>
      </w:pPr>
      <w:r>
        <w:rPr>
          <w:lang w:val="en-US" w:eastAsia="zh-CN"/>
        </w:rPr>
        <w:t>1月13日，国务院办公厅印发《关于进一步培育新增长点繁荣文化和旅游消费的若干措施》的通知，为落实扩大服务消费和促进文化旅游业发展的部署要求，提出了六大实施措施。</w:t>
      </w:r>
      <w:r>
        <w:rPr>
          <w:rFonts w:hint="eastAsia"/>
          <w:lang w:val="en-US" w:eastAsia="zh-CN"/>
        </w:rPr>
        <w:t>鼓励打造新型消费场景，支持在文博场馆、景区、街区、邮轮、大巴等打造沉浸式体验空间，推出一批沉浸式文旅新产品新场景，建设空间型虚拟现实体验项目。</w:t>
      </w:r>
      <w:r>
        <w:rPr>
          <w:lang w:val="en-US" w:eastAsia="zh-CN"/>
        </w:rPr>
        <w:br w:type="textWrapping"/>
      </w:r>
      <w:r>
        <w:rPr>
          <w:rFonts w:hint="eastAsia"/>
          <w:lang w:val="en-US" w:eastAsia="zh-CN"/>
        </w:rPr>
        <w:t>      在政策支持方面，《措施》中明确指出，将加大对符合条件的文化和旅游领域“两新”项目的支持力度，允许地方安排地方政府专项债券资金支持，支持符合条件的文化和旅游类项目发行基础设施领域不动产投资信托基金（REITs）。</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rPr>
      </w:pPr>
      <w:r>
        <w:rPr>
          <w:rFonts w:hint="eastAsia" w:ascii="Microsoft YaHei UI" w:hAnsi="Microsoft YaHei UI" w:eastAsia="Microsoft YaHei UI" w:cs="Microsoft YaHei UI"/>
          <w:spacing w:val="7"/>
          <w:kern w:val="0"/>
          <w:sz w:val="15"/>
          <w:szCs w:val="15"/>
          <w:lang w:val="en-US" w:eastAsia="zh-CN" w:bidi="ar"/>
        </w:rPr>
        <w:t>https://www.gov.cn/zhengce/content/202501/content_6998238.htm</w:t>
      </w:r>
      <w:r>
        <w:rPr>
          <w:rFonts w:hint="default" w:ascii="Microsoft YaHei UI" w:hAnsi="Microsoft YaHei UI" w:eastAsia="Microsoft YaHei UI" w:cs="Microsoft YaHei UI"/>
          <w:spacing w:val="7"/>
          <w:kern w:val="0"/>
          <w:sz w:val="15"/>
          <w:szCs w:val="15"/>
          <w:lang w:val="en-US" w:eastAsia="zh-CN" w:bidi="ar"/>
        </w:rPr>
        <w:t>   </w:t>
      </w:r>
      <w:r>
        <w:rPr>
          <w:rFonts w:hint="default"/>
          <w:lang w:val="en-US" w:eastAsia="zh-CN"/>
        </w:rPr>
        <w:t xml:space="preserve"> </w:t>
      </w:r>
      <w:r>
        <w:rPr>
          <w:rFonts w:hint="default"/>
        </w:rPr>
        <w:t> </w:t>
      </w:r>
    </w:p>
    <w:p>
      <w:pPr>
        <w:pStyle w:val="26"/>
        <w:keepNext w:val="0"/>
        <w:keepLines w:val="0"/>
        <w:widowControl/>
        <w:suppressLineNumbers w:val="0"/>
        <w:shd w:val="clear" w:fill="FFFFFF"/>
        <w:spacing w:after="0" w:afterAutospacing="0" w:line="240" w:lineRule="auto"/>
        <w:jc w:val="left"/>
        <w:rPr>
          <w:rFonts w:hint="eastAsia" w:ascii="Microsoft YaHei UI" w:hAnsi="Microsoft YaHei UI" w:eastAsia="Microsoft YaHei UI" w:cs="Microsoft YaHei UI"/>
          <w:spacing w:val="8"/>
        </w:rPr>
      </w:pPr>
      <w:r>
        <w:rPr>
          <w:rFonts w:hint="default" w:ascii="Times New Roman" w:hAnsi="Times New Roman" w:eastAsia="Microsoft YaHei UI" w:cs="Times New Roman"/>
          <w:color w:val="0762D2"/>
          <w:spacing w:val="7"/>
          <w:sz w:val="18"/>
          <w:szCs w:val="18"/>
          <w:shd w:val="clear" w:fill="FFFFFF"/>
        </w:rPr>
        <w:t> </w:t>
      </w:r>
      <w:r>
        <w:rPr>
          <w:rFonts w:hint="eastAsia" w:ascii="Microsoft YaHei UI" w:hAnsi="Microsoft YaHei UI" w:eastAsia="Microsoft YaHei UI" w:cs="Microsoft YaHei UI"/>
          <w:spacing w:val="8"/>
          <w:shd w:val="clear" w:fill="FFFFFF"/>
        </w:rPr>
        <w:t> </w:t>
      </w: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二、中小学科学教育工作指南的通知</w:t>
      </w: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rPr>
      </w:pPr>
      <w:r>
        <w:rPr>
          <w:rFonts w:hint="eastAsia" w:ascii="Microsoft YaHei UI" w:hAnsi="Microsoft YaHei UI" w:eastAsia="Microsoft YaHei UI" w:cs="Microsoft YaHei UI"/>
          <w:b w:val="0"/>
          <w:bCs w:val="0"/>
          <w:color w:val="3E3E3E"/>
          <w:spacing w:val="7"/>
          <w:sz w:val="21"/>
          <w:szCs w:val="21"/>
          <w:shd w:val="clear" w:fill="FFFFFF"/>
        </w:rPr>
        <w:t xml:space="preserve">     </w:t>
      </w:r>
      <w:r>
        <w:rPr>
          <w:rFonts w:hint="eastAsia"/>
        </w:rPr>
        <w:t>《指南》聚焦不断完善科学类课程体系建设，改进和创新教学体系，针对教育行政部门、学校和科学类课程教师等不同主体，分别明确了工作内容。《指南》提出，教育行政部门主要统筹教师配备、智慧赋能等方面工作，通过配齐配优科学类课程教师、配强科学副校长、做好科学类课程教师培养培训、探索建设区域科学教育中心、加强科学教育资源对接转化、实施科学素养动态调查、将实验等探究实践纳入评价体系、创新应用国家智慧教育公共服务平台和数字技术开展教学等具体措施，利用智能装备为科学教学创设沉浸式学习环境，探索虚拟仿真和计算机建模等科学教学新模式，开拓生成式人工智能大模型在科学教学中应用的新场景，利用数据分析技术提升教学评价的精准化水平，引领推动中小学科学教育工作取得突破。 </w:t>
      </w:r>
      <w:r>
        <w:rPr>
          <w:rFonts w:hint="default"/>
        </w:rPr>
        <w:t> </w:t>
      </w:r>
    </w:p>
    <w:p>
      <w:pPr>
        <w:bidi w:val="0"/>
        <w:rPr>
          <w:rFonts w:hint="eastAsi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发文日期：2025年1月16日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发文单位：教育部办公厅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http://www.moe.gov.cn/srcsite/A29/202501/t20250122_1176589.html</w:t>
      </w:r>
    </w:p>
    <w:p>
      <w:pPr>
        <w:pStyle w:val="26"/>
        <w:keepNext w:val="0"/>
        <w:keepLines w:val="0"/>
        <w:widowControl/>
        <w:suppressLineNumbers w:val="0"/>
        <w:shd w:val="clear" w:fill="FFFFFF"/>
        <w:spacing w:after="0" w:afterAutospacing="0" w:line="240" w:lineRule="auto"/>
        <w:jc w:val="left"/>
        <w:rPr>
          <w:rFonts w:hint="eastAsia" w:ascii="Microsoft YaHei UI" w:hAnsi="Microsoft YaHei UI" w:eastAsia="Microsoft YaHei UI" w:cs="Microsoft YaHei UI"/>
          <w:spacing w:val="8"/>
        </w:rPr>
      </w:pPr>
    </w:p>
    <w:p>
      <w:pPr>
        <w:pStyle w:val="26"/>
        <w:keepNext w:val="0"/>
        <w:keepLines w:val="0"/>
        <w:widowControl/>
        <w:suppressLineNumbers w:val="0"/>
        <w:shd w:val="clear" w:fill="FFFFFF"/>
        <w:spacing w:after="0" w:afterAutospacing="0" w:line="360" w:lineRule="auto"/>
        <w:jc w:val="left"/>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三、乡村全面振兴规划（2024—2027年）</w:t>
      </w:r>
    </w:p>
    <w:p>
      <w:pPr>
        <w:bidi w:val="0"/>
        <w:spacing w:line="360" w:lineRule="auto"/>
      </w:pPr>
      <w:r>
        <w:rPr>
          <w:rFonts w:hint="eastAsia"/>
          <w:lang w:val="en-US" w:eastAsia="zh-CN"/>
        </w:rPr>
        <w:t>      近日，中共中央、国务院印发了《乡村全面振兴规划（2024-2027年）》，明确到2027年乡村全面振兴取得实质性进展，农业农村现代化迈上新台阶。到2035年，乡村全面振兴取得决定性进展，农业现代化基本实现，农村基本具备现代生活条件。《规划》中部署9大重点任务：“优化城乡发展格局，分类有序推进乡村全面振兴”、“加快现代农业建设，全方位夯实粮食安全根基”、“推动乡村产业高质量发展，促进农民收入增长”、“大力培养乡村人才，吸引各类人才投身乡村全面振兴”、“繁荣乡村文化，培育新时代文明乡风”、“深入推进乡村生态文明建设，加快发展方式绿色转型”、“建设宜居宜业和美乡村，增进农民福祉”、“深化农业农村改革，激发农村发展活力”、“加强农村基层组织建设，推进乡村治理现代化”。</w:t>
      </w:r>
    </w:p>
    <w:p>
      <w:pPr>
        <w:bidi w:val="0"/>
        <w:spacing w:line="360" w:lineRule="auto"/>
        <w:rPr>
          <w:rFonts w:hint="eastAsi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发文日期：2025年1月22日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发文单位：中共中央、国务院</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https://www.gov.cn/zhengce/202501/content_7000493.htm</w:t>
      </w:r>
    </w:p>
    <w:p>
      <w:pPr>
        <w:pStyle w:val="26"/>
        <w:keepNext w:val="0"/>
        <w:keepLines w:val="0"/>
        <w:widowControl/>
        <w:suppressLineNumbers w:val="0"/>
        <w:spacing w:line="336" w:lineRule="atLeast"/>
      </w:pP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四、关于加强极端场景应急通信能力建设的意见   </w:t>
      </w:r>
    </w:p>
    <w:p>
      <w:pPr>
        <w:bidi w:val="0"/>
        <w:spacing w:line="360" w:lineRule="auto"/>
      </w:pPr>
      <w:r>
        <w:rPr>
          <w:rFonts w:hint="eastAsia" w:ascii="Microsoft YaHei UI" w:hAnsi="Microsoft YaHei UI" w:eastAsia="Microsoft YaHei UI" w:cs="Microsoft YaHei UI"/>
          <w:color w:val="3E3E3E"/>
          <w:spacing w:val="7"/>
          <w:kern w:val="0"/>
          <w:szCs w:val="21"/>
          <w:shd w:val="clear" w:fill="FFFFFF"/>
          <w:lang w:val="en-US" w:eastAsia="zh-CN" w:bidi="ar"/>
        </w:rPr>
        <w:t xml:space="preserve">      </w:t>
      </w:r>
      <w:r>
        <w:rPr>
          <w:rFonts w:hint="eastAsia"/>
          <w:lang w:val="en-US" w:eastAsia="zh-CN"/>
        </w:rPr>
        <w:t> 为持续推动应急通信能力现代化建设，加快构建国家大应急通信框架，工业和信息化部印发关于《关于加强极端场景应急通信能力建设》的意见，《意见》围绕补强应急通信保障工作中的短板弱项，部署四个方面重点任务：</w:t>
      </w:r>
    </w:p>
    <w:p>
      <w:pPr>
        <w:bidi w:val="0"/>
        <w:spacing w:line="360" w:lineRule="auto"/>
      </w:pPr>
      <w:r>
        <w:rPr>
          <w:rFonts w:hint="eastAsia"/>
        </w:rPr>
        <w:t>      </w:t>
      </w:r>
      <w:r>
        <w:rPr>
          <w:rFonts w:hint="eastAsia"/>
          <w:b/>
          <w:bCs/>
          <w:lang w:val="en-US" w:eastAsia="zh-CN"/>
        </w:rPr>
        <w:t xml:space="preserve"> </w:t>
      </w:r>
      <w:r>
        <w:rPr>
          <w:rFonts w:hint="eastAsia"/>
          <w:b/>
          <w:bCs/>
        </w:rPr>
        <w:t>一是推动应急通信创新突破：</w:t>
      </w:r>
      <w:r>
        <w:rPr>
          <w:rFonts w:hint="eastAsia"/>
        </w:rPr>
        <w:t>推动应急通信技术突破应用，推进跨运营商应急漫游、无人机空中通信、室内定位导航、地下空间信号增强等适用于极端场景的重点技术研发；研发推广新型应急通信装备，重点加强无人空中载体装备、全地形车、高空基站等高机动性装备，应急专网融合终端、背包基站、微波/散射通信装备等轻量化便携装备；构建应急通信创新发展平台，用好应急通信工程技术验证平台，组织制定应急通信标准体系，加强应急预警、网络抗毁、互联互通等标准研制；推动应急通信产业生态繁荣，建设应急通信产业集群，完善应急通信公共服务平台，发布指导性产品目录。</w:t>
      </w:r>
    </w:p>
    <w:p>
      <w:pPr>
        <w:bidi w:val="0"/>
        <w:spacing w:line="360" w:lineRule="auto"/>
      </w:pPr>
      <w:r>
        <w:rPr>
          <w:rFonts w:hint="eastAsia"/>
        </w:rPr>
        <w:t xml:space="preserve">      </w:t>
      </w:r>
      <w:r>
        <w:rPr>
          <w:rFonts w:hint="eastAsia"/>
          <w:b/>
          <w:bCs/>
          <w:lang w:val="en-US" w:eastAsia="zh-CN"/>
        </w:rPr>
        <w:t xml:space="preserve"> 二是加快应急通信机制改革：</w:t>
      </w:r>
      <w:r>
        <w:rPr>
          <w:rFonts w:hint="eastAsia"/>
        </w:rPr>
        <w:t>健全应急通信协同保障机制，强化能源保障协同，强化运输保障协同，依据《无人驾驶航空器飞行管理暂行条例》开辟应急通信无人航空器快速审批绿色通道；推进电信企业管理制度改革，电信企业建立应急通信指挥机制，设立应急通信专门机构。</w:t>
      </w:r>
    </w:p>
    <w:p>
      <w:pPr>
        <w:bidi w:val="0"/>
        <w:spacing w:line="360" w:lineRule="auto"/>
      </w:pPr>
      <w:r>
        <w:rPr>
          <w:rFonts w:hint="eastAsia"/>
        </w:rPr>
        <w:t>   </w:t>
      </w:r>
      <w:r>
        <w:rPr>
          <w:rFonts w:hint="eastAsia"/>
          <w:b/>
          <w:bCs/>
          <w:lang w:val="en-US" w:eastAsia="zh-CN"/>
        </w:rPr>
        <w:t>    三是夯实应急通信网络基础：</w:t>
      </w:r>
      <w:r>
        <w:rPr>
          <w:rFonts w:hint="eastAsia"/>
        </w:rPr>
        <w:t>增强重点地区通信网络覆盖，推动卫星网与地面网的融合协同和统一调度，提升通信网络整体应急服务能力；建设专网通信支撑服务能力，加快建设我国自主可控的全球卫星通信系统，充分利用甚小口径终端（VSAT）、天通、北斗、高通量、低轨星座等卫星通信资源，形成统一调度、高效供给和融合应用的天基应急通信能力。</w:t>
      </w:r>
    </w:p>
    <w:p>
      <w:pPr>
        <w:bidi w:val="0"/>
        <w:spacing w:line="360" w:lineRule="auto"/>
      </w:pPr>
      <w:r>
        <w:rPr>
          <w:rFonts w:hint="eastAsia"/>
        </w:rPr>
        <w:t>     </w:t>
      </w:r>
      <w:r>
        <w:rPr>
          <w:rFonts w:hint="eastAsia"/>
          <w:b/>
          <w:bCs/>
          <w:lang w:val="en-US" w:eastAsia="zh-CN"/>
        </w:rPr>
        <w:t xml:space="preserve"> 四是强化极端场景保障能力：</w:t>
      </w:r>
      <w:r>
        <w:rPr>
          <w:rFonts w:hint="eastAsia"/>
        </w:rPr>
        <w:t>通过增强指挥预警、区域保障、队伍实战、基层保底等应急通信关键能力。</w:t>
      </w:r>
    </w:p>
    <w:p>
      <w:pPr>
        <w:bidi w:val="0"/>
        <w:spacing w:line="360" w:lineRule="auto"/>
      </w:pPr>
      <w:r>
        <w:rPr>
          <w:rFonts w:hint="eastAsia"/>
          <w:lang w:val="en-US" w:eastAsia="zh-CN"/>
        </w:rPr>
        <w:t>     《意见》提出主要目标，到2027年，应急通信技术装备实现有效供给，机制改革取得明显成效，网络抗毁韧性切实增强，极端场景保障能力大幅跃升，引导应急通信步入高质量发展快车道。</w:t>
      </w:r>
    </w:p>
    <w:p>
      <w:pPr>
        <w:bidi w:val="0"/>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发文日期：2025年1月17日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 等十四部门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https://www.miit.gov.cn/zwgk/zcwj/wjfb/yj/art/2025/art_80059e80ee8b4e659168ab1eebb41cc4.html</w:t>
      </w:r>
    </w:p>
    <w:p>
      <w:pPr>
        <w:pStyle w:val="26"/>
        <w:keepNext w:val="0"/>
        <w:keepLines w:val="0"/>
        <w:widowControl/>
        <w:suppressLineNumbers w:val="0"/>
        <w:shd w:val="clear" w:fill="FFFFFF"/>
        <w:spacing w:after="0" w:afterAutospacing="0" w:line="240" w:lineRule="auto"/>
        <w:jc w:val="left"/>
        <w:rPr>
          <w:rFonts w:hint="eastAsia" w:ascii="Microsoft YaHei UI" w:hAnsi="Microsoft YaHei UI" w:eastAsia="Microsoft YaHei UI" w:cs="Microsoft YaHei UI"/>
          <w:spacing w:val="8"/>
        </w:rPr>
      </w:pPr>
    </w:p>
    <w:p>
      <w:pPr>
        <w:pStyle w:val="26"/>
        <w:keepNext w:val="0"/>
        <w:keepLines w:val="0"/>
        <w:widowControl/>
        <w:suppressLineNumbers w:val="0"/>
        <w:shd w:val="clear" w:fill="FFFFFF"/>
        <w:spacing w:after="0" w:afterAutospacing="0" w:line="240" w:lineRule="auto"/>
        <w:jc w:val="left"/>
        <w:rPr>
          <w:rFonts w:hint="eastAsia" w:ascii="Microsoft YaHei UI" w:hAnsi="Microsoft YaHei UI" w:eastAsia="Microsoft YaHei UI" w:cs="Microsoft YaHei UI"/>
          <w:spacing w:val="8"/>
        </w:rPr>
      </w:pPr>
    </w:p>
    <w:p>
      <w:pPr>
        <w:keepNext w:val="0"/>
        <w:keepLines w:val="0"/>
        <w:widowControl/>
        <w:numPr>
          <w:ilvl w:val="0"/>
          <w:numId w:val="5"/>
        </w:numPr>
        <w:suppressLineNumbers w:val="0"/>
        <w:spacing w:line="360" w:lineRule="auto"/>
        <w:jc w:val="left"/>
        <w:rPr>
          <w:rFonts w:hint="eastAsia" w:ascii="Microsoft YaHei UI" w:hAnsi="Microsoft YaHei UI" w:eastAsia="Microsoft YaHei UI" w:cs="Microsoft YaHei UI"/>
          <w:color w:val="3E3E3E"/>
          <w:spacing w:val="7"/>
          <w:kern w:val="0"/>
          <w:sz w:val="21"/>
          <w:szCs w:val="21"/>
          <w:shd w:val="clear" w:fill="FFFFFF"/>
          <w:lang w:val="en-US" w:eastAsia="zh-CN" w:bidi="ar"/>
        </w:rPr>
      </w:pPr>
      <w:r>
        <w:rPr>
          <w:rFonts w:hint="eastAsia" w:ascii="Times New Roman" w:hAnsi="Times New Roman" w:eastAsia="宋体" w:cs="Times New Roman"/>
          <w:b/>
          <w:bCs/>
          <w:kern w:val="44"/>
          <w:sz w:val="28"/>
          <w:szCs w:val="44"/>
          <w:lang w:val="en-US" w:eastAsia="zh-CN" w:bidi="ar-SA"/>
        </w:rPr>
        <w:t>关于建设美丽中国先行区的实施意见   </w:t>
      </w:r>
      <w:r>
        <w:rPr>
          <w:rFonts w:hint="eastAsia" w:ascii="Microsoft YaHei UI" w:hAnsi="Microsoft YaHei UI" w:eastAsia="Microsoft YaHei UI" w:cs="Microsoft YaHei UI"/>
          <w:color w:val="3E3E3E"/>
          <w:spacing w:val="7"/>
          <w:kern w:val="0"/>
          <w:sz w:val="21"/>
          <w:szCs w:val="21"/>
          <w:shd w:val="clear" w:fill="FFFFFF"/>
          <w:lang w:val="en-US" w:eastAsia="zh-CN" w:bidi="ar"/>
        </w:rPr>
        <w:t xml:space="preserve">   </w:t>
      </w:r>
    </w:p>
    <w:p>
      <w:pPr>
        <w:bidi w:val="0"/>
        <w:spacing w:line="360" w:lineRule="auto"/>
        <w:ind w:firstLine="480" w:firstLineChars="200"/>
      </w:pPr>
      <w:r>
        <w:rPr>
          <w:rFonts w:hint="eastAsia"/>
          <w:lang w:val="en-US" w:eastAsia="zh-CN"/>
        </w:rPr>
        <w:t>为落实全国生态环境保护大会要求，聚焦推动绿色低碳发展，生态环境部在1月15日印发《关于建设美丽中国先行区的实施意见》，旨在分级分类建设美丽中国先行区（以下简称先行区），到2027年底前形成一批实践创新和制度创新成果。在主要任务“聚焦区域重大战略打造绿色发展高地”中提到，针对长江流域，需要推动长江流域建设绿色低碳发展示范带，加强丹江口库区及其上游流域水质安全保障。在主要任务“发挥特色谱写美丽中国建设省域篇章”中提到，需要推动绿色低碳发展，全面推进绿色矿山建设。在主要任务“统筹城乡推进美丽中国建设行动”中提到，需要因地制宜建设美丽乡村，运用“千万工程”经验，统筹推动乡村生态振兴和农村人居环境整治，深入推进农业农村污染治理，加快消除农村黑臭水体，加强乡村河湖管护。</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发文日期：2025年1月15日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https://www.gov.cn/zhengce/content/202501/content_6998719.htm</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eastAsia" w:ascii="Times New Roman" w:hAnsi="Times New Roman" w:eastAsia="宋体" w:cs="Times New Roman"/>
          <w:b/>
          <w:bCs/>
          <w:sz w:val="28"/>
          <w:szCs w:val="28"/>
          <w:lang w:val="en-US" w:eastAsia="zh-CN"/>
        </w:rPr>
      </w:pP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一、省教育厅召开2025年全省教育工作会议</w:t>
      </w:r>
    </w:p>
    <w:p>
      <w:pPr>
        <w:keepNext w:val="0"/>
        <w:keepLines w:val="0"/>
        <w:widowControl/>
        <w:suppressLineNumbers w:val="0"/>
        <w:spacing w:line="360" w:lineRule="auto"/>
        <w:jc w:val="left"/>
      </w:pPr>
      <w:r>
        <w:rPr>
          <w:rFonts w:ascii="Microsoft YaHei UI" w:hAnsi="Microsoft YaHei UI" w:eastAsia="Microsoft YaHei UI" w:cs="Microsoft YaHei UI"/>
          <w:color w:val="3E3E3E"/>
          <w:spacing w:val="15"/>
          <w:kern w:val="0"/>
          <w:sz w:val="22"/>
          <w:szCs w:val="22"/>
          <w:shd w:val="clear" w:fill="FFFFFF"/>
          <w:lang w:val="en-US" w:eastAsia="zh-CN" w:bidi="ar"/>
        </w:rPr>
        <w:t>    </w:t>
      </w:r>
      <w:r>
        <w:rPr>
          <w:rFonts w:hint="eastAsia" w:ascii="Microsoft YaHei UI" w:hAnsi="Microsoft YaHei UI" w:eastAsia="Microsoft YaHei UI" w:cs="Microsoft YaHei UI"/>
          <w:color w:val="3E3E3E"/>
          <w:spacing w:val="7"/>
          <w:kern w:val="0"/>
          <w:sz w:val="21"/>
          <w:szCs w:val="21"/>
          <w:shd w:val="clear" w:fill="FFFFFF"/>
          <w:lang w:val="en-US" w:eastAsia="zh-CN" w:bidi="ar"/>
        </w:rPr>
        <w:t> </w:t>
      </w:r>
      <w:r>
        <w:rPr>
          <w:rFonts w:hint="eastAsia"/>
          <w:lang w:val="en-US" w:eastAsia="zh-CN"/>
        </w:rPr>
        <w:t xml:space="preserve"> 1月21日，湖北省教育厅召开2025年全省教育工作会议，全面总结2024年全省教育工作成绩，部署2025年教育重点任务，省教育厅党组书记、厅长周静出席会议并讲话。会议指出，2025年是教育强省建设开局起步之年，重点做好六个方面工作，一是以构建全面系统的育人生态为牵引，在落实立德树人根本任务上塑造新格局；二是以“71020”高校学科创新体系建设为驱动，在提升高校综合竞争力上取得新突破；三是以“面向百万师生的大规模创新创业”和“重塑职业教育供给体系和能力”为抓手，在建设全国科技创新高地上强化新担当；四是以持续深化教联体建设为重点，在重构基础教育供需格局上展现新作为；五是以深化师德师风建设为基石，在教师队伍建设质量上实现新提升；六是以办好世界教育数字化大会为契机，在提升教育数智融合水平上迈上新台阶。</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发文日期：2025年1月22日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发文单位：湖北省教育厅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https://jyt.hubei.gov.cn/bmdt/dtyw/202501/t20250122_5515009.shtml</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i w:val="0"/>
          <w:iCs w:val="0"/>
          <w:caps w:val="0"/>
          <w:color w:val="0762D2"/>
          <w:spacing w:val="23"/>
          <w:sz w:val="18"/>
          <w:szCs w:val="18"/>
          <w:shd w:val="clear" w:fill="FFFFFF"/>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jc w:val="both"/>
        <w:rPr>
          <w:rFonts w:hint="eastAsia" w:ascii="宋体" w:hAnsi="宋体" w:cs="宋体"/>
          <w:i/>
          <w:iCs/>
          <w:caps w:val="0"/>
          <w:color w:val="666666"/>
          <w:spacing w:val="0"/>
          <w:kern w:val="0"/>
          <w:sz w:val="21"/>
          <w:szCs w:val="21"/>
          <w:shd w:val="clear" w:color="auto" w:fill="FFFFFF"/>
          <w:lang w:val="en-US" w:eastAsia="zh-CN" w:bidi="ar"/>
        </w:rPr>
      </w:pP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一、加快建成中部地区崛起重要战略支点——央视《新闻联播》专访湖北省委书记王忠林</w:t>
      </w:r>
    </w:p>
    <w:p>
      <w:pPr>
        <w:bidi w:val="0"/>
        <w:spacing w:line="360" w:lineRule="auto"/>
        <w:rPr>
          <w:rFonts w:hint="eastAsia"/>
          <w:lang w:val="en-US" w:eastAsia="zh-CN"/>
        </w:rPr>
      </w:pPr>
      <w:r>
        <w:rPr>
          <w:rFonts w:hint="eastAsia" w:ascii="Microsoft YaHei UI" w:hAnsi="Microsoft YaHei UI" w:eastAsia="Microsoft YaHei UI" w:cs="Microsoft YaHei UI"/>
          <w:color w:val="3E3E3E"/>
          <w:spacing w:val="7"/>
          <w:kern w:val="0"/>
          <w:szCs w:val="21"/>
          <w:shd w:val="clear" w:fill="FFFFFF"/>
          <w:lang w:val="en-US" w:eastAsia="zh-CN" w:bidi="ar"/>
        </w:rPr>
        <w:t xml:space="preserve">      </w:t>
      </w:r>
      <w:r>
        <w:rPr>
          <w:rFonts w:hint="eastAsia"/>
          <w:lang w:val="en-US" w:eastAsia="zh-CN"/>
        </w:rPr>
        <w:t> 近日，新华社记者专访湖北省委书记王忠林时表示，2025年，湖北将坚定不移沿着总书记指引的方向，把全部工作向“支点建设”聚力，切实推动“支点建设”实现整体提升。在切实扛起中部地区崛起重要战略支点的责任担当中聚焦：一是加快服务和融入新发展格局，整体提升支点的战略支撑力；二是加快打造具有全国影响力的科技创新高地，整体提升支点的创新策源力；三是加快构建体现湖北优势的现代化产业体系，整体提升支点的产业竞争力；四是加快打造内陆开放高地，整体提升支点的开放辐射力；五是加快推动生产生活方式绿色低碳转型，整体提升支点的生态承载力；六是加快建设世界知名文化旅游目的地，整体提升支点的文化影响力；七是加快推进城乡融合发展和乡村全面振兴，整体提升支点的区域协同力。      在回答“推动长江经济带高质量发展上有哪些举措”的问题时，王忠林表示，一是动真碰硬做好环境保护文章，将接续实施长江大保护“双十工程”“双十行动”，持续打好蓝天、碧水、净土保卫战，推动污染防治在重点区域、重点领域、关键指标上实现新突破；二是持之以恒做好生态治理文章，下一步将一体推进上下游、左右岸、干支流系统治理，推进流域综合治理与区域发展互促共进；三是坚定不移做好绿色发展文章，下一步将加快健全绿色产业体系、绿色能源体系、绿色制度体系，书写长江经济带高质量发展的“湖北答卷”。</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发文日期：2025年1月22日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发文单位：新华社</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"https://www.hubei.gov.cn/zwgk/hbyw/hbywqb/202501/t20250122_5513609.shtml"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https://www.hubei.gov.cn/zwgk/hbyw/hbywqb/202501/t20250122_5513609.shtml</w:t>
      </w:r>
      <w:r>
        <w:rPr>
          <w:rFonts w:hint="eastAsia" w:ascii="Microsoft YaHei UI" w:hAnsi="Microsoft YaHei UI" w:eastAsia="Microsoft YaHei UI" w:cs="Microsoft YaHei UI"/>
          <w:spacing w:val="7"/>
          <w:kern w:val="0"/>
          <w:sz w:val="15"/>
          <w:szCs w:val="15"/>
          <w:lang w:val="en-US" w:eastAsia="zh-CN" w:bidi="ar"/>
        </w:rPr>
        <w:fldChar w:fldCharType="end"/>
      </w:r>
    </w:p>
    <w:p>
      <w:pPr>
        <w:bidi w:val="0"/>
        <w:rPr>
          <w:rFonts w:hint="eastAsia"/>
          <w:lang w:val="en-US" w:eastAsia="zh-CN"/>
        </w:rPr>
      </w:pPr>
    </w:p>
    <w:p>
      <w:pPr>
        <w:bidi w:val="0"/>
        <w:rPr>
          <w:rFonts w:hint="eastAsia"/>
          <w:lang w:val="en-US" w:eastAsia="zh-CN"/>
        </w:rPr>
      </w:pP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二、武汉市公共数据分类分级指南（征求意见稿）征求意见会</w:t>
      </w:r>
    </w:p>
    <w:p>
      <w:pPr>
        <w:pStyle w:val="26"/>
        <w:keepNext w:val="0"/>
        <w:keepLines w:val="0"/>
        <w:widowControl/>
        <w:suppressLineNumbers w:val="0"/>
        <w:spacing w:before="0" w:beforeAutospacing="0" w:line="360" w:lineRule="auto"/>
        <w:jc w:val="both"/>
        <w:rPr>
          <w:rFonts w:hint="eastAsia" w:ascii="Times New Roman" w:hAnsi="Times New Roman" w:eastAsia="宋体" w:cs="Times New Roman"/>
          <w:kern w:val="2"/>
          <w:sz w:val="24"/>
          <w:szCs w:val="24"/>
          <w:lang w:val="en-US" w:eastAsia="zh-CN" w:bidi="ar-SA"/>
        </w:rPr>
      </w:pPr>
      <w:r>
        <w:rPr>
          <w:rFonts w:hint="eastAsia" w:ascii="Microsoft YaHei UI" w:hAnsi="Microsoft YaHei UI" w:eastAsia="Microsoft YaHei UI" w:cs="Microsoft YaHei UI"/>
          <w:color w:val="3E3E3E"/>
          <w:spacing w:val="7"/>
          <w:sz w:val="21"/>
          <w:szCs w:val="21"/>
          <w:shd w:val="clear" w:fill="FFFFFF"/>
        </w:rPr>
        <w:t>    </w:t>
      </w:r>
      <w:r>
        <w:rPr>
          <w:rFonts w:hint="eastAsia" w:ascii="Times New Roman" w:hAnsi="Times New Roman" w:eastAsia="宋体" w:cs="Times New Roman"/>
          <w:kern w:val="2"/>
          <w:sz w:val="24"/>
          <w:szCs w:val="24"/>
          <w:lang w:val="en-US" w:eastAsia="zh-CN" w:bidi="ar-SA"/>
        </w:rPr>
        <w:t>  为统一全市公共数据分类分级规则，武汉市数据局起草了《武汉市公共数据分类分级指南（征求意见稿）》（以下简称指南）。为进一步修改完善，提高指南的科学性和合理性，1月14日市数据局召开了指南征求意见会，19家市直部门、区（功能区）数据主管部门、市属国企相关负责人参加会议。会上，市数据局相关处室介绍了指南的编制情况；有关专家对指南进行了详细解读。主要内容有数据分类规则、数据分级规则、分级保护及附录等四个方面。下一步，市数据局将就指南继续广泛征求意见建议，进一步修改完善，争取尽快出台。</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发文日期：2025年1月15日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发文单位：武汉市数据局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https://home.wuhan.gov.cn/gzdt_93640/202501/t20250115_2518767.shtml</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BD33"/>
    <w:multiLevelType w:val="singleLevel"/>
    <w:tmpl w:val="A5AABD33"/>
    <w:lvl w:ilvl="0" w:tentative="0">
      <w:start w:val="1"/>
      <w:numFmt w:val="chineseCounting"/>
      <w:suff w:val="nothing"/>
      <w:lvlText w:val="%1、"/>
      <w:lvlJc w:val="left"/>
      <w:rPr>
        <w:rFonts w:hint="eastAsia"/>
      </w:rPr>
    </w:lvl>
  </w:abstractNum>
  <w:abstractNum w:abstractNumId="1">
    <w:nsid w:val="C8958203"/>
    <w:multiLevelType w:val="singleLevel"/>
    <w:tmpl w:val="C8958203"/>
    <w:lvl w:ilvl="0" w:tentative="0">
      <w:start w:val="5"/>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4765C43"/>
    <w:rsid w:val="050F64AF"/>
    <w:rsid w:val="06601CDF"/>
    <w:rsid w:val="067D27D9"/>
    <w:rsid w:val="0826583C"/>
    <w:rsid w:val="08683CDA"/>
    <w:rsid w:val="08753AC5"/>
    <w:rsid w:val="087607E6"/>
    <w:rsid w:val="08AD661F"/>
    <w:rsid w:val="09405381"/>
    <w:rsid w:val="0A434350"/>
    <w:rsid w:val="0B922B80"/>
    <w:rsid w:val="0BDC6B84"/>
    <w:rsid w:val="0C4F07D9"/>
    <w:rsid w:val="0CA37841"/>
    <w:rsid w:val="0E83792A"/>
    <w:rsid w:val="0ED95576"/>
    <w:rsid w:val="0FBC07B5"/>
    <w:rsid w:val="10440482"/>
    <w:rsid w:val="10FC2F79"/>
    <w:rsid w:val="111057C3"/>
    <w:rsid w:val="11823249"/>
    <w:rsid w:val="120B217A"/>
    <w:rsid w:val="12134735"/>
    <w:rsid w:val="123B7AAA"/>
    <w:rsid w:val="125F2DFF"/>
    <w:rsid w:val="13874EC8"/>
    <w:rsid w:val="142C6563"/>
    <w:rsid w:val="14C64FA3"/>
    <w:rsid w:val="15B11221"/>
    <w:rsid w:val="161A531E"/>
    <w:rsid w:val="16FC4447"/>
    <w:rsid w:val="17680B0C"/>
    <w:rsid w:val="17B83DC4"/>
    <w:rsid w:val="17FD7FE9"/>
    <w:rsid w:val="190E24E6"/>
    <w:rsid w:val="1918096B"/>
    <w:rsid w:val="194C3CCF"/>
    <w:rsid w:val="1A0F674F"/>
    <w:rsid w:val="1A845EF2"/>
    <w:rsid w:val="1A9D4E5B"/>
    <w:rsid w:val="1AF417A3"/>
    <w:rsid w:val="1B59234B"/>
    <w:rsid w:val="1B7D415C"/>
    <w:rsid w:val="1BF12377"/>
    <w:rsid w:val="1CF57803"/>
    <w:rsid w:val="1D271D7A"/>
    <w:rsid w:val="1D281EAC"/>
    <w:rsid w:val="1D37585D"/>
    <w:rsid w:val="1D3F07C9"/>
    <w:rsid w:val="1DCA2FAB"/>
    <w:rsid w:val="1DF069A8"/>
    <w:rsid w:val="1EE44AF0"/>
    <w:rsid w:val="1F3E7A96"/>
    <w:rsid w:val="20041B75"/>
    <w:rsid w:val="20252704"/>
    <w:rsid w:val="20E51F26"/>
    <w:rsid w:val="2103535F"/>
    <w:rsid w:val="21A9142B"/>
    <w:rsid w:val="21E6176B"/>
    <w:rsid w:val="231A50A3"/>
    <w:rsid w:val="23C0562A"/>
    <w:rsid w:val="243A4E0B"/>
    <w:rsid w:val="24AC6718"/>
    <w:rsid w:val="25DB28FA"/>
    <w:rsid w:val="266876DA"/>
    <w:rsid w:val="2776664F"/>
    <w:rsid w:val="290A5904"/>
    <w:rsid w:val="29355D18"/>
    <w:rsid w:val="29CD2F7F"/>
    <w:rsid w:val="2A1B05EA"/>
    <w:rsid w:val="2A6508F8"/>
    <w:rsid w:val="2B8A4E7D"/>
    <w:rsid w:val="2BCF3A5F"/>
    <w:rsid w:val="2BDC1404"/>
    <w:rsid w:val="2BE713BB"/>
    <w:rsid w:val="2C8A4A20"/>
    <w:rsid w:val="2D6708C5"/>
    <w:rsid w:val="2D856BEC"/>
    <w:rsid w:val="2DAD387D"/>
    <w:rsid w:val="2DE44242"/>
    <w:rsid w:val="2F0A3A24"/>
    <w:rsid w:val="2F3E7A4E"/>
    <w:rsid w:val="30656B3C"/>
    <w:rsid w:val="310247BE"/>
    <w:rsid w:val="310835FF"/>
    <w:rsid w:val="31A1082A"/>
    <w:rsid w:val="32CA1293"/>
    <w:rsid w:val="33281481"/>
    <w:rsid w:val="33595EFA"/>
    <w:rsid w:val="3363215A"/>
    <w:rsid w:val="342E49F7"/>
    <w:rsid w:val="34935BC5"/>
    <w:rsid w:val="35725E7F"/>
    <w:rsid w:val="3619453F"/>
    <w:rsid w:val="36D42F37"/>
    <w:rsid w:val="37030542"/>
    <w:rsid w:val="38B764DA"/>
    <w:rsid w:val="397D4DF2"/>
    <w:rsid w:val="39B44138"/>
    <w:rsid w:val="39C678D5"/>
    <w:rsid w:val="3A1351F8"/>
    <w:rsid w:val="3CA96714"/>
    <w:rsid w:val="3D1F0B21"/>
    <w:rsid w:val="3D485319"/>
    <w:rsid w:val="3D4D7047"/>
    <w:rsid w:val="3DDD468F"/>
    <w:rsid w:val="3E410903"/>
    <w:rsid w:val="3EA04765"/>
    <w:rsid w:val="3ECA64CC"/>
    <w:rsid w:val="3F5274EE"/>
    <w:rsid w:val="400E49F6"/>
    <w:rsid w:val="40387CC5"/>
    <w:rsid w:val="40DE5DF9"/>
    <w:rsid w:val="42E10978"/>
    <w:rsid w:val="43B26B9C"/>
    <w:rsid w:val="443C6B00"/>
    <w:rsid w:val="44A61752"/>
    <w:rsid w:val="44BC03D1"/>
    <w:rsid w:val="44F05DF6"/>
    <w:rsid w:val="44F720B3"/>
    <w:rsid w:val="45C50129"/>
    <w:rsid w:val="4623525F"/>
    <w:rsid w:val="46300235"/>
    <w:rsid w:val="46B40180"/>
    <w:rsid w:val="473A22D0"/>
    <w:rsid w:val="478D1C10"/>
    <w:rsid w:val="47BD1E82"/>
    <w:rsid w:val="487A37DC"/>
    <w:rsid w:val="49263474"/>
    <w:rsid w:val="49303C95"/>
    <w:rsid w:val="499A7B7E"/>
    <w:rsid w:val="4A0E7992"/>
    <w:rsid w:val="4A880CE9"/>
    <w:rsid w:val="4AC544BB"/>
    <w:rsid w:val="4B226DD3"/>
    <w:rsid w:val="4BCB5F67"/>
    <w:rsid w:val="4C14267B"/>
    <w:rsid w:val="4CB41768"/>
    <w:rsid w:val="4CE04F75"/>
    <w:rsid w:val="4D341C91"/>
    <w:rsid w:val="4F1D0E77"/>
    <w:rsid w:val="4F2418C1"/>
    <w:rsid w:val="4F252466"/>
    <w:rsid w:val="50804CA1"/>
    <w:rsid w:val="50D4623C"/>
    <w:rsid w:val="50DC7480"/>
    <w:rsid w:val="51CD567E"/>
    <w:rsid w:val="51DD2A0A"/>
    <w:rsid w:val="51FA302C"/>
    <w:rsid w:val="521E7BC5"/>
    <w:rsid w:val="523C0389"/>
    <w:rsid w:val="52C92E63"/>
    <w:rsid w:val="536313E2"/>
    <w:rsid w:val="54B8530B"/>
    <w:rsid w:val="564A639B"/>
    <w:rsid w:val="565B7F3A"/>
    <w:rsid w:val="57146818"/>
    <w:rsid w:val="572465F5"/>
    <w:rsid w:val="574959B6"/>
    <w:rsid w:val="57592C33"/>
    <w:rsid w:val="57B85C78"/>
    <w:rsid w:val="57CB3FEF"/>
    <w:rsid w:val="58A91308"/>
    <w:rsid w:val="59B51A6B"/>
    <w:rsid w:val="59D30900"/>
    <w:rsid w:val="5A2537F3"/>
    <w:rsid w:val="5A316BBC"/>
    <w:rsid w:val="5B310B71"/>
    <w:rsid w:val="5B49484F"/>
    <w:rsid w:val="5C89392A"/>
    <w:rsid w:val="5CAA6A49"/>
    <w:rsid w:val="5D0F67F8"/>
    <w:rsid w:val="5D78571C"/>
    <w:rsid w:val="5DFF1BDB"/>
    <w:rsid w:val="5E572837"/>
    <w:rsid w:val="5EB236E5"/>
    <w:rsid w:val="5EF27BD4"/>
    <w:rsid w:val="5FF2703A"/>
    <w:rsid w:val="607C09C6"/>
    <w:rsid w:val="625D6F2E"/>
    <w:rsid w:val="639F01FD"/>
    <w:rsid w:val="63FA5093"/>
    <w:rsid w:val="64B877C8"/>
    <w:rsid w:val="65B7249A"/>
    <w:rsid w:val="65C47781"/>
    <w:rsid w:val="66772F7A"/>
    <w:rsid w:val="66ED547A"/>
    <w:rsid w:val="67732727"/>
    <w:rsid w:val="68364FD5"/>
    <w:rsid w:val="693D1977"/>
    <w:rsid w:val="694E21FD"/>
    <w:rsid w:val="69F56662"/>
    <w:rsid w:val="6A6065EE"/>
    <w:rsid w:val="6AC03372"/>
    <w:rsid w:val="6B947D69"/>
    <w:rsid w:val="6BBD0307"/>
    <w:rsid w:val="6BE35E8E"/>
    <w:rsid w:val="6CE0643D"/>
    <w:rsid w:val="6D2B042A"/>
    <w:rsid w:val="6E401E74"/>
    <w:rsid w:val="6E426C72"/>
    <w:rsid w:val="701E1630"/>
    <w:rsid w:val="713B6CCF"/>
    <w:rsid w:val="71CD4FC5"/>
    <w:rsid w:val="72902B04"/>
    <w:rsid w:val="730D7F28"/>
    <w:rsid w:val="731C016A"/>
    <w:rsid w:val="733F4FD0"/>
    <w:rsid w:val="7542549A"/>
    <w:rsid w:val="7709372E"/>
    <w:rsid w:val="799D3B64"/>
    <w:rsid w:val="7A39200E"/>
    <w:rsid w:val="7D8B028D"/>
    <w:rsid w:val="7D9A2EA0"/>
    <w:rsid w:val="7DCC4BF0"/>
    <w:rsid w:val="7E3E551B"/>
    <w:rsid w:val="7F0250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8</Pages>
  <Words>4757</Words>
  <Characters>5611</Characters>
  <Lines>43</Lines>
  <Paragraphs>12</Paragraphs>
  <TotalTime>15</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2025-01-19T09:15:28Z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