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03.31-04.</w:t>
      </w:r>
      <w:bookmarkEnd w:id="1"/>
      <w:r>
        <w:rPr>
          <w:rFonts w:hint="eastAsia"/>
          <w:sz w:val="44"/>
          <w:lang w:val="en-US" w:eastAsia="zh-CN"/>
        </w:rPr>
        <w:t>04）</w:t>
      </w:r>
      <w:bookmarkEnd w:id="0"/>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bookmarkStart w:id="2" w:name="OLE_LINK31"/>
      <w:bookmarkStart w:id="3" w:name="OLE_LINK39"/>
      <w:bookmarkStart w:id="4" w:name="OLE_LINK25"/>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233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3360"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3360;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5" w:name="OLE_LINK24"/>
    </w:p>
    <w:bookmarkEnd w:id="5"/>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keepNext w:val="0"/>
        <w:keepLines w:val="0"/>
        <w:widowControl/>
        <w:numPr>
          <w:ilvl w:val="0"/>
          <w:numId w:val="0"/>
        </w:numPr>
        <w:suppressLineNumbers w:val="0"/>
        <w:spacing w:line="360" w:lineRule="auto"/>
        <w:jc w:val="center"/>
        <w:rPr>
          <w:rFonts w:hint="default" w:ascii="Times New Roman" w:hAnsi="Times New Roman" w:eastAsia="宋体" w:cs="Times New Roman"/>
          <w:b/>
          <w:bCs/>
          <w:kern w:val="44"/>
          <w:sz w:val="28"/>
          <w:szCs w:val="44"/>
          <w:lang w:val="en-US" w:eastAsia="zh-CN" w:bidi="ar-SA"/>
        </w:rPr>
      </w:pPr>
      <w:r>
        <w:rPr>
          <w:rFonts w:hint="default" w:ascii="Times New Roman" w:hAnsi="Times New Roman" w:eastAsia="宋体" w:cs="Times New Roman"/>
          <w:b/>
          <w:bCs/>
          <w:kern w:val="44"/>
          <w:sz w:val="28"/>
          <w:szCs w:val="44"/>
          <w:lang w:val="en-US" w:eastAsia="zh-CN" w:bidi="ar-SA"/>
        </w:rPr>
        <w:t>国家数据局举办“</w:t>
      </w:r>
      <w:bookmarkStart w:id="6" w:name="OLE_LINK2"/>
      <w:r>
        <w:rPr>
          <w:rFonts w:hint="default" w:ascii="Times New Roman" w:hAnsi="Times New Roman" w:eastAsia="宋体" w:cs="Times New Roman"/>
          <w:b/>
          <w:bCs/>
          <w:kern w:val="44"/>
          <w:sz w:val="28"/>
          <w:szCs w:val="44"/>
          <w:lang w:val="en-US" w:eastAsia="zh-CN" w:bidi="ar-SA"/>
        </w:rPr>
        <w:t>数据价值化 我们在行动</w:t>
      </w:r>
      <w:bookmarkEnd w:id="6"/>
      <w:r>
        <w:rPr>
          <w:rFonts w:hint="default" w:ascii="Times New Roman" w:hAnsi="Times New Roman" w:eastAsia="宋体" w:cs="Times New Roman"/>
          <w:b/>
          <w:bCs/>
          <w:kern w:val="44"/>
          <w:sz w:val="28"/>
          <w:szCs w:val="44"/>
          <w:lang w:val="en-US" w:eastAsia="zh-CN" w:bidi="ar-SA"/>
        </w:rPr>
        <w:t>”系列新闻发布会</w:t>
      </w:r>
    </w:p>
    <w:p>
      <w:pPr>
        <w:bidi w:val="0"/>
        <w:spacing w:line="360" w:lineRule="auto"/>
        <w:ind w:firstLine="480" w:firstLineChars="200"/>
        <w:rPr>
          <w:rFonts w:hint="eastAsia"/>
          <w:lang w:val="en-US" w:eastAsia="zh-CN"/>
        </w:rPr>
      </w:pPr>
      <w:bookmarkStart w:id="7" w:name="OLE_LINK3"/>
      <w:r>
        <w:rPr>
          <w:rFonts w:hint="eastAsia"/>
          <w:lang w:val="en-US" w:eastAsia="zh-CN"/>
        </w:rPr>
        <w:t>4月2日下午，国家数据局举办“数据价值化 我们在行动”系列新闻发布会（第二场），介绍中央企业在推进数据资源开发利用，探索数据要素市场化价值化的经验、做法和成效。国家数据局党组成员、副局长陈荣辉，中国电子科技集团有限公司党组成员、副总经理龚永恒，中国电信集团有限公司党组成员、副总经理黄智勇等出席发布会并回答记者问题。</w:t>
      </w:r>
    </w:p>
    <w:p>
      <w:pPr>
        <w:bidi w:val="0"/>
        <w:spacing w:line="360" w:lineRule="auto"/>
        <w:ind w:firstLine="480" w:firstLineChars="200"/>
        <w:rPr>
          <w:rFonts w:hint="eastAsia"/>
          <w:lang w:val="en-US" w:eastAsia="zh-CN"/>
        </w:rPr>
      </w:pPr>
      <w:r>
        <w:rPr>
          <w:rFonts w:hint="eastAsia"/>
          <w:lang w:val="en-US" w:eastAsia="zh-CN"/>
        </w:rPr>
        <w:t>国家数据局副局长陈荣辉表示，国家数据局正会同国务院国资委制定国有企业数字效率提升行动的实施方案，推动国有企业数据管理机制创新，强化数据赋能现代公司治理和数字化转型，引导中央企业数字科技公司加快行业数据资源整合，扩大行业高质量数据产品和服务供给。将在能源、电力、交通、物流、卫星遥感、新材料等重点行业领域，推动产业龙头企业联合上下游企业，建立开放互联的行业可信数据空间。</w:t>
      </w:r>
    </w:p>
    <w:bookmarkEnd w:id="7"/>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发文单位：湖北省人民政府</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https://mp.weixin.qq.com/s/UWtc2y3Kn0dZVnXcYuzW8A</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2"/>
    <w:bookmarkEnd w:id="3"/>
    <w:bookmarkEnd w:id="4"/>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8" w:name="OLE_LINK29"/>
      <w:bookmarkStart w:id="9" w:name="OLE_LINK12"/>
      <w:bookmarkStart w:id="10" w:name="OLE_LINK4"/>
      <w:bookmarkStart w:id="11" w:name="OLE_LINK27"/>
      <w:r>
        <w:rPr>
          <w:rFonts w:hint="default" w:cs="Times New Roman"/>
          <w:b/>
          <w:bCs/>
          <w:kern w:val="44"/>
          <w:sz w:val="28"/>
          <w:szCs w:val="44"/>
          <w:highlight w:val="none"/>
          <w:lang w:val="en-US" w:eastAsia="zh-CN" w:bidi="ar-SA"/>
        </w:rPr>
        <w:t>逐步把永久基本农田建成高标准农田实施方案</w:t>
      </w:r>
    </w:p>
    <w:bookmarkEnd w:id="8"/>
    <w:p>
      <w:pPr>
        <w:bidi w:val="0"/>
        <w:spacing w:line="360" w:lineRule="auto"/>
        <w:ind w:firstLine="480" w:firstLineChars="200"/>
        <w:rPr>
          <w:rFonts w:hint="default"/>
          <w:lang w:val="en-US" w:eastAsia="zh-CN"/>
        </w:rPr>
      </w:pPr>
      <w:bookmarkStart w:id="12" w:name="OLE_LINK34"/>
      <w:r>
        <w:rPr>
          <w:rFonts w:hint="default"/>
          <w:lang w:val="en-US" w:eastAsia="zh-CN"/>
        </w:rPr>
        <w:t>3月30日，中共中央办公厅国务院办公厅印发《逐步把永久基本农田建成高标准农田实施方案》，旨在建设高标准农田，主要目标到2030年，力争累计建成高标准农田13.5亿亩，累计改造提升2.8亿亩，新增高效节水灌溉面积8000万亩；到2035年，力争将具备条件的永久基本农田全部建成高标准农田，累计改造提升4.55亿亩，新增高效节水灌溉面积1.3亿亩。《实施方案》从建设安排、建设管理、运营管护、政策协同以及保障措施等方面进行了部署。以“一平”（田块平整）、“两通”（通水通路）、“三提升”（提升地力、产量、效益）为基本标准，合理确定不同区域、不同类型高标准农田建设标准和投入标准。统筹开展田、土、水、路、林、电、技、管综合治理，将建设重点放在田内。鼓励高标准农田经营主体自主推进水肥一体化、智能灌溉、墒情虫情自动监测、智慧气象服务等信息化建设。建设分区，长江中下游区包括上海、江苏、安徽、江西、湖北、湖南6省（直辖市），重点突出田间设施现代化配套升级，开展旱、涝、渍综合治理。分级规划，构建国家、省、市、县四级规划方案体系，指导有序开展高标准农田建设。在建设管理部分，《实施方案》要求全程监督，建立健全农田建设工程质量监督检验体系，依托全国农田建设综合监测监管平台，及时将项目立项、实施、验收、使用等各阶段相关信息上图入库，强化全流程监管。在运营管护部分，《实施方案》要求保护利用，严格保护高标准农田，严禁擅自占用，任何组织和个人不得损毁高标准农田设施，严禁将污水、生活垃圾、工业废弃物等排放、倾倒、存放到农田。在政策协同部分，《实施方案》要求健全高标准农田建设和运营管护多元化投入机制，鼓励金融机构在依法合规、风险可控的前提下，加强信贷资金支持农田建设。发挥地方财政资金引导作用，多渠道筹措运营管护经费。《实施方案》不仅明确了各方责任，还强调积极引导农村集体经济组织、新型农业经营主体、农民群众等参与高标准农田建设和运营管护，落实农民知情权、参与权、监督权，有利于全方位调动积极性，夯实粮食安全基础。</w:t>
      </w:r>
    </w:p>
    <w:bookmarkEnd w:id="1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成文日期：2025年3月30日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13" w:name="OLE_LINK5"/>
      <w:r>
        <w:rPr>
          <w:rFonts w:hint="eastAsia" w:ascii="Microsoft YaHei UI" w:hAnsi="Microsoft YaHei UI" w:eastAsia="Microsoft YaHei UI" w:cs="Microsoft YaHei UI"/>
          <w:spacing w:val="7"/>
          <w:kern w:val="0"/>
          <w:sz w:val="15"/>
          <w:szCs w:val="15"/>
          <w:lang w:val="en-US" w:eastAsia="zh-CN" w:bidi="ar"/>
        </w:rPr>
        <w:t>中共中央办公厅 国务院办公厅</w:t>
      </w:r>
      <w:bookmarkEnd w:id="13"/>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14" w:name="OLE_LINK7"/>
      <w:r>
        <w:rPr>
          <w:rFonts w:hint="default" w:ascii="Microsoft YaHei UI" w:hAnsi="Microsoft YaHei UI" w:eastAsia="Microsoft YaHei UI" w:cs="Microsoft YaHei UI"/>
          <w:spacing w:val="7"/>
          <w:kern w:val="0"/>
          <w:sz w:val="15"/>
          <w:szCs w:val="15"/>
          <w:lang w:val="en-US" w:eastAsia="zh-CN" w:bidi="ar"/>
        </w:rPr>
        <w:t>https://www.gov.cn/zhengce/202503/content_7016421.htm</w:t>
      </w:r>
    </w:p>
    <w:bookmarkEnd w:id="14"/>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5" w:name="OLE_LINK15"/>
      <w:bookmarkStart w:id="16" w:name="OLE_LINK40"/>
      <w:r>
        <w:rPr>
          <w:rFonts w:hint="default" w:cs="Times New Roman"/>
          <w:b/>
          <w:bCs/>
          <w:kern w:val="44"/>
          <w:sz w:val="28"/>
          <w:szCs w:val="44"/>
          <w:highlight w:val="none"/>
          <w:lang w:val="en-US" w:eastAsia="zh-CN" w:bidi="ar-SA"/>
        </w:rPr>
        <w:t>关于印发《铝产业高质量发展实施方案（2025—2027年）》的通知</w:t>
      </w:r>
    </w:p>
    <w:bookmarkEnd w:id="15"/>
    <w:p>
      <w:pPr>
        <w:bidi w:val="0"/>
        <w:spacing w:line="360" w:lineRule="auto"/>
        <w:ind w:firstLine="480" w:firstLineChars="200"/>
        <w:rPr>
          <w:rFonts w:hint="eastAsia" w:ascii="宋体" w:hAnsi="宋体" w:eastAsia="宋体" w:cs="宋体"/>
          <w:i w:val="0"/>
          <w:iCs w:val="0"/>
          <w:caps w:val="0"/>
          <w:color w:val="333333"/>
          <w:spacing w:val="0"/>
          <w:sz w:val="24"/>
          <w:szCs w:val="24"/>
          <w:shd w:val="clear" w:fill="FFFFFF"/>
        </w:rPr>
      </w:pPr>
      <w:bookmarkStart w:id="17" w:name="OLE_LINK8"/>
      <w:r>
        <w:rPr>
          <w:rFonts w:hint="eastAsia" w:ascii="宋体" w:hAnsi="宋体" w:eastAsia="宋体" w:cs="宋体"/>
          <w:b w:val="0"/>
          <w:bCs w:val="0"/>
          <w:i w:val="0"/>
          <w:iCs w:val="0"/>
          <w:caps w:val="0"/>
          <w:color w:val="333333"/>
          <w:spacing w:val="0"/>
          <w:kern w:val="2"/>
          <w:sz w:val="24"/>
          <w:szCs w:val="24"/>
          <w:shd w:val="clear" w:fill="FFFFFF"/>
          <w:lang w:val="en-US" w:eastAsia="zh-CN" w:bidi="ar-SA"/>
        </w:rPr>
        <w:t>近日，工信部等十部门联合印发《铝产业高质量发展实施方案（2025—2027年）》，旨在推动铝产业转型升级，提升产业链供应链韧性和安全水平。总体要求到2027年，国内铝土矿资源量增长 3%—5%，再生铝产量 1500 万吨以上。电解铝行业能效标杆水平以上产能占比提升至 30%以上，清洁能源使用比例 30%以上，新增赤泥的资源综合利用率 15%以上。围绕以上目标，《实施方案》制定七大项重点任务，共十五小项。包括</w:t>
      </w:r>
      <w:r>
        <w:rPr>
          <w:rFonts w:hint="eastAsia" w:ascii="宋体" w:hAnsi="宋体" w:eastAsia="宋体" w:cs="宋体"/>
          <w:b/>
          <w:bCs/>
          <w:i w:val="0"/>
          <w:iCs w:val="0"/>
          <w:caps w:val="0"/>
          <w:color w:val="333333"/>
          <w:spacing w:val="0"/>
          <w:kern w:val="2"/>
          <w:sz w:val="24"/>
          <w:szCs w:val="24"/>
          <w:shd w:val="clear" w:fill="FFFFFF"/>
          <w:lang w:val="en-US" w:eastAsia="zh-CN" w:bidi="ar-SA"/>
        </w:rPr>
        <w:t>强化资源保障基础</w:t>
      </w:r>
      <w:r>
        <w:rPr>
          <w:rFonts w:hint="eastAsia" w:ascii="宋体" w:hAnsi="宋体" w:cs="宋体"/>
          <w:b w:val="0"/>
          <w:bCs w:val="0"/>
          <w:i w:val="0"/>
          <w:iCs w:val="0"/>
          <w:caps w:val="0"/>
          <w:color w:val="333333"/>
          <w:spacing w:val="0"/>
          <w:kern w:val="2"/>
          <w:sz w:val="24"/>
          <w:szCs w:val="24"/>
          <w:shd w:val="clear" w:fill="FFFFFF"/>
          <w:lang w:val="en-US" w:eastAsia="zh-CN" w:bidi="ar-SA"/>
        </w:rPr>
        <w:t>：</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加快推动国内铝土矿资源增储上产，鼓励矿产资源综合利用，推动再生铝资源回收利用；</w:t>
      </w:r>
      <w:r>
        <w:rPr>
          <w:rFonts w:hint="eastAsia" w:ascii="宋体" w:hAnsi="宋体" w:eastAsia="宋体" w:cs="宋体"/>
          <w:b/>
          <w:bCs/>
          <w:i w:val="0"/>
          <w:iCs w:val="0"/>
          <w:caps w:val="0"/>
          <w:color w:val="333333"/>
          <w:spacing w:val="0"/>
          <w:kern w:val="2"/>
          <w:sz w:val="24"/>
          <w:szCs w:val="24"/>
          <w:shd w:val="clear" w:fill="FFFFFF"/>
          <w:lang w:val="en-US" w:eastAsia="zh-CN" w:bidi="ar-SA"/>
        </w:rPr>
        <w:t>推动产业结构调整</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：稳妥审慎推进氧化铝和以铝土矿为原料的氢氧化铝新项目建设，坚持电解铝产能总量约束，优化产能置换政策，推动铝加工产业集聚化发展；</w:t>
      </w:r>
      <w:r>
        <w:rPr>
          <w:rFonts w:hint="eastAsia" w:ascii="宋体" w:hAnsi="宋体" w:eastAsia="宋体" w:cs="宋体"/>
          <w:b/>
          <w:bCs/>
          <w:i w:val="0"/>
          <w:iCs w:val="0"/>
          <w:caps w:val="0"/>
          <w:color w:val="333333"/>
          <w:spacing w:val="0"/>
          <w:kern w:val="2"/>
          <w:sz w:val="24"/>
          <w:szCs w:val="24"/>
          <w:shd w:val="clear" w:fill="FFFFFF"/>
          <w:lang w:val="en-US" w:eastAsia="zh-CN" w:bidi="ar-SA"/>
        </w:rPr>
        <w:t>提升创新发展水平</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：开展高强、高韧、耐腐蚀等铝合金材料制备技术研发及产业化应用，提升产品高端化供给水平，研究建立铝领域制造业创新中心等；</w:t>
      </w:r>
      <w:r>
        <w:rPr>
          <w:rFonts w:hint="eastAsia" w:ascii="宋体" w:hAnsi="宋体" w:eastAsia="宋体" w:cs="宋体"/>
          <w:b/>
          <w:bCs/>
          <w:i w:val="0"/>
          <w:iCs w:val="0"/>
          <w:caps w:val="0"/>
          <w:color w:val="333333"/>
          <w:spacing w:val="0"/>
          <w:kern w:val="2"/>
          <w:sz w:val="24"/>
          <w:szCs w:val="24"/>
          <w:shd w:val="clear" w:fill="FFFFFF"/>
          <w:lang w:val="en-US" w:eastAsia="zh-CN" w:bidi="ar-SA"/>
        </w:rPr>
        <w:t>夯实产业技术基础</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：完善标准体系建设，加快科技成果向标准转化，加强铝产业计量测试中心建设，鼓励企业完善测量管理体系；</w:t>
      </w:r>
      <w:r>
        <w:rPr>
          <w:rFonts w:hint="eastAsia" w:ascii="宋体" w:hAnsi="宋体" w:eastAsia="宋体" w:cs="宋体"/>
          <w:b/>
          <w:bCs/>
          <w:i w:val="0"/>
          <w:iCs w:val="0"/>
          <w:caps w:val="0"/>
          <w:color w:val="333333"/>
          <w:spacing w:val="0"/>
          <w:kern w:val="2"/>
          <w:sz w:val="24"/>
          <w:szCs w:val="24"/>
          <w:shd w:val="clear" w:fill="FFFFFF"/>
          <w:lang w:val="en-US" w:eastAsia="zh-CN" w:bidi="ar-SA"/>
        </w:rPr>
        <w:t>加快绿色化发展</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：创建一批达到环保绩效A级水平的标杆企业，推动实施设备更新及技术改造，建设绿色矿山、工厂和工业园区，推进清洁能源替代；</w:t>
      </w:r>
      <w:r>
        <w:rPr>
          <w:rFonts w:hint="eastAsia" w:ascii="宋体" w:hAnsi="宋体" w:eastAsia="宋体" w:cs="宋体"/>
          <w:b/>
          <w:bCs/>
          <w:i w:val="0"/>
          <w:iCs w:val="0"/>
          <w:caps w:val="0"/>
          <w:color w:val="333333"/>
          <w:spacing w:val="0"/>
          <w:kern w:val="2"/>
          <w:sz w:val="24"/>
          <w:szCs w:val="24"/>
          <w:shd w:val="clear" w:fill="FFFFFF"/>
          <w:lang w:val="en-US" w:eastAsia="zh-CN" w:bidi="ar-SA"/>
        </w:rPr>
        <w:t>加快数字化转型</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：构建铝产业链数字化转型场景图谱，</w:t>
      </w:r>
      <w:r>
        <w:rPr>
          <w:rFonts w:hint="eastAsia" w:ascii="宋体" w:hAnsi="宋体" w:eastAsia="宋体" w:cs="宋体"/>
          <w:i w:val="0"/>
          <w:iCs w:val="0"/>
          <w:caps w:val="0"/>
          <w:color w:val="333333"/>
          <w:spacing w:val="0"/>
          <w:sz w:val="24"/>
          <w:szCs w:val="24"/>
          <w:shd w:val="clear" w:fill="FFFFFF"/>
        </w:rPr>
        <w:t>推进数字化技术在铝矿山、冶炼、加工等全产业链的深度应用，打造一批铝产业链数字化转型典型场景、标杆工厂和标杆企业，加快在线监测设备、先进控制系统、安全生产风险监测预警系统等智能装备和系统应用，提升铝行业安全管控水平。打造面向铝行业的关键设备故障解决、生产过程控制、安全环保智能管理、质量监测等人工智能（AI）模型，促进AI技术与资源勘探、采选冶、材料制备等环节深度融合应用，提升网络和数据安全防护水平。</w:t>
      </w:r>
    </w:p>
    <w:p>
      <w:pPr>
        <w:bidi w:val="0"/>
        <w:spacing w:line="360" w:lineRule="auto"/>
        <w:ind w:firstLine="480" w:firstLineChars="200"/>
        <w:rPr>
          <w:rFonts w:hint="eastAsia" w:ascii="宋体" w:hAnsi="宋体" w:eastAsia="宋体" w:cs="宋体"/>
          <w:b w:val="0"/>
          <w:bCs w:val="0"/>
          <w:i w:val="0"/>
          <w:iCs w:val="0"/>
          <w:caps w:val="0"/>
          <w:color w:val="333333"/>
          <w:spacing w:val="0"/>
          <w:kern w:val="2"/>
          <w:sz w:val="24"/>
          <w:szCs w:val="24"/>
          <w:shd w:val="clear" w:fill="FFFFFF"/>
          <w:lang w:val="en-US" w:eastAsia="zh-CN" w:bidi="ar-SA"/>
        </w:rPr>
      </w:pPr>
      <w:r>
        <w:rPr>
          <w:rFonts w:hint="eastAsia" w:ascii="宋体" w:hAnsi="宋体" w:eastAsia="宋体" w:cs="宋体"/>
          <w:b w:val="0"/>
          <w:bCs w:val="0"/>
          <w:i w:val="0"/>
          <w:iCs w:val="0"/>
          <w:caps w:val="0"/>
          <w:color w:val="333333"/>
          <w:spacing w:val="0"/>
          <w:kern w:val="2"/>
          <w:sz w:val="24"/>
          <w:szCs w:val="24"/>
          <w:shd w:val="clear" w:fill="FFFFFF"/>
          <w:lang w:val="en-US" w:eastAsia="zh-CN" w:bidi="ar-SA"/>
        </w:rPr>
        <w:t>《实施方案》中明确指出，推动江西、湖北、辽宁、安徽、河南等地开展再生铝保级循环利用，促进再生铝与铝加工融合发展。</w:t>
      </w:r>
      <w:r>
        <w:rPr>
          <w:rFonts w:hint="eastAsia" w:ascii="宋体" w:hAnsi="宋体" w:cs="宋体"/>
          <w:b w:val="0"/>
          <w:bCs w:val="0"/>
          <w:i w:val="0"/>
          <w:iCs w:val="0"/>
          <w:caps w:val="0"/>
          <w:color w:val="333333"/>
          <w:spacing w:val="0"/>
          <w:kern w:val="2"/>
          <w:sz w:val="24"/>
          <w:szCs w:val="24"/>
          <w:shd w:val="clear" w:fill="FFFFFF"/>
          <w:lang w:val="en-US" w:eastAsia="zh-CN" w:bidi="ar-SA"/>
        </w:rPr>
        <w:t>鼓励持续</w:t>
      </w:r>
      <w:r>
        <w:rPr>
          <w:rFonts w:hint="eastAsia" w:ascii="宋体" w:hAnsi="宋体" w:eastAsia="宋体" w:cs="宋体"/>
          <w:i w:val="0"/>
          <w:iCs w:val="0"/>
          <w:caps w:val="0"/>
          <w:color w:val="333333"/>
          <w:spacing w:val="0"/>
          <w:sz w:val="24"/>
          <w:szCs w:val="24"/>
          <w:shd w:val="clear" w:fill="FFFFFF"/>
        </w:rPr>
        <w:t>建立再生铝回收基地和产业集聚区，提升再生铝原料循环利用效率，探索搭建“互联网+资源回收”新模式，推动再生铝与原铝、铝加工融合发展和高值化利用。</w:t>
      </w:r>
      <w:bookmarkEnd w:id="17"/>
    </w:p>
    <w:p>
      <w:pPr>
        <w:bidi w:val="0"/>
        <w:spacing w:line="360" w:lineRule="auto"/>
        <w:ind w:firstLine="480" w:firstLineChars="200"/>
        <w:rPr>
          <w:rFonts w:hint="default" w:ascii="宋体" w:hAnsi="宋体" w:eastAsia="宋体" w:cs="宋体"/>
          <w:b w:val="0"/>
          <w:bCs w:val="0"/>
          <w:i w:val="0"/>
          <w:iCs w:val="0"/>
          <w:caps w:val="0"/>
          <w:color w:val="333333"/>
          <w:spacing w:val="0"/>
          <w:kern w:val="2"/>
          <w:sz w:val="24"/>
          <w:szCs w:val="24"/>
          <w:shd w:val="clear" w:fill="FFFFFF"/>
          <w:lang w:val="en-US" w:eastAsia="zh-CN" w:bidi="ar-S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成文日期：2025年3月28日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bidi w:val="0"/>
        <w:spacing w:line="360" w:lineRule="auto"/>
        <w:rPr>
          <w:rFonts w:hint="default"/>
          <w:lang w:val="en-US" w:eastAsia="zh-CN"/>
        </w:rPr>
      </w:pPr>
      <w:bookmarkStart w:id="18" w:name="OLE_LINK9"/>
      <w:r>
        <w:rPr>
          <w:rFonts w:hint="default" w:ascii="Microsoft YaHei UI" w:hAnsi="Microsoft YaHei UI" w:eastAsia="Microsoft YaHei UI" w:cs="Microsoft YaHei UI"/>
          <w:spacing w:val="7"/>
          <w:kern w:val="0"/>
          <w:sz w:val="15"/>
          <w:szCs w:val="15"/>
          <w:lang w:val="en-US" w:eastAsia="zh-CN" w:bidi="ar"/>
        </w:rPr>
        <w:t>https://wap.miit.gov.cn/zwgk/zcwj/wjfb/tz/art/2025/art_1050c2f084184283a4d31f8aa8642fd7.html</w:t>
      </w:r>
    </w:p>
    <w:bookmarkEnd w:id="18"/>
    <w:p>
      <w:pPr>
        <w:bidi w:val="0"/>
        <w:spacing w:line="360" w:lineRule="auto"/>
        <w:ind w:firstLine="480" w:firstLineChars="200"/>
        <w:rPr>
          <w:rFonts w:hint="default"/>
          <w:lang w:val="en-US" w:eastAsia="zh-CN"/>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9" w:name="OLE_LINK21"/>
      <w:r>
        <w:rPr>
          <w:rFonts w:hint="default" w:cs="Times New Roman"/>
          <w:b/>
          <w:bCs/>
          <w:kern w:val="44"/>
          <w:sz w:val="28"/>
          <w:szCs w:val="44"/>
          <w:highlight w:val="none"/>
          <w:lang w:val="en-US" w:eastAsia="zh-CN" w:bidi="ar-SA"/>
        </w:rPr>
        <w:t>关于开展第二批制造业新型技术改造城市试点工作的通知</w:t>
      </w:r>
    </w:p>
    <w:bookmarkEnd w:id="16"/>
    <w:bookmarkEnd w:id="19"/>
    <w:p>
      <w:pPr>
        <w:bidi w:val="0"/>
        <w:spacing w:line="360" w:lineRule="auto"/>
        <w:ind w:firstLine="480" w:firstLineChars="200"/>
        <w:rPr>
          <w:rFonts w:hint="eastAsia"/>
          <w:lang w:val="en-US" w:eastAsia="zh-CN"/>
        </w:rPr>
      </w:pPr>
      <w:bookmarkStart w:id="20" w:name="OLE_LINK42"/>
      <w:r>
        <w:rPr>
          <w:rFonts w:hint="eastAsia"/>
          <w:lang w:val="en-US" w:eastAsia="zh-CN"/>
        </w:rPr>
        <w:t>为贯彻落实政府工作报告关于“深入实施制造业重大技术改造升级和大规模设备更新工程”部署要求，工业和信息化部、财政部组织开展第二批制造业新型技术改造城市试点工作。按照《通知》相关要求，支持城市采用“点线面”结合的方式组织示范项目，“点”上开展数字化智能化改造示范、“线”上开展产业链供应链数字化协同改造示范、“面”上开展产业集群及科技产业园区整体数字化改造示范，加快数字技术、绿色技术以及创新产品推广应用，推动制造业高端化、智能化、绿色化发展。此次申报要求聚焦重点行业，励选择对工业经济增长贡献度较大、转型升级需求迫切的传统产业，如石化化工、钢铁、有色、建材、机械（仪器仪表）、食品、轻工、纺织等。要求加强政策协同，要与工业领域设备更新、超长期特别国债等政策做好协同，形成政策合力。要求加强工作衔接，鼓励第二批申报城市实施方案与首批入选城市实施方案做好衔接，在重点行业、重大项目上实施协同改造。要求加强项目把关，申报城市应做好项目审核，遴选优质项目列入实施方案。要求规范资金使用，中央财政安排的奖补资金由入选城市用于实施方案中明确的重点项目，支持方式由地方确定，包括投资补助、贷款贴息、担保费补贴等。2024年武汉市成功入选制造业新型技术改造城市试点，成为全国首批20个试点市（区）之一。</w:t>
      </w:r>
    </w:p>
    <w:bookmarkEnd w:id="20"/>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1" w:name="OLE_LINK6"/>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成文日期：2025年3月31日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22" w:name="OLE_LINK10"/>
      <w:r>
        <w:rPr>
          <w:rFonts w:hint="eastAsia" w:ascii="Microsoft YaHei UI" w:hAnsi="Microsoft YaHei UI" w:eastAsia="Microsoft YaHei UI" w:cs="Microsoft YaHei UI"/>
          <w:spacing w:val="7"/>
          <w:kern w:val="0"/>
          <w:sz w:val="15"/>
          <w:szCs w:val="15"/>
          <w:lang w:val="en-US" w:eastAsia="zh-CN" w:bidi="ar"/>
        </w:rPr>
        <w:t>工业和信息化部</w:t>
      </w:r>
      <w:bookmarkEnd w:id="22"/>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21"/>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23" w:name="OLE_LINK11"/>
      <w:r>
        <w:rPr>
          <w:rFonts w:hint="default" w:ascii="Microsoft YaHei UI" w:hAnsi="Microsoft YaHei UI" w:eastAsia="Microsoft YaHei UI" w:cs="Microsoft YaHei UI"/>
          <w:spacing w:val="7"/>
          <w:kern w:val="0"/>
          <w:sz w:val="15"/>
          <w:szCs w:val="15"/>
          <w:lang w:val="en-US" w:eastAsia="zh-CN" w:bidi="ar"/>
        </w:rPr>
        <w:t>https://www.miit.gov.cn/zwgk/zcwj/wjfb/tz/art/2025/art_ae9ecff3ee54467c839ba2afd1be406c.html</w:t>
      </w:r>
    </w:p>
    <w:bookmarkEnd w:id="23"/>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bookmarkEnd w:id="9"/>
    <w:bookmarkEnd w:id="10"/>
    <w:bookmarkEnd w:id="11"/>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24" w:name="OLE_LINK19"/>
      <w:r>
        <w:rPr>
          <w:rFonts w:hint="default" w:ascii="Times New Roman" w:hAnsi="Times New Roman" w:eastAsia="宋体" w:cs="Times New Roman"/>
          <w:b/>
          <w:bCs/>
          <w:kern w:val="44"/>
          <w:sz w:val="28"/>
          <w:szCs w:val="44"/>
          <w:lang w:val="en-US" w:eastAsia="zh-CN" w:bidi="ar-SA"/>
        </w:rPr>
        <w:t>关于印发《湖北省中小企业特色产业集群高质量发展工作方案（2025-2027年）》的通知</w:t>
      </w:r>
    </w:p>
    <w:bookmarkEnd w:id="24"/>
    <w:p>
      <w:pPr>
        <w:bidi w:val="0"/>
        <w:spacing w:line="360" w:lineRule="auto"/>
        <w:ind w:firstLine="480" w:firstLineChars="200"/>
        <w:rPr>
          <w:rFonts w:hint="eastAsia"/>
          <w:lang w:val="en-US" w:eastAsia="zh-CN"/>
        </w:rPr>
      </w:pPr>
      <w:bookmarkStart w:id="25" w:name="OLE_LINK13"/>
      <w:r>
        <w:rPr>
          <w:rFonts w:hint="eastAsia"/>
          <w:lang w:val="en-US" w:eastAsia="zh-CN"/>
        </w:rPr>
        <w:t>4月1日，湖北省人民政府办公厅发布《湖北省中小企业特色产业集群高质量发展工作方案（2025-2027年）》的通知，旨在提升中小企业专业化、特色化、集群化发展水平，推动特色产业集群提质扩量、县域冠军产业提档升级。《工作方案》从八个方面进行制定：坚持分类分批培育，推动特色产业集群扩量提质、突出细分赛道领域，做优做强集群主导产业、强化专精特新导向，梯度培育集群优质企业、健全技术创新体系，持续提升集群创新能力、加大试点示范力度，支持集群数字化改造升级、持续推动节能降碳，促进集群绿色低碳转型、注重双链协同发力，推动集群平台增效提能、强化体制机制重塑，加大集群政策支持力度。在做优做强集群主导产业中，《工作方案》提出，重点支持武汉智能网联汽车、襄阳再生资源、宜昌装备制造等领域培育千亿级集群；支持孝感盐化工、荆门动力电池、咸宁智能机电、随州专用车等领域培育500亿级集群；支持黄石铜基新材料、荆州石油设备、十堰汽车配件、黄冈大健康、仙桃无纺布等领域培育300亿级集群；支持鄂州金刚石刀具、恩施富硒食品、天门服装电商、潜江电子新材料等领域培育百亿级产业集群，加快打造一批在全国乃至全球有影响力的拳头产品和特色产业，实现县域特色产业向县域冠军产业、特色地标产业提档升级。在支持集群数字化改造升级中，《工作方案》提出，将每年实施100个左右数字化改造提升项目，培育发展智能制造、智慧康养、智慧物流、数字商贸等新业态，支持荆州智能家电、仙桃无纺布等产业集群建设数字经济示范园区，引导荆州美的、唯美医疗等行业骨干企业打造数字化样板工厂。在省级以上特色产业集群部署一批工业软件平台，引导数字化服务商面向集群企业推出云制造服务平台，支持集群企业创建智能工厂、数字化车间。2027年，集群规上工业企业关键工序数控化率、数字化研发设计工具普及率分别达到75%、90%，实现集群企业重要生产数据联通。</w:t>
      </w:r>
    </w:p>
    <w:bookmarkEnd w:id="25"/>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6" w:name="OLE_LINK1"/>
      <w:r>
        <w:rPr>
          <w:rFonts w:hint="eastAsia" w:ascii="Microsoft YaHei UI" w:hAnsi="Microsoft YaHei UI" w:eastAsia="Microsoft YaHei UI" w:cs="Microsoft YaHei UI"/>
          <w:spacing w:val="7"/>
          <w:kern w:val="0"/>
          <w:sz w:val="15"/>
          <w:szCs w:val="15"/>
          <w:lang w:val="en-US" w:eastAsia="zh-CN" w:bidi="ar"/>
        </w:rPr>
        <w:t>发文日期：2025年4月1日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发文单位：湖北省人民政府</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26"/>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bookmarkStart w:id="27" w:name="OLE_LINK14"/>
      <w:r>
        <w:rPr>
          <w:rFonts w:hint="default" w:ascii="Microsoft YaHei UI" w:hAnsi="Microsoft YaHei UI" w:eastAsia="Microsoft YaHei UI" w:cs="Microsoft YaHei UI"/>
          <w:color w:val="auto"/>
          <w:spacing w:val="7"/>
          <w:kern w:val="0"/>
          <w:sz w:val="15"/>
          <w:szCs w:val="15"/>
          <w:u w:val="none"/>
          <w:lang w:val="en-US" w:eastAsia="zh-CN" w:bidi="ar"/>
        </w:rPr>
        <w:t>https://www.hubei.gov.cn/zfwj/ezbf/202504/t20250401_5598342.shtml</w:t>
      </w:r>
    </w:p>
    <w:bookmarkEnd w:id="27"/>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widowControl/>
        <w:numPr>
          <w:ilvl w:val="0"/>
          <w:numId w:val="6"/>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28" w:name="OLE_LINK16"/>
      <w:r>
        <w:rPr>
          <w:rFonts w:hint="default" w:ascii="Times New Roman" w:hAnsi="Times New Roman" w:eastAsia="宋体" w:cs="Times New Roman"/>
          <w:b/>
          <w:bCs/>
          <w:kern w:val="44"/>
          <w:sz w:val="28"/>
          <w:szCs w:val="44"/>
          <w:lang w:val="en-US" w:eastAsia="zh-CN" w:bidi="ar-SA"/>
        </w:rPr>
        <w:t>湖北“低空大脑”年底建成投用 汇聚通信导航气象等信息，为低空飞行提供支持</w:t>
      </w:r>
    </w:p>
    <w:bookmarkEnd w:id="28"/>
    <w:p>
      <w:pPr>
        <w:bidi w:val="0"/>
        <w:spacing w:line="360" w:lineRule="auto"/>
        <w:ind w:firstLine="480" w:firstLineChars="200"/>
        <w:rPr>
          <w:rFonts w:hint="default"/>
          <w:lang w:val="en-US" w:eastAsia="zh-CN"/>
        </w:rPr>
      </w:pPr>
      <w:bookmarkStart w:id="29" w:name="OLE_LINK17"/>
      <w:r>
        <w:rPr>
          <w:rFonts w:hint="default"/>
          <w:lang w:val="en-US" w:eastAsia="zh-CN"/>
        </w:rPr>
        <w:t>据湖北日报报道，正在建设中的湖北省低空飞行服务平台将于6月底具备服务能力，年底前全面建成。由低空公司负责建设的低空飞行服务平台，可采集低空通信、导航、监视、气象及地理环境等多方面信息，被视为湖北的“低空大脑”。该平台向上连接国家民用无人驾驶航空器综合管理平台等系统，向下整合省内各地市州飞行服务站数据资源，并通过协同运行系统与各有关部门互通，旨在为全省低空飞行活动的安全、高效运行提供全方位、多层次的服务与支持。目前，武汉、宜昌、荆门、孝感、随州正在打造低空经济综合试验区，因地制宜开展“低空＋”新业态应用场景创建，探索如何让低空经济“有收益、有回报、飞得长、飞得久”，以形成可复制推广的“湖北经验”。</w:t>
      </w:r>
    </w:p>
    <w:bookmarkEnd w:id="29"/>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发文日期：2025年3月31日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https://fgw.hubei.gov.cn/gzjj/dtyw/fgyw/202503/t20250331_5595646.shtml</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widowControl/>
        <w:numPr>
          <w:ilvl w:val="0"/>
          <w:numId w:val="6"/>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30" w:name="OLE_LINK18"/>
      <w:r>
        <w:rPr>
          <w:rFonts w:hint="default" w:ascii="Times New Roman" w:hAnsi="Times New Roman" w:eastAsia="宋体" w:cs="Times New Roman"/>
          <w:b/>
          <w:bCs/>
          <w:kern w:val="44"/>
          <w:sz w:val="28"/>
          <w:szCs w:val="44"/>
          <w:lang w:val="en-US" w:eastAsia="zh-CN" w:bidi="ar-SA"/>
        </w:rPr>
        <w:t>合肥发布全国首个数据标注产业规划</w:t>
      </w:r>
    </w:p>
    <w:bookmarkEnd w:id="30"/>
    <w:p>
      <w:pPr>
        <w:bidi w:val="0"/>
        <w:spacing w:line="360" w:lineRule="auto"/>
        <w:ind w:firstLine="480" w:firstLineChars="200"/>
        <w:rPr>
          <w:rFonts w:hint="default"/>
          <w:lang w:val="en-US" w:eastAsia="zh-CN"/>
        </w:rPr>
      </w:pPr>
      <w:bookmarkStart w:id="31" w:name="OLE_LINK20"/>
      <w:r>
        <w:rPr>
          <w:rFonts w:hint="default"/>
          <w:lang w:val="en-US" w:eastAsia="zh-CN"/>
        </w:rPr>
        <w:t>我国首个数据标注产业专项规划《合肥数据标注产业发展规划（2025—2027年）》近日正式发布。该规划立足合肥产业基础，以打造国际领先的数据标注创新基地为目标，为推进城市数字化转型提供核心支撑。《规划》明确六大重点任务：集中突破数据预处理、智能标注工具等关键技术；建设公共服务平台和众智标注平台；培育龙头企业与中小企业联动发展；推动社会治理数字化转型；构建标准化体系和人才培育机制；创新“四会一赛”生态运营模式。通过“政产学研用金”协同推进机制，加速形成高效智能的产业生态。该规划特别强调数据安全监管机制建设，着力推动人工智能技术与实体经济深度融合。据了解，此举将有效激活数据要素潜能，为安徽打造具有国际竞争力的数字产业集群奠定基础。</w:t>
      </w:r>
      <w:bookmarkEnd w:id="31"/>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发文单位：安徽日报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2" w:name="_GoBack"/>
      <w:r>
        <w:rPr>
          <w:rFonts w:hint="eastAsia" w:ascii="Microsoft YaHei UI" w:hAnsi="Microsoft YaHei UI" w:eastAsia="Microsoft YaHei UI" w:cs="Microsoft YaHei UI"/>
          <w:spacing w:val="7"/>
          <w:kern w:val="0"/>
          <w:sz w:val="15"/>
          <w:szCs w:val="15"/>
          <w:lang w:val="en-US" w:eastAsia="zh-CN" w:bidi="ar"/>
        </w:rPr>
        <w:t>https://sjzyj.ah.gov.cn/xwdt/mtjj/40742149.html</w:t>
      </w:r>
    </w:p>
    <w:bookmarkEnd w:id="32"/>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BD33"/>
    <w:multiLevelType w:val="singleLevel"/>
    <w:tmpl w:val="A5AABD33"/>
    <w:lvl w:ilvl="0" w:tentative="0">
      <w:start w:val="1"/>
      <w:numFmt w:val="chineseCounting"/>
      <w:suff w:val="nothing"/>
      <w:lvlText w:val="%1、"/>
      <w:lvlJc w:val="left"/>
      <w:rPr>
        <w:rFonts w:hint="eastAsia"/>
      </w:rPr>
    </w:lvl>
  </w:abstractNum>
  <w:abstractNum w:abstractNumId="1">
    <w:nsid w:val="F5F01CDA"/>
    <w:multiLevelType w:val="singleLevel"/>
    <w:tmpl w:val="F5F01CDA"/>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40B8A49"/>
    <w:multiLevelType w:val="singleLevel"/>
    <w:tmpl w:val="540B8A49"/>
    <w:lvl w:ilvl="0" w:tentative="0">
      <w:start w:val="1"/>
      <w:numFmt w:val="chineseCounting"/>
      <w:suff w:val="nothing"/>
      <w:lvlText w:val="%1、"/>
      <w:lvlJc w:val="left"/>
      <w:rPr>
        <w:rFonts w:hint="eastAsia"/>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96A4D"/>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6266E"/>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096934"/>
    <w:rsid w:val="016F430C"/>
    <w:rsid w:val="01A26771"/>
    <w:rsid w:val="01BC1E9D"/>
    <w:rsid w:val="01CD2EF8"/>
    <w:rsid w:val="01DD669F"/>
    <w:rsid w:val="023E1794"/>
    <w:rsid w:val="02580567"/>
    <w:rsid w:val="02582765"/>
    <w:rsid w:val="02623074"/>
    <w:rsid w:val="02B81FC4"/>
    <w:rsid w:val="03506721"/>
    <w:rsid w:val="037C7044"/>
    <w:rsid w:val="039C5442"/>
    <w:rsid w:val="03D2404C"/>
    <w:rsid w:val="045C2652"/>
    <w:rsid w:val="04765C43"/>
    <w:rsid w:val="04BA20CD"/>
    <w:rsid w:val="050F64AF"/>
    <w:rsid w:val="053063AB"/>
    <w:rsid w:val="05687CD1"/>
    <w:rsid w:val="058D22A7"/>
    <w:rsid w:val="05E53F99"/>
    <w:rsid w:val="0648154C"/>
    <w:rsid w:val="064A1761"/>
    <w:rsid w:val="06601CDF"/>
    <w:rsid w:val="067D27D9"/>
    <w:rsid w:val="06815787"/>
    <w:rsid w:val="068715C6"/>
    <w:rsid w:val="071C5B32"/>
    <w:rsid w:val="072B1256"/>
    <w:rsid w:val="07683EC8"/>
    <w:rsid w:val="0826583C"/>
    <w:rsid w:val="08683CDA"/>
    <w:rsid w:val="08753AC5"/>
    <w:rsid w:val="087607E6"/>
    <w:rsid w:val="08AD661F"/>
    <w:rsid w:val="09261B0E"/>
    <w:rsid w:val="09405381"/>
    <w:rsid w:val="09A62F22"/>
    <w:rsid w:val="09C32C91"/>
    <w:rsid w:val="0A1E72E5"/>
    <w:rsid w:val="0A434350"/>
    <w:rsid w:val="0AC3612D"/>
    <w:rsid w:val="0AD02B39"/>
    <w:rsid w:val="0B4267D9"/>
    <w:rsid w:val="0B7520E0"/>
    <w:rsid w:val="0B922B80"/>
    <w:rsid w:val="0BA062C9"/>
    <w:rsid w:val="0BAE737B"/>
    <w:rsid w:val="0BDC6B84"/>
    <w:rsid w:val="0BE50054"/>
    <w:rsid w:val="0BF5655F"/>
    <w:rsid w:val="0C07544A"/>
    <w:rsid w:val="0C4F07D9"/>
    <w:rsid w:val="0C817312"/>
    <w:rsid w:val="0CA37841"/>
    <w:rsid w:val="0CAE4D2A"/>
    <w:rsid w:val="0CF839A0"/>
    <w:rsid w:val="0D466B4A"/>
    <w:rsid w:val="0D517404"/>
    <w:rsid w:val="0D7D63DD"/>
    <w:rsid w:val="0D884641"/>
    <w:rsid w:val="0DA925F8"/>
    <w:rsid w:val="0DCC7F08"/>
    <w:rsid w:val="0E34475A"/>
    <w:rsid w:val="0E6C1FC1"/>
    <w:rsid w:val="0E83792A"/>
    <w:rsid w:val="0ED95576"/>
    <w:rsid w:val="0F3E7C84"/>
    <w:rsid w:val="0F4870A8"/>
    <w:rsid w:val="0F541C19"/>
    <w:rsid w:val="0F981F55"/>
    <w:rsid w:val="0FB731AC"/>
    <w:rsid w:val="0FBC07B5"/>
    <w:rsid w:val="0FE954A1"/>
    <w:rsid w:val="10297193"/>
    <w:rsid w:val="10440482"/>
    <w:rsid w:val="10874A3C"/>
    <w:rsid w:val="108F375B"/>
    <w:rsid w:val="10FC2F79"/>
    <w:rsid w:val="10FF77C5"/>
    <w:rsid w:val="11091D5E"/>
    <w:rsid w:val="111057C3"/>
    <w:rsid w:val="11111221"/>
    <w:rsid w:val="11245848"/>
    <w:rsid w:val="116826AA"/>
    <w:rsid w:val="11771249"/>
    <w:rsid w:val="11823249"/>
    <w:rsid w:val="118401F0"/>
    <w:rsid w:val="11AC6546"/>
    <w:rsid w:val="11DA1989"/>
    <w:rsid w:val="11F969CD"/>
    <w:rsid w:val="120B217A"/>
    <w:rsid w:val="12134735"/>
    <w:rsid w:val="12331C5D"/>
    <w:rsid w:val="123B7AAA"/>
    <w:rsid w:val="125B5296"/>
    <w:rsid w:val="125F2DFF"/>
    <w:rsid w:val="12727028"/>
    <w:rsid w:val="127E473D"/>
    <w:rsid w:val="12C12EBE"/>
    <w:rsid w:val="12C26CEB"/>
    <w:rsid w:val="12D37F5C"/>
    <w:rsid w:val="136523E1"/>
    <w:rsid w:val="13874EC8"/>
    <w:rsid w:val="13D54396"/>
    <w:rsid w:val="141F196B"/>
    <w:rsid w:val="142C6563"/>
    <w:rsid w:val="144349CA"/>
    <w:rsid w:val="14584F42"/>
    <w:rsid w:val="147E14B7"/>
    <w:rsid w:val="14C64FA3"/>
    <w:rsid w:val="154F3C02"/>
    <w:rsid w:val="156F4137"/>
    <w:rsid w:val="159852FC"/>
    <w:rsid w:val="15B11221"/>
    <w:rsid w:val="15D500B0"/>
    <w:rsid w:val="161277D9"/>
    <w:rsid w:val="161A531E"/>
    <w:rsid w:val="16A23F8A"/>
    <w:rsid w:val="16FC4447"/>
    <w:rsid w:val="17142067"/>
    <w:rsid w:val="175C1163"/>
    <w:rsid w:val="17680B0C"/>
    <w:rsid w:val="17B83DC4"/>
    <w:rsid w:val="17C676BC"/>
    <w:rsid w:val="17C8624A"/>
    <w:rsid w:val="17FD7FE9"/>
    <w:rsid w:val="18887BCD"/>
    <w:rsid w:val="190E24E6"/>
    <w:rsid w:val="1918096B"/>
    <w:rsid w:val="194C3CCF"/>
    <w:rsid w:val="194D3E53"/>
    <w:rsid w:val="196A2CC7"/>
    <w:rsid w:val="19A83B6D"/>
    <w:rsid w:val="19B14137"/>
    <w:rsid w:val="19BC6CC5"/>
    <w:rsid w:val="19C464F5"/>
    <w:rsid w:val="19C57C95"/>
    <w:rsid w:val="19FD1B6F"/>
    <w:rsid w:val="1A0F674F"/>
    <w:rsid w:val="1A0F7083"/>
    <w:rsid w:val="1A342C09"/>
    <w:rsid w:val="1A845EF2"/>
    <w:rsid w:val="1A9D4E5B"/>
    <w:rsid w:val="1AF417A3"/>
    <w:rsid w:val="1B59234B"/>
    <w:rsid w:val="1B7D415C"/>
    <w:rsid w:val="1BB618CD"/>
    <w:rsid w:val="1BF12377"/>
    <w:rsid w:val="1C13269C"/>
    <w:rsid w:val="1C702A36"/>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442154"/>
    <w:rsid w:val="1E6D2C45"/>
    <w:rsid w:val="1EA35DE4"/>
    <w:rsid w:val="1EA60457"/>
    <w:rsid w:val="1EDE41E6"/>
    <w:rsid w:val="1EE44AF0"/>
    <w:rsid w:val="1F212856"/>
    <w:rsid w:val="1F2A1A19"/>
    <w:rsid w:val="1F3D76D1"/>
    <w:rsid w:val="1F3E7A96"/>
    <w:rsid w:val="1F8D70B7"/>
    <w:rsid w:val="1F9950FA"/>
    <w:rsid w:val="1FAA29C3"/>
    <w:rsid w:val="1FE82087"/>
    <w:rsid w:val="20041B75"/>
    <w:rsid w:val="20252704"/>
    <w:rsid w:val="208E0ED7"/>
    <w:rsid w:val="20AB0C7A"/>
    <w:rsid w:val="20BC2914"/>
    <w:rsid w:val="20E51F26"/>
    <w:rsid w:val="2103535F"/>
    <w:rsid w:val="218E754B"/>
    <w:rsid w:val="21A9142B"/>
    <w:rsid w:val="21B930E6"/>
    <w:rsid w:val="21BA18CA"/>
    <w:rsid w:val="21E6176B"/>
    <w:rsid w:val="21F73395"/>
    <w:rsid w:val="21F827F4"/>
    <w:rsid w:val="22286F53"/>
    <w:rsid w:val="22322E8D"/>
    <w:rsid w:val="22514A82"/>
    <w:rsid w:val="22803FAB"/>
    <w:rsid w:val="22D1559A"/>
    <w:rsid w:val="231A50A3"/>
    <w:rsid w:val="238C2419"/>
    <w:rsid w:val="23C0562A"/>
    <w:rsid w:val="23FE699A"/>
    <w:rsid w:val="24082A8D"/>
    <w:rsid w:val="24306535"/>
    <w:rsid w:val="243A4E0B"/>
    <w:rsid w:val="244D480A"/>
    <w:rsid w:val="24AC6718"/>
    <w:rsid w:val="24E25E51"/>
    <w:rsid w:val="25123F51"/>
    <w:rsid w:val="25306246"/>
    <w:rsid w:val="254629C4"/>
    <w:rsid w:val="258B55B3"/>
    <w:rsid w:val="258F5A9A"/>
    <w:rsid w:val="25CE1DB0"/>
    <w:rsid w:val="25DB28FA"/>
    <w:rsid w:val="25FE1963"/>
    <w:rsid w:val="266876DA"/>
    <w:rsid w:val="26A81ED5"/>
    <w:rsid w:val="26C43029"/>
    <w:rsid w:val="26EE1123"/>
    <w:rsid w:val="26FC3FBD"/>
    <w:rsid w:val="27010B22"/>
    <w:rsid w:val="2776664F"/>
    <w:rsid w:val="277A5544"/>
    <w:rsid w:val="28356A45"/>
    <w:rsid w:val="284571E0"/>
    <w:rsid w:val="284B3419"/>
    <w:rsid w:val="284B3726"/>
    <w:rsid w:val="28A46AA7"/>
    <w:rsid w:val="290A5904"/>
    <w:rsid w:val="290D23FE"/>
    <w:rsid w:val="291C0481"/>
    <w:rsid w:val="29246C8C"/>
    <w:rsid w:val="29355D18"/>
    <w:rsid w:val="295F6920"/>
    <w:rsid w:val="296B1032"/>
    <w:rsid w:val="29C66496"/>
    <w:rsid w:val="29CD2F7F"/>
    <w:rsid w:val="2A0E0437"/>
    <w:rsid w:val="2A1B05EA"/>
    <w:rsid w:val="2A2F3817"/>
    <w:rsid w:val="2A5D4014"/>
    <w:rsid w:val="2A6508F8"/>
    <w:rsid w:val="2A67601F"/>
    <w:rsid w:val="2A86518A"/>
    <w:rsid w:val="2B1442F8"/>
    <w:rsid w:val="2B8A4E7D"/>
    <w:rsid w:val="2B9916DC"/>
    <w:rsid w:val="2BB87451"/>
    <w:rsid w:val="2BCF3A5F"/>
    <w:rsid w:val="2BDC1404"/>
    <w:rsid w:val="2BE713BB"/>
    <w:rsid w:val="2C200360"/>
    <w:rsid w:val="2C3B46EC"/>
    <w:rsid w:val="2C5B292D"/>
    <w:rsid w:val="2C8A4A20"/>
    <w:rsid w:val="2CCB191D"/>
    <w:rsid w:val="2D0956BF"/>
    <w:rsid w:val="2D6708C5"/>
    <w:rsid w:val="2D856BEC"/>
    <w:rsid w:val="2D990859"/>
    <w:rsid w:val="2DAD387D"/>
    <w:rsid w:val="2DC73D3E"/>
    <w:rsid w:val="2DE17B2F"/>
    <w:rsid w:val="2DE44242"/>
    <w:rsid w:val="2DE955A4"/>
    <w:rsid w:val="2E595191"/>
    <w:rsid w:val="2EB85034"/>
    <w:rsid w:val="2F0A3A24"/>
    <w:rsid w:val="2F36681B"/>
    <w:rsid w:val="2F3E7A4E"/>
    <w:rsid w:val="2F6E2446"/>
    <w:rsid w:val="2F75430C"/>
    <w:rsid w:val="300512D8"/>
    <w:rsid w:val="30656B3C"/>
    <w:rsid w:val="30C94292"/>
    <w:rsid w:val="310247BE"/>
    <w:rsid w:val="310835FF"/>
    <w:rsid w:val="3146218A"/>
    <w:rsid w:val="315A11CA"/>
    <w:rsid w:val="317A00BB"/>
    <w:rsid w:val="318B0355"/>
    <w:rsid w:val="31A1082A"/>
    <w:rsid w:val="31AB4A33"/>
    <w:rsid w:val="32186458"/>
    <w:rsid w:val="32614B36"/>
    <w:rsid w:val="327B2123"/>
    <w:rsid w:val="329C4004"/>
    <w:rsid w:val="32CA1293"/>
    <w:rsid w:val="32E87499"/>
    <w:rsid w:val="331D1B33"/>
    <w:rsid w:val="33281481"/>
    <w:rsid w:val="334A1BC6"/>
    <w:rsid w:val="33595EFA"/>
    <w:rsid w:val="3363215A"/>
    <w:rsid w:val="33B2575C"/>
    <w:rsid w:val="34101BAC"/>
    <w:rsid w:val="342E49F7"/>
    <w:rsid w:val="34935BC5"/>
    <w:rsid w:val="35725E7F"/>
    <w:rsid w:val="357A6A27"/>
    <w:rsid w:val="359A63E2"/>
    <w:rsid w:val="360B6DE2"/>
    <w:rsid w:val="3619453F"/>
    <w:rsid w:val="361E5CDB"/>
    <w:rsid w:val="362979CB"/>
    <w:rsid w:val="36705660"/>
    <w:rsid w:val="36D42F37"/>
    <w:rsid w:val="36ED7BA0"/>
    <w:rsid w:val="37030542"/>
    <w:rsid w:val="37C2539A"/>
    <w:rsid w:val="37CE370C"/>
    <w:rsid w:val="37E172EC"/>
    <w:rsid w:val="37E8395D"/>
    <w:rsid w:val="381948B8"/>
    <w:rsid w:val="386B1CA8"/>
    <w:rsid w:val="38802E42"/>
    <w:rsid w:val="38B764DA"/>
    <w:rsid w:val="38B90DAF"/>
    <w:rsid w:val="38D91F16"/>
    <w:rsid w:val="38F82975"/>
    <w:rsid w:val="3954386D"/>
    <w:rsid w:val="397D4DF2"/>
    <w:rsid w:val="39B44138"/>
    <w:rsid w:val="39C678D5"/>
    <w:rsid w:val="39D734CB"/>
    <w:rsid w:val="3A064130"/>
    <w:rsid w:val="3A1351F8"/>
    <w:rsid w:val="3A4C06E3"/>
    <w:rsid w:val="3A767808"/>
    <w:rsid w:val="3A8A0F27"/>
    <w:rsid w:val="3A93709E"/>
    <w:rsid w:val="3AF87AF5"/>
    <w:rsid w:val="3B004723"/>
    <w:rsid w:val="3B164301"/>
    <w:rsid w:val="3B2B14D3"/>
    <w:rsid w:val="3B317A26"/>
    <w:rsid w:val="3BA530BB"/>
    <w:rsid w:val="3BC61B14"/>
    <w:rsid w:val="3C7826C2"/>
    <w:rsid w:val="3C957A74"/>
    <w:rsid w:val="3CA96714"/>
    <w:rsid w:val="3CAB72C2"/>
    <w:rsid w:val="3CB21257"/>
    <w:rsid w:val="3CDC748F"/>
    <w:rsid w:val="3D0777F5"/>
    <w:rsid w:val="3D1F0B21"/>
    <w:rsid w:val="3D2968D4"/>
    <w:rsid w:val="3D2D6AC3"/>
    <w:rsid w:val="3D485319"/>
    <w:rsid w:val="3D4D7047"/>
    <w:rsid w:val="3D544BC2"/>
    <w:rsid w:val="3D694272"/>
    <w:rsid w:val="3D6E0485"/>
    <w:rsid w:val="3D8F0BB4"/>
    <w:rsid w:val="3DDD468F"/>
    <w:rsid w:val="3DF139AA"/>
    <w:rsid w:val="3DF3353C"/>
    <w:rsid w:val="3E410903"/>
    <w:rsid w:val="3E6A3919"/>
    <w:rsid w:val="3EA04765"/>
    <w:rsid w:val="3ECA64CC"/>
    <w:rsid w:val="3EF8593F"/>
    <w:rsid w:val="3F5274EE"/>
    <w:rsid w:val="3F605988"/>
    <w:rsid w:val="3F6B686A"/>
    <w:rsid w:val="400E49F6"/>
    <w:rsid w:val="401D5D3B"/>
    <w:rsid w:val="40387CC5"/>
    <w:rsid w:val="404605CF"/>
    <w:rsid w:val="40DE5DF9"/>
    <w:rsid w:val="42432277"/>
    <w:rsid w:val="42E10978"/>
    <w:rsid w:val="436E6911"/>
    <w:rsid w:val="43B26B9C"/>
    <w:rsid w:val="443C6B00"/>
    <w:rsid w:val="4444198E"/>
    <w:rsid w:val="44445A26"/>
    <w:rsid w:val="44660041"/>
    <w:rsid w:val="44703211"/>
    <w:rsid w:val="44A61752"/>
    <w:rsid w:val="44BC03D1"/>
    <w:rsid w:val="44F05DF6"/>
    <w:rsid w:val="44F720B3"/>
    <w:rsid w:val="450B5ED4"/>
    <w:rsid w:val="456562D4"/>
    <w:rsid w:val="45B34E08"/>
    <w:rsid w:val="45C50129"/>
    <w:rsid w:val="45D07F1D"/>
    <w:rsid w:val="4623525F"/>
    <w:rsid w:val="46300235"/>
    <w:rsid w:val="46B40180"/>
    <w:rsid w:val="46B77214"/>
    <w:rsid w:val="46F174E0"/>
    <w:rsid w:val="47162FDB"/>
    <w:rsid w:val="472C4C55"/>
    <w:rsid w:val="473A22D0"/>
    <w:rsid w:val="478D1C10"/>
    <w:rsid w:val="47BD1E82"/>
    <w:rsid w:val="47DA53A4"/>
    <w:rsid w:val="47EB2161"/>
    <w:rsid w:val="487A37DC"/>
    <w:rsid w:val="488F1019"/>
    <w:rsid w:val="48A20AB1"/>
    <w:rsid w:val="48AB71D1"/>
    <w:rsid w:val="48C71BA5"/>
    <w:rsid w:val="49093709"/>
    <w:rsid w:val="49236455"/>
    <w:rsid w:val="49263474"/>
    <w:rsid w:val="49303C95"/>
    <w:rsid w:val="49405703"/>
    <w:rsid w:val="494531B0"/>
    <w:rsid w:val="499A7B7E"/>
    <w:rsid w:val="49AC3041"/>
    <w:rsid w:val="49DB676B"/>
    <w:rsid w:val="4A0E7992"/>
    <w:rsid w:val="4A631532"/>
    <w:rsid w:val="4A880CE9"/>
    <w:rsid w:val="4A945CA5"/>
    <w:rsid w:val="4AC544BB"/>
    <w:rsid w:val="4AD757AA"/>
    <w:rsid w:val="4AF25931"/>
    <w:rsid w:val="4B226DD3"/>
    <w:rsid w:val="4B4D32FF"/>
    <w:rsid w:val="4B5936AA"/>
    <w:rsid w:val="4B857DCA"/>
    <w:rsid w:val="4B9F639D"/>
    <w:rsid w:val="4BCB5F67"/>
    <w:rsid w:val="4C124ADB"/>
    <w:rsid w:val="4C14267B"/>
    <w:rsid w:val="4C5366C3"/>
    <w:rsid w:val="4CB30463"/>
    <w:rsid w:val="4CB41768"/>
    <w:rsid w:val="4CE04F75"/>
    <w:rsid w:val="4D0B6B70"/>
    <w:rsid w:val="4D341C91"/>
    <w:rsid w:val="4D712506"/>
    <w:rsid w:val="4D830B2D"/>
    <w:rsid w:val="4D971D5B"/>
    <w:rsid w:val="4DBA4E98"/>
    <w:rsid w:val="4DF33FE9"/>
    <w:rsid w:val="4E0A5D62"/>
    <w:rsid w:val="4E2B0E69"/>
    <w:rsid w:val="4E900BBB"/>
    <w:rsid w:val="4E974532"/>
    <w:rsid w:val="4F1204C5"/>
    <w:rsid w:val="4F14474A"/>
    <w:rsid w:val="4F1D0E77"/>
    <w:rsid w:val="4F2418C1"/>
    <w:rsid w:val="4F252466"/>
    <w:rsid w:val="4F4A09EC"/>
    <w:rsid w:val="4F4B6F82"/>
    <w:rsid w:val="4F8F40B1"/>
    <w:rsid w:val="4FBE557F"/>
    <w:rsid w:val="4FE373A1"/>
    <w:rsid w:val="50602E08"/>
    <w:rsid w:val="50804CA1"/>
    <w:rsid w:val="509E3ECB"/>
    <w:rsid w:val="50CD151D"/>
    <w:rsid w:val="50CD6AB7"/>
    <w:rsid w:val="50D4623C"/>
    <w:rsid w:val="50DC7480"/>
    <w:rsid w:val="515C2831"/>
    <w:rsid w:val="517E45FA"/>
    <w:rsid w:val="518316C7"/>
    <w:rsid w:val="51CD567E"/>
    <w:rsid w:val="51DD2A0A"/>
    <w:rsid w:val="51E23F34"/>
    <w:rsid w:val="51FA302C"/>
    <w:rsid w:val="521E7BC5"/>
    <w:rsid w:val="52201680"/>
    <w:rsid w:val="523C0389"/>
    <w:rsid w:val="523E748B"/>
    <w:rsid w:val="528043E7"/>
    <w:rsid w:val="52C92E63"/>
    <w:rsid w:val="52D57B0C"/>
    <w:rsid w:val="53465F4C"/>
    <w:rsid w:val="53491D61"/>
    <w:rsid w:val="536313E2"/>
    <w:rsid w:val="538F45A4"/>
    <w:rsid w:val="53A9514E"/>
    <w:rsid w:val="53B41889"/>
    <w:rsid w:val="544561F4"/>
    <w:rsid w:val="54490944"/>
    <w:rsid w:val="544F2E89"/>
    <w:rsid w:val="545817FC"/>
    <w:rsid w:val="547828EF"/>
    <w:rsid w:val="54846A8C"/>
    <w:rsid w:val="54B8530B"/>
    <w:rsid w:val="54EE57E5"/>
    <w:rsid w:val="54F4142F"/>
    <w:rsid w:val="55B00354"/>
    <w:rsid w:val="55D11403"/>
    <w:rsid w:val="55D13EE9"/>
    <w:rsid w:val="55D424FC"/>
    <w:rsid w:val="564A639B"/>
    <w:rsid w:val="565765A9"/>
    <w:rsid w:val="565B7F3A"/>
    <w:rsid w:val="56707D61"/>
    <w:rsid w:val="56C81E6F"/>
    <w:rsid w:val="57025A59"/>
    <w:rsid w:val="57146818"/>
    <w:rsid w:val="572465F5"/>
    <w:rsid w:val="574959B6"/>
    <w:rsid w:val="574A1DC1"/>
    <w:rsid w:val="57592C33"/>
    <w:rsid w:val="57B85C78"/>
    <w:rsid w:val="57CB3FEF"/>
    <w:rsid w:val="57CF09A1"/>
    <w:rsid w:val="57DE5369"/>
    <w:rsid w:val="57FF05EB"/>
    <w:rsid w:val="586948AA"/>
    <w:rsid w:val="58A91308"/>
    <w:rsid w:val="58C75E36"/>
    <w:rsid w:val="58CB6A3A"/>
    <w:rsid w:val="59B329A3"/>
    <w:rsid w:val="59B51A6B"/>
    <w:rsid w:val="59C55D87"/>
    <w:rsid w:val="59D30900"/>
    <w:rsid w:val="5A1148EE"/>
    <w:rsid w:val="5A2537F3"/>
    <w:rsid w:val="5A316BBC"/>
    <w:rsid w:val="5AF059D7"/>
    <w:rsid w:val="5B310B71"/>
    <w:rsid w:val="5B49484F"/>
    <w:rsid w:val="5B654180"/>
    <w:rsid w:val="5B697447"/>
    <w:rsid w:val="5B964143"/>
    <w:rsid w:val="5B987F09"/>
    <w:rsid w:val="5BE62ADD"/>
    <w:rsid w:val="5C1F7813"/>
    <w:rsid w:val="5C310D30"/>
    <w:rsid w:val="5C89392A"/>
    <w:rsid w:val="5CA11989"/>
    <w:rsid w:val="5CAA6A49"/>
    <w:rsid w:val="5CC82A8F"/>
    <w:rsid w:val="5CD41DD8"/>
    <w:rsid w:val="5CD728E8"/>
    <w:rsid w:val="5D0F67F8"/>
    <w:rsid w:val="5D655B27"/>
    <w:rsid w:val="5D78571C"/>
    <w:rsid w:val="5DE6248C"/>
    <w:rsid w:val="5DFF1BDB"/>
    <w:rsid w:val="5E2636F4"/>
    <w:rsid w:val="5E2E636F"/>
    <w:rsid w:val="5E572837"/>
    <w:rsid w:val="5E754D87"/>
    <w:rsid w:val="5E852A2B"/>
    <w:rsid w:val="5E867220"/>
    <w:rsid w:val="5EB236E5"/>
    <w:rsid w:val="5EF27BD4"/>
    <w:rsid w:val="5F144150"/>
    <w:rsid w:val="5F2B024F"/>
    <w:rsid w:val="5FBC6FBB"/>
    <w:rsid w:val="5FF2703A"/>
    <w:rsid w:val="603B33EE"/>
    <w:rsid w:val="603F2116"/>
    <w:rsid w:val="60512BA9"/>
    <w:rsid w:val="607C09C6"/>
    <w:rsid w:val="60B977EF"/>
    <w:rsid w:val="61562613"/>
    <w:rsid w:val="617D727E"/>
    <w:rsid w:val="619D39D4"/>
    <w:rsid w:val="61A436DC"/>
    <w:rsid w:val="61BE0A44"/>
    <w:rsid w:val="621A1294"/>
    <w:rsid w:val="625D6F2E"/>
    <w:rsid w:val="62616BE9"/>
    <w:rsid w:val="62AD2DCC"/>
    <w:rsid w:val="62CC7192"/>
    <w:rsid w:val="62D8753A"/>
    <w:rsid w:val="62FF18AB"/>
    <w:rsid w:val="630C1982"/>
    <w:rsid w:val="6330170C"/>
    <w:rsid w:val="634B7733"/>
    <w:rsid w:val="638C4E9F"/>
    <w:rsid w:val="639F01FD"/>
    <w:rsid w:val="63A94710"/>
    <w:rsid w:val="63B70146"/>
    <w:rsid w:val="63D62198"/>
    <w:rsid w:val="63E063B5"/>
    <w:rsid w:val="63E818F6"/>
    <w:rsid w:val="63FA5093"/>
    <w:rsid w:val="6428605E"/>
    <w:rsid w:val="64B877C8"/>
    <w:rsid w:val="64DC0D39"/>
    <w:rsid w:val="64E434FC"/>
    <w:rsid w:val="64F447F9"/>
    <w:rsid w:val="64FB14A0"/>
    <w:rsid w:val="656024BA"/>
    <w:rsid w:val="65B7249A"/>
    <w:rsid w:val="65C47781"/>
    <w:rsid w:val="666B48F5"/>
    <w:rsid w:val="66705A9C"/>
    <w:rsid w:val="66772F7A"/>
    <w:rsid w:val="66ED547A"/>
    <w:rsid w:val="66F32B34"/>
    <w:rsid w:val="67713FFE"/>
    <w:rsid w:val="67732727"/>
    <w:rsid w:val="679C68E0"/>
    <w:rsid w:val="67D068B1"/>
    <w:rsid w:val="68364FD5"/>
    <w:rsid w:val="68A63C48"/>
    <w:rsid w:val="68F433A1"/>
    <w:rsid w:val="693D1977"/>
    <w:rsid w:val="693F06BD"/>
    <w:rsid w:val="694E21FD"/>
    <w:rsid w:val="69F369E3"/>
    <w:rsid w:val="69F56662"/>
    <w:rsid w:val="6A016C7C"/>
    <w:rsid w:val="6A0A5658"/>
    <w:rsid w:val="6A4D2110"/>
    <w:rsid w:val="6A6065EE"/>
    <w:rsid w:val="6A8D4158"/>
    <w:rsid w:val="6AC03372"/>
    <w:rsid w:val="6B393506"/>
    <w:rsid w:val="6B445431"/>
    <w:rsid w:val="6B947D69"/>
    <w:rsid w:val="6BBD0307"/>
    <w:rsid w:val="6BE35E8E"/>
    <w:rsid w:val="6C0C6E75"/>
    <w:rsid w:val="6C522AE3"/>
    <w:rsid w:val="6C977036"/>
    <w:rsid w:val="6CE0643D"/>
    <w:rsid w:val="6D2B042A"/>
    <w:rsid w:val="6D4547D0"/>
    <w:rsid w:val="6D5D66CA"/>
    <w:rsid w:val="6DC52FB5"/>
    <w:rsid w:val="6E231F38"/>
    <w:rsid w:val="6E401E74"/>
    <w:rsid w:val="6E426C72"/>
    <w:rsid w:val="6E8E6EA3"/>
    <w:rsid w:val="6EA23B18"/>
    <w:rsid w:val="6EC8494C"/>
    <w:rsid w:val="6EEE6A18"/>
    <w:rsid w:val="6F204339"/>
    <w:rsid w:val="6F793C5D"/>
    <w:rsid w:val="6FBF06AF"/>
    <w:rsid w:val="700B0938"/>
    <w:rsid w:val="70117FCA"/>
    <w:rsid w:val="7017205C"/>
    <w:rsid w:val="701E1630"/>
    <w:rsid w:val="709D6E51"/>
    <w:rsid w:val="710571BE"/>
    <w:rsid w:val="713B6CCF"/>
    <w:rsid w:val="71515AAB"/>
    <w:rsid w:val="71825363"/>
    <w:rsid w:val="71CD4FC5"/>
    <w:rsid w:val="71E07CFF"/>
    <w:rsid w:val="72616C53"/>
    <w:rsid w:val="72622BD7"/>
    <w:rsid w:val="72902B04"/>
    <w:rsid w:val="72AA6A89"/>
    <w:rsid w:val="72AF1D34"/>
    <w:rsid w:val="72CA2710"/>
    <w:rsid w:val="730D7F28"/>
    <w:rsid w:val="731C016A"/>
    <w:rsid w:val="732C3097"/>
    <w:rsid w:val="733F4FD0"/>
    <w:rsid w:val="73AE7C9B"/>
    <w:rsid w:val="73C4187C"/>
    <w:rsid w:val="73D00F12"/>
    <w:rsid w:val="73D47918"/>
    <w:rsid w:val="73F14733"/>
    <w:rsid w:val="749C79EF"/>
    <w:rsid w:val="74A0346D"/>
    <w:rsid w:val="74BE73F3"/>
    <w:rsid w:val="7542549A"/>
    <w:rsid w:val="75AA4619"/>
    <w:rsid w:val="765F33E2"/>
    <w:rsid w:val="769C2B79"/>
    <w:rsid w:val="769E6F94"/>
    <w:rsid w:val="76C35815"/>
    <w:rsid w:val="7709372E"/>
    <w:rsid w:val="77311518"/>
    <w:rsid w:val="77764A63"/>
    <w:rsid w:val="77AE0E57"/>
    <w:rsid w:val="77C246FB"/>
    <w:rsid w:val="780A0AD8"/>
    <w:rsid w:val="783A4847"/>
    <w:rsid w:val="78603DDE"/>
    <w:rsid w:val="78B928E4"/>
    <w:rsid w:val="78F379A2"/>
    <w:rsid w:val="793116D4"/>
    <w:rsid w:val="79395171"/>
    <w:rsid w:val="79524D9F"/>
    <w:rsid w:val="799D3B64"/>
    <w:rsid w:val="79D33FDF"/>
    <w:rsid w:val="79D60872"/>
    <w:rsid w:val="7A39200E"/>
    <w:rsid w:val="7A5E43D7"/>
    <w:rsid w:val="7A65786F"/>
    <w:rsid w:val="7A8A48D5"/>
    <w:rsid w:val="7B286FC3"/>
    <w:rsid w:val="7B8508BE"/>
    <w:rsid w:val="7BB153E0"/>
    <w:rsid w:val="7BD079A4"/>
    <w:rsid w:val="7C003FD3"/>
    <w:rsid w:val="7C5C703D"/>
    <w:rsid w:val="7CCB30D7"/>
    <w:rsid w:val="7D262DC5"/>
    <w:rsid w:val="7D392698"/>
    <w:rsid w:val="7D5D4835"/>
    <w:rsid w:val="7D8B028D"/>
    <w:rsid w:val="7D8D024D"/>
    <w:rsid w:val="7D944060"/>
    <w:rsid w:val="7D9A2EA0"/>
    <w:rsid w:val="7DCC4BF0"/>
    <w:rsid w:val="7DCF68BD"/>
    <w:rsid w:val="7DFC2925"/>
    <w:rsid w:val="7E230E82"/>
    <w:rsid w:val="7E235340"/>
    <w:rsid w:val="7E3E551B"/>
    <w:rsid w:val="7EF5689F"/>
    <w:rsid w:val="7EFE6266"/>
    <w:rsid w:val="7F0250CB"/>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7</Pages>
  <Words>4757</Words>
  <Characters>5611</Characters>
  <Lines>43</Lines>
  <Paragraphs>12</Paragraphs>
  <TotalTime>19</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2025-04-03T02:30:09Z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