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04.24-05.</w:t>
      </w:r>
      <w:bookmarkEnd w:id="1"/>
      <w:r>
        <w:rPr>
          <w:rFonts w:hint="eastAsia"/>
          <w:sz w:val="44"/>
          <w:lang w:val="en-US" w:eastAsia="zh-CN"/>
        </w:rPr>
        <w:t>08）</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w:t>
      </w:r>
      <w:r>
        <w:rPr>
          <w:rFonts w:hint="eastAsia" w:cs="Times New Roman"/>
          <w:lang w:val="en-US" w:eastAsia="zh-CN"/>
        </w:rPr>
        <w:t>长江研究院</w:t>
      </w:r>
      <w:r>
        <w:rPr>
          <w:rFonts w:hint="eastAsia" w:ascii="Times New Roman" w:hAnsi="Times New Roman" w:eastAsia="宋体" w:cs="Times New Roman"/>
          <w:lang w:val="en-US" w:eastAsia="zh-CN"/>
        </w:rPr>
        <w:t>东湖智库整理社会各级工作领域政策、研究、热点资讯最新进展，特别推出“一周政策速递”专题进行推送。</w:t>
      </w:r>
      <w:bookmarkStart w:id="2" w:name="OLE_LINK31"/>
      <w:bookmarkStart w:id="3" w:name="OLE_LINK39"/>
      <w:bookmarkStart w:id="4" w:name="OLE_LINK25"/>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lang w:val="en-US" w:eastAsia="zh-CN"/>
        </w:rPr>
      </w:pPr>
      <w:bookmarkStart w:id="26" w:name="_GoBack"/>
      <w:bookmarkEnd w:id="26"/>
    </w:p>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default" w:ascii="Times New Roman" w:hAnsi="Times New Roman" w:eastAsia="宋体" w:cs="Times New Roman"/>
          <w:b/>
          <w:bCs/>
          <w:kern w:val="44"/>
          <w:sz w:val="28"/>
          <w:szCs w:val="44"/>
          <w:lang w:val="en-US" w:eastAsia="zh-CN" w:bidi="ar-SA"/>
        </w:rPr>
      </w:pPr>
      <w:r>
        <w:rPr>
          <w:rFonts w:hint="eastAsia" w:cs="Times New Roman"/>
          <w:b/>
          <w:bCs/>
          <w:kern w:val="44"/>
          <w:sz w:val="28"/>
          <w:szCs w:val="44"/>
          <w:lang w:val="en-US" w:eastAsia="zh-CN" w:bidi="ar-SA"/>
        </w:rPr>
        <w:t>中共中央政治局召开会议，分析研究当前经济形势和经济工作</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bookmarkStart w:id="6" w:name="OLE_LINK3"/>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月25日，中共中央政治局召开会议，由习近平总书记主持，分析研究当前经济形势和经济工作。会议指出，今年以来经济向好、信心提振、发展扎实、大局稳定，但回升向好基础需进一步稳固，外部冲击影响加大。要强化底线思维，坚持稳中求进，贯彻新发展理念，办好自己的事，扩大对外开放。要实施积极宏观政策，降准降息支持实体；提高中低收入群体收入，增强消费拉动；多措并举帮扶困难企业，培育新质生产力；用改革办法解决发展问题，维护多边主义；防范化解重点领域风险，稳定房地产和资本市场；着力保民生，巩固拓展脱贫成果；完善政策工具箱，加强逆周期调节。会议强调，要加强党对经济工作的全面领导，改进作风。此外，会议还研究了其他事项。</w:t>
      </w:r>
    </w:p>
    <w:bookmarkEnd w:id="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发文日期：2025年4月25日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发文单位：中共中央政治局</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Microsoft YaHei UI" w:hAnsi="Microsoft YaHei UI" w:eastAsia="Microsoft YaHei UI" w:cs="Microsoft YaHei UI"/>
          <w:color w:val="auto"/>
          <w:spacing w:val="7"/>
          <w:kern w:val="0"/>
          <w:sz w:val="15"/>
          <w:szCs w:val="15"/>
          <w:u w:val="none"/>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http://mp.weixin.qq.com/s?__biz=MzkzMTU5MDA3OQ==&amp;mid=2247495684&amp;idx=1&amp;sn=bdb61d92efc7a67a99351c8f7bad80e3&amp;scene=0</w:t>
      </w:r>
    </w:p>
    <w:p>
      <w:pPr>
        <w:rPr>
          <w:rFonts w:hint="eastAsia" w:ascii="Times New Roman" w:hAnsi="Times New Roman" w:eastAsia="宋体" w:cs="Times New Roman"/>
          <w:b/>
          <w:bCs/>
          <w:kern w:val="44"/>
          <w:sz w:val="28"/>
          <w:szCs w:val="44"/>
          <w:lang w:val="en-US" w:eastAsia="zh-CN" w:bidi="ar-SA"/>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jc w:val="center"/>
        <w:rPr>
          <w:rFonts w:hint="default"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中国人民银行召开落实金融“五篇大文章”总体统计制度动员部署会</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近日，中国人民银行召开落实金融“五篇大文章”总体统计制度动员部署会议，央行副行长朱鹤新出席并讲话。会议强调，做好该统计工作是落实党中央、国务院决策部署的关键，是精准掌握金融服务实体经济情况、开展考核评价和制定政策的重要依据。央行牵头制定总体统计制度，构建“1 + N”体系，各机构积极配合推进数据报送。会议要求，金融系统要提高站位，推动统计制度落地。金融机构需落实制度，统筹资源，加强部门协作，严格数据质量主体责任。央行各分行要加强对辖内机构统计工作指导，落实审核责任，强化检查约束。央行相关司局、金融机构等负责同志分别在主会场和分会场参会。</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发文日期：2025年4月29日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发文单位：中国人民银行</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http://mp.weixin.qq.com/s?__biz=Mzk0NDAwMDExMA==&amp;mid=2247574660&amp;idx=1&amp;sn=a7904f0197fc21aa03217e30c61ac6ac&amp;scene=0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7" w:name="OLE_LINK29"/>
      <w:bookmarkStart w:id="8" w:name="OLE_LINK4"/>
      <w:bookmarkStart w:id="9" w:name="OLE_LINK27"/>
      <w:bookmarkStart w:id="10" w:name="OLE_LINK12"/>
      <w:r>
        <w:rPr>
          <w:rFonts w:hint="default" w:cs="Times New Roman"/>
          <w:b/>
          <w:bCs/>
          <w:kern w:val="44"/>
          <w:sz w:val="28"/>
          <w:szCs w:val="44"/>
          <w:highlight w:val="none"/>
          <w:lang w:val="en-US" w:eastAsia="zh-CN" w:bidi="ar-SA"/>
        </w:rPr>
        <w:t>《医药工业数智化转型实施方案（2025—2030年）》</w:t>
      </w:r>
    </w:p>
    <w:bookmarkEnd w:id="7"/>
    <w:p>
      <w:pPr>
        <w:bidi w:val="0"/>
        <w:spacing w:line="360" w:lineRule="auto"/>
        <w:ind w:firstLine="480" w:firstLineChars="200"/>
        <w:rPr>
          <w:rFonts w:hint="default"/>
          <w:lang w:val="en-US" w:eastAsia="zh-CN"/>
        </w:rPr>
      </w:pPr>
      <w:bookmarkStart w:id="11" w:name="OLE_LINK34"/>
      <w:r>
        <w:rPr>
          <w:rFonts w:hint="default"/>
          <w:lang w:val="en-US" w:eastAsia="zh-CN"/>
        </w:rPr>
        <w:t>近日，工业和信息化部等七部门联合印发《医药工业数智化转型实施方案（2025—2030年）》。《实施方案》以全产业链协调发展为主线，以数智化改造为主攻方向，以场景应用为牵引推进医药工业发展。提出两个阶段目标，到2027年，转型取得重要进展，全产业链竞争力和质量管理水平提升；到2030年，规上企业基本实现转型全覆盖，转型生态体系健全。围绕目标聚焦四项行动提出14项任务，包括加强数智产品研发、推广典型场景、强化标准引领、探索智慧监管等。此外，还从完善机制、强化政策、促进合作、深化宣传、培养人才等方面提出保障措施，以推动医药工业数智化转型，促进高质量发展。</w:t>
      </w:r>
    </w:p>
    <w:bookmarkEnd w:id="1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成文日期：2025年4月24日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发文单位：工业和信息化部、商务部、国家卫生健康委、国家医保局、国家数据局、国家中医药局、国家药监局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http://mp.weixin.qq.com/s?__biz=MjM5OTUwMTc2OA==&amp;mid=2650928956&amp;idx=1&amp;sn=d35869686b58da34db3a05c0f016c710&amp;scene=0</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2" w:name="OLE_LINK15"/>
      <w:bookmarkStart w:id="13" w:name="OLE_LINK40"/>
      <w:r>
        <w:rPr>
          <w:rFonts w:hint="default" w:cs="Times New Roman"/>
          <w:b/>
          <w:bCs/>
          <w:kern w:val="44"/>
          <w:sz w:val="28"/>
          <w:szCs w:val="44"/>
          <w:highlight w:val="none"/>
          <w:lang w:val="en-US" w:eastAsia="zh-CN" w:bidi="ar-SA"/>
        </w:rPr>
        <w:t>《智能制造典型场景参考指引（2025年版）》</w:t>
      </w:r>
    </w:p>
    <w:bookmarkEnd w:id="12"/>
    <w:p>
      <w:pPr>
        <w:bidi w:val="0"/>
        <w:spacing w:line="360" w:lineRule="auto"/>
        <w:ind w:firstLine="480" w:firstLineChars="200"/>
        <w:rPr>
          <w:rFonts w:hint="eastAsia" w:ascii="宋体" w:hAnsi="宋体" w:eastAsia="宋体" w:cs="宋体"/>
          <w:b w:val="0"/>
          <w:bCs w:val="0"/>
          <w:i w:val="0"/>
          <w:iCs w:val="0"/>
          <w:caps w:val="0"/>
          <w:color w:val="333333"/>
          <w:spacing w:val="0"/>
          <w:kern w:val="2"/>
          <w:sz w:val="24"/>
          <w:szCs w:val="24"/>
          <w:shd w:val="clear" w:fill="FFFFFF"/>
          <w:lang w:val="en-US" w:eastAsia="zh-CN" w:bidi="ar-SA"/>
        </w:rPr>
      </w:pPr>
      <w:r>
        <w:rPr>
          <w:rFonts w:hint="eastAsia" w:ascii="宋体" w:hAnsi="宋体" w:eastAsia="宋体" w:cs="宋体"/>
          <w:b w:val="0"/>
          <w:bCs w:val="0"/>
          <w:i w:val="0"/>
          <w:iCs w:val="0"/>
          <w:caps w:val="0"/>
          <w:color w:val="333333"/>
          <w:spacing w:val="0"/>
          <w:kern w:val="2"/>
          <w:sz w:val="24"/>
          <w:szCs w:val="24"/>
          <w:shd w:val="clear" w:fill="FFFFFF"/>
          <w:lang w:val="en-US" w:eastAsia="zh-CN" w:bidi="ar-SA"/>
        </w:rPr>
        <w:t>“十四五”以来，工信部会同相关部门探索场景化推进智能制造发展路径，迭代发布《智能制造典型场景参考指引》。2025年版《参考指引》从工厂建设、产品研发等8个重点环节凝练出40个典型场景并详细描述。相比2024年版，新版优化重点环节布局，新增数字基础设施建设等典型场景，突出人工智能融合应用，加强对企业智能化升级引领。下一步，工信部将以《参考指引》为基础，推进智能工厂梯度培育等重点工作，推动智能制造升级。同时，工信部已印发《参考指引（2025年版）》，要求各地相关部门参考做好智能工厂培育等相关工作，加快制造业数字化转型、智能化升级。</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bidi w:val="0"/>
        <w:spacing w:line="360" w:lineRule="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w:t>
      </w:r>
      <w:bookmarkStart w:id="14" w:name="OLE_LINK9"/>
      <w:r>
        <w:rPr>
          <w:rFonts w:hint="eastAsia" w:ascii="Microsoft YaHei UI" w:hAnsi="Microsoft YaHei UI" w:eastAsia="Microsoft YaHei UI" w:cs="Microsoft YaHei UI"/>
          <w:spacing w:val="7"/>
          <w:kern w:val="0"/>
          <w:sz w:val="15"/>
          <w:szCs w:val="15"/>
          <w:lang w:val="en-US" w:eastAsia="zh-CN" w:bidi="ar"/>
        </w:rPr>
        <w:t>2025年4月27日</w:t>
      </w:r>
    </w:p>
    <w:p>
      <w:pPr>
        <w:bidi w:val="0"/>
        <w:spacing w:line="360" w:lineRule="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发文单位：工业和信息化部办公厅</w:t>
      </w:r>
    </w:p>
    <w:p>
      <w:pPr>
        <w:bidi w:val="0"/>
        <w:spacing w:line="360" w:lineRule="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bidi w:val="0"/>
        <w:spacing w:line="360" w:lineRule="auto"/>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http://mp.weixin.qq.com/s?__biz=MjM5OTUwMTc2OA==&amp;mid=2650929146&amp;idx=1&amp;sn=a40d744e4184ee4e8ff606f5784b9027&amp;scene=0</w:t>
      </w:r>
    </w:p>
    <w:bookmarkEnd w:id="14"/>
    <w:p>
      <w:pPr>
        <w:bidi w:val="0"/>
        <w:spacing w:line="360" w:lineRule="auto"/>
        <w:rPr>
          <w:rFonts w:hint="default"/>
          <w:lang w:val="en-US" w:eastAsia="zh-CN"/>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5" w:name="OLE_LINK21"/>
      <w:r>
        <w:rPr>
          <w:rFonts w:hint="default" w:cs="Times New Roman"/>
          <w:b/>
          <w:bCs/>
          <w:kern w:val="44"/>
          <w:sz w:val="28"/>
          <w:szCs w:val="44"/>
          <w:highlight w:val="none"/>
          <w:lang w:val="en-US" w:eastAsia="zh-CN" w:bidi="ar-SA"/>
        </w:rPr>
        <w:t>《关于推动交通运输与能源融合发展的指导意见》</w:t>
      </w:r>
    </w:p>
    <w:bookmarkEnd w:id="13"/>
    <w:bookmarkEnd w:id="15"/>
    <w:p>
      <w:pPr>
        <w:bidi w:val="0"/>
        <w:spacing w:line="360" w:lineRule="auto"/>
        <w:ind w:firstLine="480" w:firstLineChars="200"/>
        <w:rPr>
          <w:rFonts w:hint="eastAsia"/>
          <w:lang w:val="en-US" w:eastAsia="zh-CN"/>
        </w:rPr>
      </w:pPr>
      <w:bookmarkStart w:id="16" w:name="OLE_LINK42"/>
      <w:r>
        <w:rPr>
          <w:rFonts w:hint="eastAsia"/>
          <w:lang w:val="en-US" w:eastAsia="zh-CN"/>
        </w:rPr>
        <w:t>交通运输部等十部门发布《关于推动交通运输与能源融合发展的指导意见》，旨在加快建设交通强国和新型能源体系。意见提出总体要求，明确到2027年和2035年的发展目标，如2027年交通运输行业电能占终端用能比例达10%等。意见从多方面给出具体举措：加强交通与能源基础设施规划协同，包括衔接规划、统筹供应保障体系；优化清洁能源开发管理，保障开发要素、创新管理模式；推动一体化建设，涵盖铁路、公路、港口航道和枢纽场站；保障高效稳定运行，增强弹性、提升应急能力、加强协同互动；推广新能源运输装备，涉及铁路机车、汽车、船舶、航空器和邮政快递车辆；构建绿色燃料体系，提升供应能力、完善储运加注网络；培育产业融合体系，推广新模式、补链强链；并加大政策支持，完善保障政策、给予资金支持、加强标准规范、推进科技创新、强化试点引领。最后强调加强组织实施，形成工作合力。</w:t>
      </w:r>
    </w:p>
    <w:bookmarkEnd w:id="1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7" w:name="OLE_LINK6"/>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w:t>
      </w:r>
      <w:bookmarkEnd w:id="17"/>
      <w:r>
        <w:rPr>
          <w:rFonts w:hint="eastAsia" w:ascii="Microsoft YaHei UI" w:hAnsi="Microsoft YaHei UI" w:eastAsia="Microsoft YaHei UI" w:cs="Microsoft YaHei UI"/>
          <w:spacing w:val="7"/>
          <w:kern w:val="0"/>
          <w:sz w:val="15"/>
          <w:szCs w:val="15"/>
          <w:lang w:val="en-US" w:eastAsia="zh-CN" w:bidi="ar"/>
        </w:rPr>
        <w:t>2025年4月26日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发文单位：交通运输部、国家发展改革委、工业和信息化部、自然资源部、国家能源局、国家铁路局、中国民用航空局、国家邮政局、国家电网有限公司、南方电网有限责任公司</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http://mp.weixin.qq.com/s?__biz=MzIwMTU0MTM4OA==&amp;mid=2652152133&amp;idx=1&amp;sn=d3ec957e06d1f520ba1050aa15d2ab43&amp;scene=0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《国务院关于同意在海南全岛和秦皇岛等15个城市（地区）设立跨境电子商务综合试验区的批复》</w:t>
      </w:r>
    </w:p>
    <w:p>
      <w:pPr>
        <w:bidi w:val="0"/>
        <w:spacing w:line="360" w:lineRule="auto"/>
        <w:ind w:firstLine="480" w:firstLineChars="200"/>
        <w:rPr>
          <w:rFonts w:hint="eastAsia"/>
          <w:lang w:val="en-US" w:eastAsia="zh-CN"/>
        </w:rPr>
      </w:pPr>
      <w:r>
        <w:rPr>
          <w:rFonts w:hint="eastAsia"/>
          <w:lang w:val="en-US" w:eastAsia="zh-CN"/>
        </w:rPr>
        <w:t>25日，国务院发布批复，同意在海南全岛和秦皇岛市、保定市、鄂州市等15个城市（地区）设立跨境电子商务综合试验区，名称为中国（城市或地区名）跨境电子商务综合试验区，具体实施方案由所在地省级人民政府分别印发。同时，撤销在海口市、三亚市、阿拉山口市设立的跨境电子商务综合试验区。</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成文日期：2025年4月25日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http://mp.weixin.qq.com/s?__biz=MjM5NzQ5MTkyMA==&amp;mid=2658108793&amp;idx=1&amp;sn=9c6715b8a787b154c8016d789590415f&amp;scene=0</w:t>
      </w:r>
    </w:p>
    <w:p>
      <w:pPr>
        <w:bidi w:val="0"/>
        <w:spacing w:line="360" w:lineRule="auto"/>
        <w:rPr>
          <w:rFonts w:hint="eastAsia"/>
          <w:lang w:val="en-US" w:eastAsia="zh-CN"/>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《2025年数字化绿色化协同转型发展工作要点》</w:t>
      </w:r>
    </w:p>
    <w:p>
      <w:pPr>
        <w:bidi w:val="0"/>
        <w:spacing w:line="360" w:lineRule="auto"/>
        <w:ind w:firstLine="480" w:firstLineChars="200"/>
        <w:rPr>
          <w:rFonts w:hint="eastAsia"/>
          <w:lang w:val="en-US" w:eastAsia="zh-CN"/>
        </w:rPr>
      </w:pPr>
      <w:r>
        <w:rPr>
          <w:rFonts w:hint="eastAsia"/>
          <w:lang w:val="en-US" w:eastAsia="zh-CN"/>
        </w:rPr>
        <w:t>近日，中央网信办等十部门联合印发《2025年数字化绿色化协同转型发展工作要点》。《工作要点》以习近平相关思想为指导，贯彻落实党的重要会议精神，聚焦关键环节健全协同转型工作机制，推动新兴领域能效提升，改造传统产业，发挥绿色化转型对数字产业的带动作用。《工作要点》部署4方面22项重点任务，包括推动数字产业绿色低碳发展，如数据中心、基站绿色化等；加快数字技术赋能绿色化转型，涵盖多领域及生态环境治理；发挥绿色化转型对数字产业带动作用，涉及升级设施、融合创新等；加强统筹协调和整体推进，包括组织领导、法规政策等方面。</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成文日期：2025年4月25日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发文单位：中央网信办、国家发展改革委、工业和信息化部、自然资源部、生态环境部、住房城乡建设部、交通运输部、农业农村部、市场监管总局、国家能源局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lang w:val="en-US" w:eastAsia="zh-CN"/>
        </w:rPr>
      </w:pPr>
      <w:r>
        <w:rPr>
          <w:rFonts w:hint="eastAsia" w:ascii="Microsoft YaHei UI" w:hAnsi="Microsoft YaHei UI" w:eastAsia="Microsoft YaHei UI" w:cs="Microsoft YaHei UI"/>
          <w:spacing w:val="7"/>
          <w:kern w:val="0"/>
          <w:sz w:val="15"/>
          <w:szCs w:val="15"/>
          <w:lang w:val="en-US" w:eastAsia="zh-CN" w:bidi="ar"/>
        </w:rPr>
        <w:t>http://mp.weixin.qq.com/s?__biz=MzAwMjU0MjIyNw==&amp;mid=2651507029&amp;idx=1&amp;sn=621c0fd9a49477a3549ddce6e501c6ef&amp;scene=0</w:t>
      </w:r>
    </w:p>
    <w:p>
      <w:pPr>
        <w:keepNext w:val="0"/>
        <w:keepLines w:val="0"/>
        <w:widowControl/>
        <w:numPr>
          <w:ilvl w:val="0"/>
          <w:numId w:val="0"/>
        </w:numPr>
        <w:suppressLineNumbers w:val="0"/>
        <w:snapToGrid w:val="0"/>
        <w:spacing w:line="360" w:lineRule="auto"/>
        <w:jc w:val="left"/>
        <w:rPr>
          <w:rFonts w:hint="eastAsia" w:cs="Times New Roman"/>
          <w:b/>
          <w:bCs/>
          <w:kern w:val="44"/>
          <w:sz w:val="28"/>
          <w:szCs w:val="44"/>
          <w:highlight w:val="none"/>
          <w:lang w:val="en-US" w:eastAsia="zh-CN" w:bidi="ar-SA"/>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《2025年提升全民数字素养与技能工作要点》</w:t>
      </w:r>
    </w:p>
    <w:p>
      <w:pPr>
        <w:bidi w:val="0"/>
        <w:spacing w:line="360" w:lineRule="auto"/>
        <w:ind w:firstLine="480" w:firstLineChars="200"/>
        <w:rPr>
          <w:rFonts w:hint="eastAsia"/>
          <w:lang w:val="en-US" w:eastAsia="zh-CN"/>
        </w:rPr>
      </w:pPr>
      <w:r>
        <w:rPr>
          <w:rFonts w:hint="eastAsia"/>
          <w:lang w:val="en-US" w:eastAsia="zh-CN"/>
        </w:rPr>
        <w:t>近日，中央网信办、教育部、工业和信息化部、人力资源社会保障部联合印发《2025年提升全民数字素养与技能工作要点》（以下简称《工作要点》）。《工作要点》指出，要坚持以习近平新时代中国特色社会主义思想为指导，全面贯彻落实党的二十大和二十届二中、三中全会精神，进一步健全数字人才培育体系，拓展数字经济增长空间，构建普惠包容数字社会，打造智慧便捷数字生活，营造安全有序数字环境，完善协同联动工作格局，不断夯实新质生产力发展的人力资源基础，助力我国人口高质量发展。 《工作要点》明确了工作目标：到2025年底，我国全民数字素养与技能发展水平再上新台阶，数字素养与技能培育体系基本建成，数字资源供给能力显著增强，数字人才队伍进一步壮大，劳动者数字工作能力明显提高，群体间数字技能鸿沟不断缩小，数字发展环境更加普惠包容，数字生活智慧便捷，网络空间安全有序，数字法治道德伦理水平持续提升。</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成文日期：2025年4月27日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发文单位:中央网信办、教育部、工业和信息化部、人力资源社会保障部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lang w:val="en-US" w:eastAsia="zh-CN"/>
        </w:rPr>
      </w:pPr>
      <w:r>
        <w:rPr>
          <w:rFonts w:hint="eastAsia" w:ascii="Microsoft YaHei UI" w:hAnsi="Microsoft YaHei UI" w:eastAsia="Microsoft YaHei UI" w:cs="Microsoft YaHei UI"/>
          <w:spacing w:val="7"/>
          <w:kern w:val="0"/>
          <w:sz w:val="15"/>
          <w:szCs w:val="15"/>
          <w:lang w:val="en-US" w:eastAsia="zh-CN" w:bidi="ar"/>
        </w:rPr>
        <w:t>http://mp.weixin.qq.com/s?__biz=MzAwMjU0MjIyNw==&amp;mid=2651507096&amp;idx=1&amp;sn=8a9bf17632ef6efcb97b952cbda16b5a&amp;scene=0</w:t>
      </w:r>
    </w:p>
    <w:p>
      <w:pPr>
        <w:keepNext w:val="0"/>
        <w:keepLines w:val="0"/>
        <w:widowControl/>
        <w:numPr>
          <w:ilvl w:val="0"/>
          <w:numId w:val="0"/>
        </w:numPr>
        <w:suppressLineNumbers w:val="0"/>
        <w:spacing w:line="360" w:lineRule="auto"/>
        <w:jc w:val="left"/>
        <w:rPr>
          <w:rFonts w:hint="eastAsia" w:cs="Times New Roman"/>
          <w:b/>
          <w:bCs/>
          <w:kern w:val="44"/>
          <w:sz w:val="28"/>
          <w:szCs w:val="44"/>
          <w:highlight w:val="none"/>
          <w:lang w:val="en-US" w:eastAsia="zh-CN" w:bidi="ar-SA"/>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《关于进一步优化离境退税政策扩大入境消费的通知》</w:t>
      </w:r>
    </w:p>
    <w:p>
      <w:pPr>
        <w:bidi w:val="0"/>
        <w:spacing w:line="360" w:lineRule="auto"/>
        <w:ind w:firstLine="480" w:firstLineChars="200"/>
        <w:rPr>
          <w:rFonts w:hint="eastAsia"/>
          <w:lang w:val="en-US" w:eastAsia="zh-CN"/>
        </w:rPr>
      </w:pPr>
      <w:r>
        <w:rPr>
          <w:rFonts w:hint="eastAsia"/>
          <w:lang w:val="en-US" w:eastAsia="zh-CN"/>
        </w:rPr>
        <w:t>商务部、财政部、文化和旅游部等6部门发布《关于进一步优化离境退税政策扩大入境消费的通知》，旨在深入贯彻落实党中央、国务院决策部署，满足境外旅客购物离境退税需求，扩大入境消费。通知提出三方面举措：一是推动离境退税商店增量扩容，优化布局，放宽备案条件，建立退出机制；二是丰富离境退税商品供给，下调起退点至200元，提升商品供给水平；三是提升离境退税服务水平，优化办理、代理、支付和信息服务，如推广“即买即退”、上调现金退税限额、建设综合信息服务平台等。</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发文日期：2025年4月26日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发文单位：商务部、财政部、文化和旅游部、海关总署、税务总局、中国民航局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 xml:space="preserve">http://mp.weixin.qq.com/s?__biz=MjM5NzM0MTYyMw==&amp;mid=2650600926&amp;idx=1&amp;sn=cd89517cd003c9a2ce9e83c9d901e1c8&amp;scene=0 </w:t>
      </w:r>
    </w:p>
    <w:p>
      <w:pPr>
        <w:bidi w:val="0"/>
        <w:spacing w:line="360" w:lineRule="auto"/>
        <w:rPr>
          <w:rFonts w:hint="eastAsia"/>
          <w:lang w:val="en-US" w:eastAsia="zh-CN"/>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《关于促进能源领域民营经济发展若干举措的通知》</w:t>
      </w:r>
    </w:p>
    <w:p>
      <w:pPr>
        <w:bidi w:val="0"/>
        <w:spacing w:line="360" w:lineRule="auto"/>
        <w:ind w:firstLine="480" w:firstLineChars="200"/>
        <w:rPr>
          <w:rFonts w:hint="eastAsia"/>
          <w:lang w:val="en-US" w:eastAsia="zh-CN"/>
        </w:rPr>
      </w:pPr>
      <w:r>
        <w:rPr>
          <w:rFonts w:hint="eastAsia"/>
          <w:lang w:val="en-US" w:eastAsia="zh-CN"/>
        </w:rPr>
        <w:t>国家能源局发布《关于促进能源领域民营经济发展若干举措的通知》，旨在贯彻落实习近平总书记相关讲话精神，促进能源领域民营经济发展。举措涵盖三方面：一是支持民营企业提升发展动能，包括投资能源基础设施、发展新业态新模式、创新发展及转型升级；二是推动民营企业公平参与市场，健全市场准入制度、完善生产要素获取机制、规范能源市场秩序；三是提升能源政务服务水平，优化投资审批流程、保障民营企业合法权益、支持其“走出去”。各地能源管理部门需结合实际细化举措，解决民营企业发展困难。</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发文日期：2025年4月28日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发文单位：国家能源局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"http://mp.weixin.qq.com/s?__biz=MzIwMTU0MTM4OA==&amp;mid=2652152219&amp;idx=1&amp;sn=b6cafed1c7d265f7eec6eae4e4f7a004&amp;scene=0#wechat_redirect\""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http://mp.weixin.qq.com/s?__biz=MzIwMTU0MTM4OA==&amp;mid=2652152219&amp;idx=1&amp;sn=b6cafed1c7d265f7eec6eae4e4f7a004&amp;scene=0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numPr>
          <w:ilvl w:val="0"/>
          <w:numId w:val="0"/>
        </w:numPr>
        <w:suppressLineNumbers w:val="0"/>
        <w:spacing w:line="360" w:lineRule="auto"/>
        <w:jc w:val="left"/>
        <w:rPr>
          <w:rFonts w:hint="eastAsia"/>
          <w:lang w:val="en-US" w:eastAsia="zh-CN"/>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《构建数据基础制度更好发挥数据要素作用2025年工作要点》</w:t>
      </w:r>
    </w:p>
    <w:p>
      <w:pPr>
        <w:bidi w:val="0"/>
        <w:spacing w:line="360" w:lineRule="auto"/>
        <w:ind w:firstLine="480" w:firstLineChars="200"/>
        <w:rPr>
          <w:rFonts w:hint="eastAsia"/>
          <w:lang w:val="en-US" w:eastAsia="zh-CN"/>
        </w:rPr>
      </w:pPr>
      <w:r>
        <w:rPr>
          <w:rFonts w:hint="eastAsia"/>
          <w:lang w:val="en-US" w:eastAsia="zh-CN"/>
        </w:rPr>
        <w:t>4月28日，国家数据局印发构建数据基础制度更好发挥数据要素作用2025年工作要点，以贯彻落实党中央、国务院决策部署，推进《中共中央 国务院关于构建数据基础制度更好发挥数据要素作用的意见》各项任务落实。工作要点围绕四大制度展开：一是建立数据产权制度，加快建设进度，推进各类数据确权授权使用，开展试验探索并参与国际规则制定；二是建立数据要素流通和交易制度，完善市场规则，制定标准合同与政策文件，培育市场主体；三是建立数据要素收益分配制度，推进数据市场化价值化，健全公共数据价格管理；四是建立数据要素治理制度，推动相关实施方案落地，构建安全治理体系。下一步，国家数据局将协同有关单位落实任务，解决数据要素配置的卡点堵点，激活其潜能。</w:t>
      </w:r>
    </w:p>
    <w:p>
      <w:pPr>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发文日期：2025年4月28日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"http://mp.weixin.qq.com/s?__biz=MzkzMTU5MDA3OQ==&amp;mid=2247495768&amp;idx=1&amp;sn=4b4e9f1e0219ec4b13784c66a5321434&amp;scene=0#wechat_redirect\""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http://mp.weixin.qq.com/s?__biz=MzkzMTU5MDA3OQ==&amp;mid=2247495768&amp;idx=1&amp;sn=4b4e9f1e0219ec4b13784c66a5321434&amp;scene=0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numPr>
          <w:ilvl w:val="0"/>
          <w:numId w:val="0"/>
        </w:numPr>
        <w:suppressLineNumbers w:val="0"/>
        <w:spacing w:line="360" w:lineRule="auto"/>
        <w:jc w:val="left"/>
        <w:rPr>
          <w:rFonts w:hint="eastAsia"/>
          <w:lang w:val="en-US" w:eastAsia="zh-CN"/>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《中华人民共和国民营经济促进法》</w:t>
      </w:r>
    </w:p>
    <w:p>
      <w:pPr>
        <w:bidi w:val="0"/>
        <w:spacing w:line="360" w:lineRule="auto"/>
        <w:ind w:firstLine="480" w:firstLineChars="200"/>
        <w:rPr>
          <w:rFonts w:hint="eastAsia"/>
          <w:lang w:val="en-US" w:eastAsia="zh-CN"/>
        </w:rPr>
      </w:pPr>
      <w:r>
        <w:rPr>
          <w:rFonts w:hint="eastAsia"/>
          <w:lang w:val="en-US" w:eastAsia="zh-CN"/>
        </w:rPr>
        <w:t>2025 年 4 月 30 日，第十四届全国人民代表大会常务委员会第十五次会议通过《中华人民共和国民营经济促进法》。该法旨在优化民营经济发展环境，促进其健康发展。</w:t>
      </w:r>
    </w:p>
    <w:p>
      <w:pPr>
        <w:bidi w:val="0"/>
        <w:spacing w:line="360" w:lineRule="auto"/>
        <w:ind w:firstLine="480" w:firstLineChars="200"/>
        <w:rPr>
          <w:rFonts w:hint="eastAsia"/>
          <w:lang w:val="en-US" w:eastAsia="zh-CN"/>
        </w:rPr>
      </w:pPr>
      <w:r>
        <w:rPr>
          <w:rFonts w:hint="eastAsia"/>
          <w:lang w:val="en-US" w:eastAsia="zh-CN"/>
        </w:rPr>
        <w:t>总则明确促进民营经济发展的指导思想与原则，强调平等对待和法治保障，规定政府及相关部门职责。公平竞争方面，实行全国统一市场准入负面清单，落实公平竞争审查制度，保障民营经济组织平等参与市场竞争。投资融资促进上，支持民营经济组织参与重大项目，从政策引导、存量盘活、金融服务等多方面提供支持。科技创新领域，鼓励民营经济组织发挥作用，参与科研项目，加强知识产权保护。</w:t>
      </w:r>
    </w:p>
    <w:p>
      <w:pPr>
        <w:bidi w:val="0"/>
        <w:spacing w:line="360" w:lineRule="auto"/>
        <w:ind w:firstLine="480" w:firstLineChars="200"/>
        <w:rPr>
          <w:rFonts w:hint="eastAsia" w:cs="Times New Roman"/>
          <w:b/>
          <w:bCs/>
          <w:kern w:val="44"/>
          <w:sz w:val="28"/>
          <w:szCs w:val="44"/>
          <w:highlight w:val="none"/>
          <w:lang w:val="en-US" w:eastAsia="zh-CN" w:bidi="ar-SA"/>
        </w:rPr>
      </w:pPr>
      <w:r>
        <w:rPr>
          <w:rFonts w:hint="eastAsia"/>
          <w:lang w:val="en-US" w:eastAsia="zh-CN"/>
        </w:rPr>
        <w:t>规范经营要求民营经济组织依法依规，完善治理结构和管理制度。服务保障则涉及政府履职、政策公开、登记服务、人才培养等。权益保护方面，保障民营经济组织及其经营者合法权益，防止侵权行为。法律责任一章明确对违法违规行为的处分和赔偿措施。</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 年 4 月 30 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"http://mp.weixin.qq.com/s?__biz=MzA3NDg1MjQxMA==&amp;mid=2651875899&amp;idx=1&amp;sn=3ce310e44517184674db7d798c9be7ef&amp;scene=0"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http://mp.weixin.qq.com/s?__biz=MzA3NDg1MjQxMA==&amp;mid=2651875899&amp;idx=1&amp;sn=3ce310e44517184674db7d798c9be7ef&amp;scene=0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《可信数据空间技术架构》</w:t>
      </w:r>
    </w:p>
    <w:p>
      <w:pPr>
        <w:bidi w:val="0"/>
        <w:spacing w:line="360" w:lineRule="auto"/>
        <w:ind w:firstLine="480" w:firstLineChars="200"/>
        <w:rPr>
          <w:rFonts w:hint="eastAsia" w:ascii="Microsoft YaHei UI" w:hAnsi="Microsoft YaHei UI" w:eastAsia="Microsoft YaHei UI" w:cs="Microsoft YaHei UI"/>
          <w:spacing w:val="7"/>
          <w:kern w:val="0"/>
          <w:sz w:val="15"/>
          <w:szCs w:val="15"/>
          <w:lang w:val="en-US" w:eastAsia="zh-CN" w:bidi="ar"/>
        </w:rPr>
      </w:pPr>
      <w:r>
        <w:rPr>
          <w:rFonts w:hint="eastAsia"/>
          <w:lang w:val="en-US" w:eastAsia="zh-CN"/>
        </w:rPr>
        <w:t>为贯彻相关政策文件要求，充分考虑可信数据空间定位，在国家数据局指导下，全国数据标准化技术委员会围绕可信数据空间技术架构等方向开展研究，经调研、研讨、征求意见、专家评审等，编制形成《可信数据空间 技术架构》技术文件。该文件规范了技术架构，明确其在国家数据基础设施中的定位，描述核心技术特征、最小功能集合及关键业务流程，适用于指导各地各领域开展可信数据空间规划、建设、运营和管理。</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发文日期：2025年4月30日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发文单位：全国数据标准化技术委员会</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"http://mp.weixin.qq.com/s?__biz=MzkzMTU5MDA3OQ==&amp;mid=2247496036&amp;idx=1&amp;sn=d17230145adbcd9179fab1451cb1de7e&amp;scene=0#wechat_redirect\""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http://mp.weixin.qq.com/s?__biz=MzkzMTU5MDA3OQ==&amp;mid=2247496036&amp;idx=1&amp;sn=d17230145adbcd9179fab1451cb1de7e&amp;scene=0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《关于全面加快电力现货市场建设工作的通知》</w:t>
      </w:r>
    </w:p>
    <w:p>
      <w:pPr>
        <w:bidi w:val="0"/>
        <w:spacing w:line="360" w:lineRule="auto"/>
        <w:ind w:firstLine="480" w:firstLineChars="200"/>
        <w:rPr>
          <w:rFonts w:hint="eastAsia"/>
          <w:lang w:val="en-US" w:eastAsia="zh-CN"/>
        </w:rPr>
      </w:pPr>
      <w:r>
        <w:rPr>
          <w:rFonts w:hint="eastAsia"/>
          <w:lang w:val="en-US" w:eastAsia="zh-CN"/>
        </w:rPr>
        <w:t>国家发展改革委办公厅、国家能源局综合司发布通知，为贯彻相关会议精神，围绕构建全国统一大市场建设全国统一电力市场，全面加快电力现货市场建设，2025年底前基本实现全覆盖并全面开展连续结算运行。通知提出：一是明确多地电力现货市场转入正式运行或启动连续结算试运行时间；二是南方区域、京津冀等市场按要求开展试运行或研究参与机制；三是运行一年以上且经第三方评估满足条件可转正式运行，评估报告公开；四是开展连续结算试运行需委托第三方校验系统并公开报告；五是相关省份2025年底前实现用户侧主体参与及建立适应机制，经营主体中长期签约履约比例要符合保供要求；六是各责任单位要加快建设，明确任务分工等，相关机构做好支撑、监督等工作，国家两部门加强督促指导。</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发文日期：2025年4月29日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发文单位：国家发展改革委办公厅,国家能源局综合司</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http://mp.weixin.qq.com/s?__biz=MjM5MjcyNzU1OA==&amp;mid=2651420393&amp;idx=1&amp;sn=bc428ad618e4585d80e1d49a3e900252&amp;scene=0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《关于做好2025年工业和信息化质量工作的通知》</w:t>
      </w:r>
    </w:p>
    <w:p>
      <w:pPr>
        <w:bidi w:val="0"/>
        <w:spacing w:line="360" w:lineRule="auto"/>
        <w:ind w:firstLine="480" w:firstLineChars="200"/>
        <w:rPr>
          <w:rFonts w:hint="eastAsia" w:cs="Times New Roman"/>
          <w:b/>
          <w:bCs/>
          <w:kern w:val="44"/>
          <w:sz w:val="28"/>
          <w:szCs w:val="44"/>
          <w:highlight w:val="none"/>
          <w:lang w:val="en-US" w:eastAsia="zh-CN" w:bidi="ar-SA"/>
        </w:rPr>
      </w:pPr>
      <w:r>
        <w:rPr>
          <w:rFonts w:hint="eastAsia"/>
          <w:lang w:val="en-US" w:eastAsia="zh-CN"/>
        </w:rPr>
        <w:t>工业和信息化部近日印发通知，部署2025年工业和信息化质量工作。通知要求以习近平新时代中国特色社会主义思想为指导，统筹提升质量与做大总量，激励企业追求卓越质量，打造“中国制造”品牌，为推进新型工业化等建设提供支撑。明确七方面21项重点任务，包括实施制造业卓越质量工程，增强企业质量意识、开展能力评价等；推动重点产品提质升级，加快质量技术创新、提升可靠性等；促进重点行业优质发展，夯实产业质量基础、开展“三品”工作等；提升质量公共服务效能；完善质量发展长效机制；推动制造业中试创新发展；推进“中国制造”品牌建设。各地需加强统筹，形成工作合力，并于12月15日前报年度工作总结。</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发文日期:2025年5月2日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http://mp.weixin.qq.com/s?__biz=MjM5OTUwMTc2OA==&amp;mid=2650929419&amp;idx=1&amp;sn=0a4a675d46f9aa1a92f4bf700bc32254&amp;scene=0</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cs="Times New Roman"/>
          <w:b/>
          <w:bCs/>
          <w:kern w:val="44"/>
          <w:sz w:val="28"/>
          <w:szCs w:val="44"/>
          <w:highlight w:val="none"/>
          <w:lang w:val="en-US" w:eastAsia="zh-CN" w:bidi="ar-SA"/>
        </w:rPr>
      </w:pPr>
      <w:r>
        <w:rPr>
          <w:rFonts w:hint="eastAsia" w:cs="Times New Roman"/>
          <w:b/>
          <w:bCs/>
          <w:kern w:val="44"/>
          <w:sz w:val="28"/>
          <w:szCs w:val="44"/>
          <w:highlight w:val="none"/>
          <w:lang w:val="en-US" w:eastAsia="zh-CN" w:bidi="ar-SA"/>
        </w:rPr>
        <w:t xml:space="preserve">《关于加快提升农业科技创新体系整体效能的实施意见》 </w:t>
      </w:r>
    </w:p>
    <w:p>
      <w:pPr>
        <w:bidi w:val="0"/>
        <w:spacing w:line="360" w:lineRule="auto"/>
        <w:ind w:firstLine="480" w:firstLineChars="200"/>
        <w:rPr>
          <w:rFonts w:hint="eastAsia" w:ascii="Microsoft YaHei UI" w:hAnsi="Microsoft YaHei UI" w:eastAsia="Microsoft YaHei UI" w:cs="Microsoft YaHei UI"/>
          <w:spacing w:val="7"/>
          <w:kern w:val="0"/>
          <w:sz w:val="15"/>
          <w:szCs w:val="15"/>
          <w:lang w:val="en-US" w:eastAsia="zh-CN" w:bidi="ar"/>
        </w:rPr>
      </w:pPr>
      <w:r>
        <w:rPr>
          <w:rFonts w:hint="eastAsia"/>
          <w:lang w:val="en-US" w:eastAsia="zh-CN"/>
        </w:rPr>
        <w:t>近日，农业农村部等7部门联合印发《关于加快提升农业科技创新体系整体效能的实施意见》，《实施意见》目标是到2035年建成高效农业科技创新体系，使农业科技创新达世界前列。内容聚焦强化科研院所高校使命、培育农业科技领军企业等8方面。培育企业举措包括建立梯度培育机制、支持承担重大项目等。推动目标落地需建立推进落实机制，部委加强部际协调，省级建立协调机制，还要加强财政保障、优化科研生态。</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 2025年5月7日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 农业农村部等7部门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http://mp.weixin.qq.com/s?__biz=MzI1NTkxODcwNg==&amp;mid=2247681259&amp;idx=1&amp;sn=4ea47fcc507f2e1b5c13ddc01dba54d2&amp;scene=0</w:t>
      </w:r>
    </w:p>
    <w:p>
      <w:pPr>
        <w:keepNext w:val="0"/>
        <w:keepLines w:val="0"/>
        <w:widowControl/>
        <w:numPr>
          <w:ilvl w:val="0"/>
          <w:numId w:val="0"/>
        </w:numPr>
        <w:suppressLineNumbers w:val="0"/>
        <w:spacing w:line="360" w:lineRule="auto"/>
        <w:jc w:val="left"/>
        <w:rPr>
          <w:rFonts w:hint="eastAsia" w:cs="Times New Roman"/>
          <w:b/>
          <w:bCs/>
          <w:kern w:val="44"/>
          <w:sz w:val="28"/>
          <w:szCs w:val="44"/>
          <w:highlight w:val="none"/>
          <w:lang w:val="en-US" w:eastAsia="zh-CN" w:bidi="ar-SA"/>
        </w:rPr>
      </w:pPr>
    </w:p>
    <w:bookmarkEnd w:id="8"/>
    <w:bookmarkEnd w:id="9"/>
    <w:bookmarkEnd w:id="10"/>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Microsoft YaHei UI" w:hAnsi="Microsoft YaHei UI" w:eastAsia="Microsoft YaHei UI" w:cs="Microsoft YaHei UI"/>
          <w:spacing w:val="7"/>
          <w:kern w:val="0"/>
          <w:sz w:val="15"/>
          <w:szCs w:val="15"/>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18" w:name="OLE_LINK19"/>
      <w:r>
        <w:rPr>
          <w:rFonts w:hint="default" w:ascii="Times New Roman" w:hAnsi="Times New Roman" w:eastAsia="宋体" w:cs="Times New Roman"/>
          <w:b/>
          <w:bCs/>
          <w:kern w:val="44"/>
          <w:sz w:val="28"/>
          <w:szCs w:val="44"/>
          <w:lang w:val="en-US" w:eastAsia="zh-CN" w:bidi="ar-SA"/>
        </w:rPr>
        <w:t>"牢记嘱托 建成支点—‘七大战略’行动方案系列新闻发布会举行</w:t>
      </w:r>
    </w:p>
    <w:bookmarkEnd w:id="18"/>
    <w:p>
      <w:pPr>
        <w:bidi w:val="0"/>
        <w:spacing w:line="360" w:lineRule="auto"/>
        <w:ind w:firstLine="480" w:firstLineChars="200"/>
        <w:rPr>
          <w:rFonts w:hint="eastAsia"/>
          <w:lang w:val="en-US" w:eastAsia="zh-CN"/>
        </w:rPr>
      </w:pPr>
      <w:bookmarkStart w:id="19" w:name="OLE_LINK14"/>
      <w:r>
        <w:rPr>
          <w:rFonts w:hint="eastAsia"/>
          <w:lang w:val="en-US" w:eastAsia="zh-CN"/>
        </w:rPr>
        <w:t>4月28日，“牢记嘱托 建成支点——‘七大战略’行动方案”系列新闻发布会在武汉举行。湖北省科学技术厅党组书记、厅长冯艳飞解读《关于实施科创引领战略 整体提升支点创新策源力行动方案》。《行动方案》提出三个阶段目标：2027年全省创新策源力显著提升；2030年基本建成具有全国影响力的科技创新高地；2035年成为世界原始创新策源地等。围绕目标，从力量建设、空间布局等6方面部署22项重点任务，如锻造高水平实验室体系、打造创新引领增长极、向基础研究“无人区”发力等，还在成果转化、人才集聚、创新生态等方面制定具体任务，并明确各阶段力争达成的成果，如到2030年新增1 - 2家国家实验室（基地）、培养引进10名战略科学家等，以提升湖北科技创新能力。</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发文日期：2025年4月28日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发文单位：长江云新闻</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"http://mp.weixin.qq.com/s?__biz=MzI1MTAyOTA4Ng==&amp;mid=2650331019&amp;idx=1&amp;sn=2a8471bc52be20c7286d49991981a8d7&amp;scene=0"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http://mp.weixin.qq.com/s?__biz=MzI1MTAyOTA4Ng==&amp;mid=2650331019&amp;idx=1&amp;sn=2a8471bc52be20c7286d49991981a8d7&amp;scene=0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20" w:name="_Toc14679"/>
      <w:r>
        <w:rPr>
          <w:rFonts w:hint="eastAsia" w:ascii="Times New Roman" w:hAnsi="Times New Roman" w:eastAsia="宋体" w:cs="Times New Roman"/>
          <w:b/>
          <w:bCs/>
          <w:kern w:val="44"/>
          <w:sz w:val="28"/>
          <w:szCs w:val="44"/>
          <w:lang w:val="en-US" w:eastAsia="zh-CN" w:bidi="ar-SA"/>
        </w:rPr>
        <w:t>武汉和十堰成功入选第一批全国零售业创新提升试点城市</w:t>
      </w:r>
      <w:bookmarkEnd w:id="20"/>
    </w:p>
    <w:p>
      <w:pPr>
        <w:bidi w:val="0"/>
        <w:spacing w:line="360" w:lineRule="auto"/>
        <w:ind w:firstLine="480" w:firstLineChars="200"/>
        <w:rPr>
          <w:rFonts w:hint="eastAsia"/>
          <w:lang w:val="en-US" w:eastAsia="zh-CN"/>
        </w:rPr>
      </w:pPr>
      <w:r>
        <w:rPr>
          <w:rFonts w:hint="eastAsia"/>
          <w:lang w:val="en-US" w:eastAsia="zh-CN"/>
        </w:rPr>
        <w:t>4月25日，商务部发布关于第一批全国零售业创新提升试点城市评审结果的公示，武汉和十堰成功入选。去年12月，商务部等7部门联合印发《零售业创新提升工程实施方案》，系统部署了零售业创新提升工程的主要任务，力争到2029年初步形成现代零售体系。</w:t>
      </w:r>
    </w:p>
    <w:p>
      <w:pPr>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发文日期：2025年4月25日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发文单位：商务部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"http://mp.weixin.qq.com/s?__biz=MzA4OTM0MDMyNA==&amp;mid=2651051673&amp;idx=2&amp;sn=a5003f07c0935ac55748651ea1fa7416&amp;scene=0#wechat_redirect\""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http://mp.weixin.qq.com/s?__biz=MzA4OTM0MDMyNA==&amp;mid=2651051673&amp;idx=2&amp;sn=a5003f07c0935ac55748651ea1fa7416&amp;scene=0</w:t>
      </w:r>
      <w:r>
        <w:rPr>
          <w:rFonts w:hint="eastAsia" w:ascii="Microsoft YaHei UI" w:hAnsi="Microsoft YaHei UI" w:eastAsia="Microsoft YaHei UI" w:cs="Microsoft YaHei UI"/>
          <w:spacing w:val="7"/>
          <w:kern w:val="0"/>
          <w:sz w:val="15"/>
          <w:szCs w:val="15"/>
          <w:lang w:val="en-US" w:eastAsia="zh-CN" w:bidi="ar"/>
        </w:rPr>
        <w:fldChar w:fldCharType="end"/>
      </w:r>
    </w:p>
    <w:p>
      <w:pPr>
        <w:rPr>
          <w:rFonts w:hint="eastAsia"/>
        </w:rPr>
      </w:pPr>
    </w:p>
    <w:p>
      <w:pPr>
        <w:keepNext w:val="0"/>
        <w:keepLines w:val="0"/>
        <w:widowControl/>
        <w:numPr>
          <w:ilvl w:val="0"/>
          <w:numId w:val="5"/>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21" w:name="_Toc2077"/>
      <w:r>
        <w:rPr>
          <w:rFonts w:hint="eastAsia" w:ascii="Times New Roman" w:hAnsi="Times New Roman" w:eastAsia="宋体" w:cs="Times New Roman"/>
          <w:b/>
          <w:bCs/>
          <w:kern w:val="44"/>
          <w:sz w:val="28"/>
          <w:szCs w:val="44"/>
          <w:lang w:val="en-US" w:eastAsia="zh-CN" w:bidi="ar-SA"/>
        </w:rPr>
        <w:t>关于发布《新形势下重塑企业挂牌上市服务体系实施方案》</w:t>
      </w:r>
      <w:bookmarkEnd w:id="21"/>
    </w:p>
    <w:p>
      <w:pPr>
        <w:rPr>
          <w:rFonts w:hint="eastAsia"/>
        </w:rPr>
      </w:pPr>
    </w:p>
    <w:p>
      <w:pPr>
        <w:bidi w:val="0"/>
        <w:spacing w:line="360" w:lineRule="auto"/>
        <w:ind w:firstLine="480" w:firstLineChars="200"/>
        <w:rPr>
          <w:rFonts w:hint="eastAsia"/>
        </w:rPr>
      </w:pPr>
      <w:r>
        <w:rPr>
          <w:rFonts w:hint="eastAsia"/>
          <w:lang w:val="en-US" w:eastAsia="zh-CN"/>
        </w:rPr>
        <w:t xml:space="preserve">湖北省地方金融管理局等多部门联合印发《新形势下重塑企业挂牌上市服务体系实施方案》，围绕“多层次资本市场募资做培育”提出五大目标。方案针对企业挂牌上市各阶段难点，为各类企业提供全流程服务，提升企业经营质效与竞争力。构建挖掘储备体系，建立精准遴选、动态管理机制，实现“优进劣汰、精准蓄能”；完善多维培育体系，提供“阶梯式培育+定制化指导”组合服务，从规范治理和融资对接两方面助力企业；优化申报推进体系，提高上市辅导质效，畅通“绿色通道”；升级上市对接体系，强化部门联动，形成协同推进格局。 </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发文日期：2025年04月30日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发文单位：湖北省地方金融管理局、湖北证监局、湖北省科技厅、湖北省经信厅、湖北省政府国资委</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"http://mp.weixin.qq.com/s?__biz=MzA5MzY2MDkzOQ==&amp;mid=2651486132&amp;idx=1&amp;sn=a74adda172e957b93f3792e8a4a9793a&amp;scene=0"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http://mp.weixin.qq.com/s?__biz=MzA5MzY2MDkzOQ==&amp;mid=2651486132&amp;idx=1&amp;sn=a74adda172e957b93f3792e8a4a9793a&amp;scene=0</w:t>
      </w:r>
      <w:r>
        <w:rPr>
          <w:rFonts w:hint="eastAsia" w:ascii="Microsoft YaHei UI" w:hAnsi="Microsoft YaHei UI" w:eastAsia="Microsoft YaHei UI" w:cs="Microsoft YaHei UI"/>
          <w:spacing w:val="7"/>
          <w:kern w:val="0"/>
          <w:sz w:val="15"/>
          <w:szCs w:val="15"/>
          <w:lang w:val="en-US" w:eastAsia="zh-CN" w:bidi="ar"/>
        </w:rPr>
        <w:fldChar w:fldCharType="end"/>
      </w:r>
    </w:p>
    <w:bookmarkEnd w:id="19"/>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ascii="Times New Roman" w:hAnsi="Times New Roman" w:eastAsia="宋体" w:cs="Times New Roman"/>
          <w:b/>
          <w:bCs/>
          <w:kern w:val="44"/>
          <w:sz w:val="28"/>
          <w:szCs w:val="44"/>
          <w:lang w:val="en-US" w:eastAsia="zh-CN" w:bidi="ar-SA"/>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bookmarkStart w:id="22" w:name="OLE_LINK16"/>
    </w:p>
    <w:p>
      <w:pPr>
        <w:keepNext w:val="0"/>
        <w:keepLines w:val="0"/>
        <w:widowControl/>
        <w:numPr>
          <w:ilvl w:val="0"/>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bookmarkEnd w:id="22"/>
    <w:p>
      <w:pPr>
        <w:keepNext w:val="0"/>
        <w:keepLines w:val="0"/>
        <w:widowControl/>
        <w:numPr>
          <w:ilvl w:val="0"/>
          <w:numId w:val="6"/>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23" w:name="_Toc13860"/>
      <w:r>
        <w:rPr>
          <w:rFonts w:hint="eastAsia" w:ascii="Times New Roman" w:hAnsi="Times New Roman" w:eastAsia="宋体" w:cs="Times New Roman"/>
          <w:b/>
          <w:bCs/>
          <w:kern w:val="44"/>
          <w:sz w:val="28"/>
          <w:szCs w:val="44"/>
          <w:lang w:val="en-US" w:eastAsia="zh-CN" w:bidi="ar-SA"/>
        </w:rPr>
        <w:t>关于开展市场准入壁垒清理整治行动,促进全国统一大市场建设的通知</w:t>
      </w:r>
      <w:bookmarkEnd w:id="23"/>
    </w:p>
    <w:p>
      <w:pPr>
        <w:bidi w:val="0"/>
        <w:spacing w:line="360" w:lineRule="auto"/>
        <w:ind w:firstLine="480" w:firstLineChars="200"/>
        <w:rPr>
          <w:rFonts w:hint="eastAsia"/>
          <w:lang w:val="en-US" w:eastAsia="zh-CN"/>
        </w:rPr>
      </w:pPr>
      <w:r>
        <w:rPr>
          <w:rFonts w:hint="eastAsia"/>
          <w:lang w:val="en-US" w:eastAsia="zh-CN"/>
        </w:rPr>
        <w:t>29日，国家发展改革委会同商务部、市场监管总局发布通知，开展市场准入壁垒清理整治行动，旨在破除市场准入壁垒，营造公平市场准入环境，为构建全国统一大市场提供支撑。本次清理整治重点针对各类违反市场准入制度的规定文件和做法，如地方仍在审批国家已放开事项、审批依据效力不足等十五种情形。主要步骤包括：全面清理涉及市场准入的规定文件，纠正违规增设或扩大准入的情况，废止无上位法依据和法定程序的规定；开展线索归集，通过多种渠道收集问题；进行个案核实整改，各级部门推动辖区内问题整改；公开通报典型案例，选取典型公示并纳入全国城市信用监测。清理整治行动为期半年，结束后相关工作将转为常态化机制。</w:t>
      </w:r>
    </w:p>
    <w:p>
      <w:pPr>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发文日期:2025年4月29日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发文单位:国家发展改革委、商务部、市场监管总局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http://mp.weixin.qq.com/s?__biz=MzA4MDA0MzcwMA==&amp;mid=2652707359&amp;idx=1&amp;sn=ad67e1cc832b3b43371c1cf60499c394&amp;scene=0</w:t>
      </w:r>
    </w:p>
    <w:p>
      <w:pPr>
        <w:rPr>
          <w:rFonts w:hint="default"/>
          <w:lang w:val="en-US" w:eastAsia="zh-CN"/>
        </w:rPr>
      </w:pPr>
    </w:p>
    <w:p>
      <w:pPr>
        <w:keepNext w:val="0"/>
        <w:keepLines w:val="0"/>
        <w:widowControl/>
        <w:numPr>
          <w:ilvl w:val="0"/>
          <w:numId w:val="6"/>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24" w:name="_Toc2357"/>
      <w:r>
        <w:rPr>
          <w:rFonts w:hint="eastAsia" w:ascii="Times New Roman" w:hAnsi="Times New Roman" w:eastAsia="宋体" w:cs="Times New Roman"/>
          <w:b/>
          <w:bCs/>
          <w:kern w:val="44"/>
          <w:sz w:val="28"/>
          <w:szCs w:val="44"/>
          <w:lang w:val="en-US" w:eastAsia="zh-CN" w:bidi="ar-SA"/>
        </w:rPr>
        <w:t>2025年超长期特别国债和中央金融机构注资特别国债开启发行</w:t>
      </w:r>
      <w:bookmarkEnd w:id="24"/>
    </w:p>
    <w:p>
      <w:pPr>
        <w:bidi w:val="0"/>
        <w:spacing w:line="360" w:lineRule="auto"/>
        <w:ind w:firstLine="480" w:firstLineChars="200"/>
        <w:rPr>
          <w:rFonts w:hint="eastAsia"/>
          <w:lang w:val="en-US" w:eastAsia="zh-CN"/>
        </w:rPr>
      </w:pPr>
      <w:r>
        <w:rPr>
          <w:rFonts w:hint="eastAsia"/>
          <w:lang w:val="en-US" w:eastAsia="zh-CN"/>
        </w:rPr>
        <w:t>4月24日，2025年超长期特别国债和中央金融机构注资特别国债开启发行。其中，20年期超长期特别国债500亿元，中标利率为1.98%；30年期710亿元，中标利率为1.88%。2025年中央金融机构注资特别国债为5年期，发行金额1650亿元，加权中标利率1.45%。两种国债均从4月29日起上市交易。</w:t>
      </w:r>
    </w:p>
    <w:p>
      <w:pPr>
        <w:bidi w:val="0"/>
        <w:spacing w:line="360" w:lineRule="auto"/>
        <w:ind w:firstLine="480" w:firstLineChars="200"/>
        <w:rPr>
          <w:rFonts w:hint="eastAsia"/>
          <w:lang w:val="en-US" w:eastAsia="zh-CN"/>
        </w:rPr>
      </w:pPr>
    </w:p>
    <w:p>
      <w:pPr>
        <w:bidi w:val="0"/>
        <w:spacing w:line="360" w:lineRule="auto"/>
        <w:ind w:firstLine="480" w:firstLineChars="200"/>
        <w:rPr>
          <w:rFonts w:hint="eastAsia"/>
          <w:lang w:val="en-US" w:eastAsia="zh-CN"/>
        </w:rPr>
      </w:pPr>
      <w:r>
        <w:rPr>
          <w:rFonts w:hint="eastAsia"/>
          <w:lang w:val="en-US" w:eastAsia="zh-CN"/>
        </w:rPr>
        <w:t>根据预算安排，我国今年拟发行超长期特别国债1.3万亿元，较2024年增加3000亿元。其中8000亿元用于支持“两重”项目建设，5000亿元用于实施“两新”政策。支持消费品以旧换新的超长期特别国债规模为3000亿元，较2024年增加1500亿元。</w:t>
      </w:r>
    </w:p>
    <w:p>
      <w:pPr>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发文日期：2025年4月24日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发文单位：财政部</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"http://mp.weixin.qq.com/s?__biz=MjM5NzQ5MTkyMA==&amp;mid=2658108363&amp;idx=1&amp;sn=486255d6eeb2c54d7bdfe29ebc0a64fb&amp;scene=0#wechat_redirect\""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http://mp.weixin.qq.com/s?__biz=MjM5NzQ5MTkyMA==&amp;mid=2658108363&amp;idx=1&amp;sn=486255d6eeb2c54d7bdfe29ebc0a64fb&amp;scene=0</w:t>
      </w:r>
      <w:r>
        <w:rPr>
          <w:rFonts w:hint="eastAsia" w:ascii="Microsoft YaHei UI" w:hAnsi="Microsoft YaHei UI" w:eastAsia="Microsoft YaHei UI" w:cs="Microsoft YaHei UI"/>
          <w:spacing w:val="7"/>
          <w:kern w:val="0"/>
          <w:sz w:val="15"/>
          <w:szCs w:val="15"/>
          <w:lang w:val="en-US" w:eastAsia="zh-CN" w:bidi="ar"/>
        </w:rPr>
        <w:fldChar w:fldCharType="end"/>
      </w:r>
    </w:p>
    <w:p>
      <w:pPr>
        <w:rPr>
          <w:rFonts w:hint="eastAsia"/>
        </w:rPr>
      </w:pPr>
    </w:p>
    <w:p>
      <w:pPr>
        <w:keepNext w:val="0"/>
        <w:keepLines w:val="0"/>
        <w:widowControl/>
        <w:numPr>
          <w:ilvl w:val="0"/>
          <w:numId w:val="6"/>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25" w:name="_Toc740"/>
      <w:r>
        <w:rPr>
          <w:rFonts w:hint="eastAsia" w:ascii="Times New Roman" w:hAnsi="Times New Roman" w:eastAsia="宋体" w:cs="Times New Roman"/>
          <w:b/>
          <w:bCs/>
          <w:kern w:val="44"/>
          <w:sz w:val="28"/>
          <w:szCs w:val="44"/>
          <w:lang w:val="en-US" w:eastAsia="zh-CN" w:bidi="ar-SA"/>
        </w:rPr>
        <w:t>关于数字中国发展指标体系和数字中国发展指数发布的通知</w:t>
      </w:r>
      <w:bookmarkEnd w:id="25"/>
    </w:p>
    <w:p>
      <w:pPr>
        <w:rPr>
          <w:rFonts w:hint="eastAsia"/>
        </w:rPr>
      </w:pPr>
    </w:p>
    <w:p>
      <w:pPr>
        <w:bidi w:val="0"/>
        <w:spacing w:line="360" w:lineRule="auto"/>
        <w:ind w:firstLine="480" w:firstLineChars="200"/>
        <w:rPr>
          <w:rFonts w:hint="eastAsia"/>
          <w:lang w:val="en-US" w:eastAsia="zh-CN"/>
        </w:rPr>
      </w:pPr>
      <w:r>
        <w:rPr>
          <w:rFonts w:hint="eastAsia"/>
          <w:lang w:val="en-US" w:eastAsia="zh-CN"/>
        </w:rPr>
        <w:t>4月29日下午，《数字中国发展指标体系》和数字中国发展指数在第八届数字中国建设峰会上发布。2024年数字中国发展指数为150.51，同比增长10.65%，建设呈现稳中提质、蓄势态势。在国家数据局指导下，多机构组成研究小组编制该指标体系，涵盖10个一级指标和47项二级指标，为展现建设特点和水平提供数据支撑，标志总体监测评估进入新阶段。研究显示，近年数字中国建设成效显著，数字化发展水平提升，经济内生动力和创新活力增强。2024年，数字基础设施等5项一级指标发展指数增速两位数增长。国家数据发展研究院院长胡坚波称，研究小组将持续开展监测评估，实时监测并适时发布指数，深化研究、完善体系，为科学决策提供支撑。</w:t>
      </w:r>
    </w:p>
    <w:p>
      <w:pPr>
        <w:rPr>
          <w:rFonts w:hint="eastAsi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发文日期：2025年4月30日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发文单位：国家数据局</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"http://mp.weixin.qq.com/s?__biz=MzkzMTU5MDA3OQ==&amp;mid=2247496012&amp;idx=1&amp;sn=b3f4acc70279b858b339491942cb5094&amp;scene=0#wechat_redirect\""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http://mp.weixin.qq.com/s?__biz=MzkzMTU5MDA3OQ==&amp;mid=2247496012&amp;idx=1&amp;sn=b3f4acc70279b858b339491942cb5094&amp;scene=0</w:t>
      </w:r>
      <w:r>
        <w:rPr>
          <w:rFonts w:hint="eastAsia" w:ascii="Microsoft YaHei UI" w:hAnsi="Microsoft YaHei UI" w:eastAsia="Microsoft YaHei UI" w:cs="Microsoft YaHei UI"/>
          <w:spacing w:val="7"/>
          <w:kern w:val="0"/>
          <w:sz w:val="15"/>
          <w:szCs w:val="15"/>
          <w:lang w:val="en-US" w:eastAsia="zh-CN" w:bidi="ar"/>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F5F01CDA"/>
    <w:multiLevelType w:val="singleLevel"/>
    <w:tmpl w:val="F5F01CDA"/>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96A4D"/>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6266E"/>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096934"/>
    <w:rsid w:val="016F430C"/>
    <w:rsid w:val="01A26771"/>
    <w:rsid w:val="01BC1E9D"/>
    <w:rsid w:val="01CD2EF8"/>
    <w:rsid w:val="01DD669F"/>
    <w:rsid w:val="023449E9"/>
    <w:rsid w:val="023E1794"/>
    <w:rsid w:val="02580567"/>
    <w:rsid w:val="02582765"/>
    <w:rsid w:val="02623074"/>
    <w:rsid w:val="02B81FC4"/>
    <w:rsid w:val="02F16BE2"/>
    <w:rsid w:val="03506721"/>
    <w:rsid w:val="037C7044"/>
    <w:rsid w:val="039C5442"/>
    <w:rsid w:val="03D2404C"/>
    <w:rsid w:val="045C2652"/>
    <w:rsid w:val="04765C43"/>
    <w:rsid w:val="04BA20CD"/>
    <w:rsid w:val="050F64AF"/>
    <w:rsid w:val="053063AB"/>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8BB45BC"/>
    <w:rsid w:val="08FD3F05"/>
    <w:rsid w:val="09261B0E"/>
    <w:rsid w:val="09405381"/>
    <w:rsid w:val="09A62F22"/>
    <w:rsid w:val="09C32C91"/>
    <w:rsid w:val="09D45935"/>
    <w:rsid w:val="0A1E72E5"/>
    <w:rsid w:val="0A434350"/>
    <w:rsid w:val="0AC3612D"/>
    <w:rsid w:val="0AD02B39"/>
    <w:rsid w:val="0B4267D9"/>
    <w:rsid w:val="0B7520E0"/>
    <w:rsid w:val="0B922B80"/>
    <w:rsid w:val="0BA062C9"/>
    <w:rsid w:val="0BAE737B"/>
    <w:rsid w:val="0BDC6B84"/>
    <w:rsid w:val="0BE50054"/>
    <w:rsid w:val="0BF5655F"/>
    <w:rsid w:val="0C07544A"/>
    <w:rsid w:val="0C4F07D9"/>
    <w:rsid w:val="0C817312"/>
    <w:rsid w:val="0CA37841"/>
    <w:rsid w:val="0CAE4D2A"/>
    <w:rsid w:val="0CC37C9B"/>
    <w:rsid w:val="0CF839A0"/>
    <w:rsid w:val="0D466B4A"/>
    <w:rsid w:val="0D517404"/>
    <w:rsid w:val="0D7D63DD"/>
    <w:rsid w:val="0D884641"/>
    <w:rsid w:val="0DA925F8"/>
    <w:rsid w:val="0DB20D09"/>
    <w:rsid w:val="0DCC7F08"/>
    <w:rsid w:val="0DEE6F81"/>
    <w:rsid w:val="0E34475A"/>
    <w:rsid w:val="0E6C1FC1"/>
    <w:rsid w:val="0E83792A"/>
    <w:rsid w:val="0ED95576"/>
    <w:rsid w:val="0F3E7C84"/>
    <w:rsid w:val="0F4870A8"/>
    <w:rsid w:val="0F541C19"/>
    <w:rsid w:val="0F981F55"/>
    <w:rsid w:val="0FB731AC"/>
    <w:rsid w:val="0FBC07B5"/>
    <w:rsid w:val="0FCB3577"/>
    <w:rsid w:val="0FE954A1"/>
    <w:rsid w:val="10203673"/>
    <w:rsid w:val="10297193"/>
    <w:rsid w:val="10440482"/>
    <w:rsid w:val="10874A3C"/>
    <w:rsid w:val="108F375B"/>
    <w:rsid w:val="10FC2F79"/>
    <w:rsid w:val="10FF77C5"/>
    <w:rsid w:val="11091D5E"/>
    <w:rsid w:val="111057C3"/>
    <w:rsid w:val="11111221"/>
    <w:rsid w:val="11245848"/>
    <w:rsid w:val="116826AA"/>
    <w:rsid w:val="11771249"/>
    <w:rsid w:val="11823249"/>
    <w:rsid w:val="118401F0"/>
    <w:rsid w:val="119F0BF7"/>
    <w:rsid w:val="11AC6546"/>
    <w:rsid w:val="11DA1989"/>
    <w:rsid w:val="11F969CD"/>
    <w:rsid w:val="120B217A"/>
    <w:rsid w:val="12134735"/>
    <w:rsid w:val="12331C5D"/>
    <w:rsid w:val="123B7AAA"/>
    <w:rsid w:val="125B5296"/>
    <w:rsid w:val="125F2DFF"/>
    <w:rsid w:val="12727028"/>
    <w:rsid w:val="127E473D"/>
    <w:rsid w:val="12C12EBE"/>
    <w:rsid w:val="12C26CEB"/>
    <w:rsid w:val="12D37F5C"/>
    <w:rsid w:val="136523E1"/>
    <w:rsid w:val="136E0C91"/>
    <w:rsid w:val="13874EC8"/>
    <w:rsid w:val="13D54396"/>
    <w:rsid w:val="141A7D6B"/>
    <w:rsid w:val="141F196B"/>
    <w:rsid w:val="14237BD3"/>
    <w:rsid w:val="142C6563"/>
    <w:rsid w:val="144349CA"/>
    <w:rsid w:val="14584F42"/>
    <w:rsid w:val="147E14B7"/>
    <w:rsid w:val="14C64FA3"/>
    <w:rsid w:val="1507322E"/>
    <w:rsid w:val="154F3C02"/>
    <w:rsid w:val="156F4137"/>
    <w:rsid w:val="159852FC"/>
    <w:rsid w:val="15B11221"/>
    <w:rsid w:val="15B526AD"/>
    <w:rsid w:val="15D500B0"/>
    <w:rsid w:val="161277D9"/>
    <w:rsid w:val="161A531E"/>
    <w:rsid w:val="169311EC"/>
    <w:rsid w:val="16A23F8A"/>
    <w:rsid w:val="16FC4447"/>
    <w:rsid w:val="17142067"/>
    <w:rsid w:val="175C1163"/>
    <w:rsid w:val="175C434E"/>
    <w:rsid w:val="17680B0C"/>
    <w:rsid w:val="177B5538"/>
    <w:rsid w:val="17B83DC4"/>
    <w:rsid w:val="17C676BC"/>
    <w:rsid w:val="17C8624A"/>
    <w:rsid w:val="17FD7FE9"/>
    <w:rsid w:val="18887BCD"/>
    <w:rsid w:val="190E24E6"/>
    <w:rsid w:val="1918096B"/>
    <w:rsid w:val="1941702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E200A5"/>
    <w:rsid w:val="1AF417A3"/>
    <w:rsid w:val="1B59234B"/>
    <w:rsid w:val="1B7538D9"/>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AB0C7A"/>
    <w:rsid w:val="20BC2914"/>
    <w:rsid w:val="20E51F26"/>
    <w:rsid w:val="2103535F"/>
    <w:rsid w:val="218E754B"/>
    <w:rsid w:val="21A9142B"/>
    <w:rsid w:val="21B930E6"/>
    <w:rsid w:val="21BA18CA"/>
    <w:rsid w:val="21E6176B"/>
    <w:rsid w:val="21F73395"/>
    <w:rsid w:val="21F827F4"/>
    <w:rsid w:val="22286F53"/>
    <w:rsid w:val="22322E8D"/>
    <w:rsid w:val="22514A82"/>
    <w:rsid w:val="22803FAB"/>
    <w:rsid w:val="22D1559A"/>
    <w:rsid w:val="231A50A3"/>
    <w:rsid w:val="23257C10"/>
    <w:rsid w:val="238C2419"/>
    <w:rsid w:val="23C0562A"/>
    <w:rsid w:val="23FE699A"/>
    <w:rsid w:val="24082A8D"/>
    <w:rsid w:val="24306535"/>
    <w:rsid w:val="243A4E0B"/>
    <w:rsid w:val="244D480A"/>
    <w:rsid w:val="24AC6718"/>
    <w:rsid w:val="24E25E51"/>
    <w:rsid w:val="25123F51"/>
    <w:rsid w:val="25306246"/>
    <w:rsid w:val="254629C4"/>
    <w:rsid w:val="258B55B3"/>
    <w:rsid w:val="258F5A9A"/>
    <w:rsid w:val="25CE1DB0"/>
    <w:rsid w:val="25DB28FA"/>
    <w:rsid w:val="25FE1963"/>
    <w:rsid w:val="266876DA"/>
    <w:rsid w:val="26A81ED5"/>
    <w:rsid w:val="26C43029"/>
    <w:rsid w:val="26EE1123"/>
    <w:rsid w:val="26FC3FBD"/>
    <w:rsid w:val="27010B22"/>
    <w:rsid w:val="270241FC"/>
    <w:rsid w:val="2776664F"/>
    <w:rsid w:val="277A5544"/>
    <w:rsid w:val="28356A45"/>
    <w:rsid w:val="284571E0"/>
    <w:rsid w:val="284B3419"/>
    <w:rsid w:val="284B3726"/>
    <w:rsid w:val="287023C4"/>
    <w:rsid w:val="28A46AA7"/>
    <w:rsid w:val="290A5904"/>
    <w:rsid w:val="290D23FE"/>
    <w:rsid w:val="291C0481"/>
    <w:rsid w:val="29246C8C"/>
    <w:rsid w:val="29355D18"/>
    <w:rsid w:val="294F0DD5"/>
    <w:rsid w:val="295F6920"/>
    <w:rsid w:val="296B1032"/>
    <w:rsid w:val="29C66496"/>
    <w:rsid w:val="29CD2F7F"/>
    <w:rsid w:val="2A0E0437"/>
    <w:rsid w:val="2A1507AC"/>
    <w:rsid w:val="2A1B05EA"/>
    <w:rsid w:val="2A2F3817"/>
    <w:rsid w:val="2A5D4014"/>
    <w:rsid w:val="2A6508F8"/>
    <w:rsid w:val="2A67601F"/>
    <w:rsid w:val="2A86518A"/>
    <w:rsid w:val="2AA91689"/>
    <w:rsid w:val="2B1442F8"/>
    <w:rsid w:val="2B3163E8"/>
    <w:rsid w:val="2B8A4E7D"/>
    <w:rsid w:val="2B9916DC"/>
    <w:rsid w:val="2BB87451"/>
    <w:rsid w:val="2BCF3A5F"/>
    <w:rsid w:val="2BDC1404"/>
    <w:rsid w:val="2BE713BB"/>
    <w:rsid w:val="2C200360"/>
    <w:rsid w:val="2C3B46EC"/>
    <w:rsid w:val="2C5B292D"/>
    <w:rsid w:val="2C8A4A20"/>
    <w:rsid w:val="2CCB191D"/>
    <w:rsid w:val="2D0120D0"/>
    <w:rsid w:val="2D0956BF"/>
    <w:rsid w:val="2D6708C5"/>
    <w:rsid w:val="2D856BEC"/>
    <w:rsid w:val="2D990859"/>
    <w:rsid w:val="2DAD387D"/>
    <w:rsid w:val="2DC73D3E"/>
    <w:rsid w:val="2DE17B2F"/>
    <w:rsid w:val="2DE44242"/>
    <w:rsid w:val="2DE955A4"/>
    <w:rsid w:val="2E595191"/>
    <w:rsid w:val="2EB85034"/>
    <w:rsid w:val="2EEF7BE6"/>
    <w:rsid w:val="2F0A3A24"/>
    <w:rsid w:val="2F0D1AFD"/>
    <w:rsid w:val="2F10090E"/>
    <w:rsid w:val="2F36681B"/>
    <w:rsid w:val="2F3E7A4E"/>
    <w:rsid w:val="2F6E2446"/>
    <w:rsid w:val="2F75430C"/>
    <w:rsid w:val="300512D8"/>
    <w:rsid w:val="30656B3C"/>
    <w:rsid w:val="30C94292"/>
    <w:rsid w:val="310247BE"/>
    <w:rsid w:val="310835FF"/>
    <w:rsid w:val="3146218A"/>
    <w:rsid w:val="315A11CA"/>
    <w:rsid w:val="317A00BB"/>
    <w:rsid w:val="318B0355"/>
    <w:rsid w:val="31A1082A"/>
    <w:rsid w:val="31AB4A33"/>
    <w:rsid w:val="32186458"/>
    <w:rsid w:val="32614B36"/>
    <w:rsid w:val="327B2123"/>
    <w:rsid w:val="329C4004"/>
    <w:rsid w:val="32CA1293"/>
    <w:rsid w:val="32E87499"/>
    <w:rsid w:val="331D1B33"/>
    <w:rsid w:val="33281481"/>
    <w:rsid w:val="334A1BC6"/>
    <w:rsid w:val="33595EFA"/>
    <w:rsid w:val="3363215A"/>
    <w:rsid w:val="33B2575C"/>
    <w:rsid w:val="34101BAC"/>
    <w:rsid w:val="34214901"/>
    <w:rsid w:val="342E49F7"/>
    <w:rsid w:val="34935BC5"/>
    <w:rsid w:val="3511729A"/>
    <w:rsid w:val="35725E7F"/>
    <w:rsid w:val="357A6A27"/>
    <w:rsid w:val="359A63E2"/>
    <w:rsid w:val="360B6DE2"/>
    <w:rsid w:val="3619453F"/>
    <w:rsid w:val="361E5CDB"/>
    <w:rsid w:val="362979CB"/>
    <w:rsid w:val="36705660"/>
    <w:rsid w:val="3687588A"/>
    <w:rsid w:val="36D42F37"/>
    <w:rsid w:val="36ED7BA0"/>
    <w:rsid w:val="37030542"/>
    <w:rsid w:val="37B87CFD"/>
    <w:rsid w:val="37C2539A"/>
    <w:rsid w:val="37CE370C"/>
    <w:rsid w:val="37E172EC"/>
    <w:rsid w:val="37E8395D"/>
    <w:rsid w:val="381948B8"/>
    <w:rsid w:val="38286CC9"/>
    <w:rsid w:val="386B1CA8"/>
    <w:rsid w:val="38802E42"/>
    <w:rsid w:val="38B764DA"/>
    <w:rsid w:val="38B90DAF"/>
    <w:rsid w:val="38D91F16"/>
    <w:rsid w:val="38F82975"/>
    <w:rsid w:val="3954386D"/>
    <w:rsid w:val="397D4DF2"/>
    <w:rsid w:val="39B44138"/>
    <w:rsid w:val="39C678D5"/>
    <w:rsid w:val="39D734CB"/>
    <w:rsid w:val="3A064130"/>
    <w:rsid w:val="3A1351F8"/>
    <w:rsid w:val="3A4C06E3"/>
    <w:rsid w:val="3A767808"/>
    <w:rsid w:val="3A8A0F27"/>
    <w:rsid w:val="3A93709E"/>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2968D4"/>
    <w:rsid w:val="3D2D6AC3"/>
    <w:rsid w:val="3D485319"/>
    <w:rsid w:val="3D4D7047"/>
    <w:rsid w:val="3D544BC2"/>
    <w:rsid w:val="3D694272"/>
    <w:rsid w:val="3D6E0485"/>
    <w:rsid w:val="3D8F0BB4"/>
    <w:rsid w:val="3DDD468F"/>
    <w:rsid w:val="3DF139AA"/>
    <w:rsid w:val="3DF3353C"/>
    <w:rsid w:val="3E410903"/>
    <w:rsid w:val="3E6A3919"/>
    <w:rsid w:val="3EA04765"/>
    <w:rsid w:val="3ECA64CC"/>
    <w:rsid w:val="3EF8593F"/>
    <w:rsid w:val="3F5274EE"/>
    <w:rsid w:val="3F605988"/>
    <w:rsid w:val="3F6B686A"/>
    <w:rsid w:val="3F852B09"/>
    <w:rsid w:val="400E49F6"/>
    <w:rsid w:val="401D5D3B"/>
    <w:rsid w:val="40387CC5"/>
    <w:rsid w:val="404605CF"/>
    <w:rsid w:val="40DE5DF9"/>
    <w:rsid w:val="42432277"/>
    <w:rsid w:val="42E10978"/>
    <w:rsid w:val="436E6911"/>
    <w:rsid w:val="43B26B9C"/>
    <w:rsid w:val="443C6B00"/>
    <w:rsid w:val="4444198E"/>
    <w:rsid w:val="44445A26"/>
    <w:rsid w:val="44660041"/>
    <w:rsid w:val="44703211"/>
    <w:rsid w:val="44A61752"/>
    <w:rsid w:val="44BC03D1"/>
    <w:rsid w:val="44F05DF6"/>
    <w:rsid w:val="44F720B3"/>
    <w:rsid w:val="450B5ED4"/>
    <w:rsid w:val="4525349D"/>
    <w:rsid w:val="45294080"/>
    <w:rsid w:val="456562D4"/>
    <w:rsid w:val="45B34E08"/>
    <w:rsid w:val="45C50129"/>
    <w:rsid w:val="45CA7211"/>
    <w:rsid w:val="45D07F1D"/>
    <w:rsid w:val="4623525F"/>
    <w:rsid w:val="46300235"/>
    <w:rsid w:val="46B40180"/>
    <w:rsid w:val="46B77214"/>
    <w:rsid w:val="46F174E0"/>
    <w:rsid w:val="47162FDB"/>
    <w:rsid w:val="472C4C55"/>
    <w:rsid w:val="473A22D0"/>
    <w:rsid w:val="478D1C10"/>
    <w:rsid w:val="47BD1E82"/>
    <w:rsid w:val="47DA53A4"/>
    <w:rsid w:val="47EB2161"/>
    <w:rsid w:val="48390A7E"/>
    <w:rsid w:val="487A37DC"/>
    <w:rsid w:val="488F1019"/>
    <w:rsid w:val="48953F29"/>
    <w:rsid w:val="48A20AB1"/>
    <w:rsid w:val="48AB71D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D32FF"/>
    <w:rsid w:val="4B4E2953"/>
    <w:rsid w:val="4B5936AA"/>
    <w:rsid w:val="4B857DCA"/>
    <w:rsid w:val="4B9F639D"/>
    <w:rsid w:val="4BCB5F67"/>
    <w:rsid w:val="4C124ADB"/>
    <w:rsid w:val="4C14267B"/>
    <w:rsid w:val="4C5366C3"/>
    <w:rsid w:val="4C9D333C"/>
    <w:rsid w:val="4CB30463"/>
    <w:rsid w:val="4CB41768"/>
    <w:rsid w:val="4CE04F75"/>
    <w:rsid w:val="4D0B6B70"/>
    <w:rsid w:val="4D341C91"/>
    <w:rsid w:val="4D6F3B86"/>
    <w:rsid w:val="4D712506"/>
    <w:rsid w:val="4D830B2D"/>
    <w:rsid w:val="4D971D5B"/>
    <w:rsid w:val="4DBA4E98"/>
    <w:rsid w:val="4DF24B33"/>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8316C7"/>
    <w:rsid w:val="51CD567E"/>
    <w:rsid w:val="51DD2A0A"/>
    <w:rsid w:val="51E23F34"/>
    <w:rsid w:val="51FA302C"/>
    <w:rsid w:val="521E7BC5"/>
    <w:rsid w:val="52201680"/>
    <w:rsid w:val="523C0389"/>
    <w:rsid w:val="523E748B"/>
    <w:rsid w:val="528043E7"/>
    <w:rsid w:val="52C92E63"/>
    <w:rsid w:val="52D57B0C"/>
    <w:rsid w:val="52DA346F"/>
    <w:rsid w:val="53053EDB"/>
    <w:rsid w:val="53465F4C"/>
    <w:rsid w:val="53491D61"/>
    <w:rsid w:val="536313E2"/>
    <w:rsid w:val="538F45A4"/>
    <w:rsid w:val="53A9514E"/>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6D133FC"/>
    <w:rsid w:val="56D75103"/>
    <w:rsid w:val="57025A59"/>
    <w:rsid w:val="57146818"/>
    <w:rsid w:val="572465F5"/>
    <w:rsid w:val="574959B6"/>
    <w:rsid w:val="574A1DC1"/>
    <w:rsid w:val="57592C33"/>
    <w:rsid w:val="57B85C78"/>
    <w:rsid w:val="57CB3FEF"/>
    <w:rsid w:val="57CF09A1"/>
    <w:rsid w:val="57DC40E8"/>
    <w:rsid w:val="57DE5369"/>
    <w:rsid w:val="57FF05EB"/>
    <w:rsid w:val="586948AA"/>
    <w:rsid w:val="58A91308"/>
    <w:rsid w:val="58C75E36"/>
    <w:rsid w:val="58CB6A3A"/>
    <w:rsid w:val="59B329A3"/>
    <w:rsid w:val="59B51A6B"/>
    <w:rsid w:val="59C55D87"/>
    <w:rsid w:val="59D30900"/>
    <w:rsid w:val="5A1148EE"/>
    <w:rsid w:val="5A2537F3"/>
    <w:rsid w:val="5A316BBC"/>
    <w:rsid w:val="5AF059D7"/>
    <w:rsid w:val="5B14619D"/>
    <w:rsid w:val="5B310B71"/>
    <w:rsid w:val="5B49484F"/>
    <w:rsid w:val="5B654180"/>
    <w:rsid w:val="5B697447"/>
    <w:rsid w:val="5B964143"/>
    <w:rsid w:val="5B987F09"/>
    <w:rsid w:val="5BE62ADD"/>
    <w:rsid w:val="5C1F7813"/>
    <w:rsid w:val="5C310D30"/>
    <w:rsid w:val="5C380AAD"/>
    <w:rsid w:val="5C4837B2"/>
    <w:rsid w:val="5C89392A"/>
    <w:rsid w:val="5CA11989"/>
    <w:rsid w:val="5CAA6A49"/>
    <w:rsid w:val="5CC82A8F"/>
    <w:rsid w:val="5CD41DD8"/>
    <w:rsid w:val="5CD728E8"/>
    <w:rsid w:val="5D0F67F8"/>
    <w:rsid w:val="5D655B27"/>
    <w:rsid w:val="5D78571C"/>
    <w:rsid w:val="5DA66396"/>
    <w:rsid w:val="5DE6248C"/>
    <w:rsid w:val="5DFF1BDB"/>
    <w:rsid w:val="5E2636F4"/>
    <w:rsid w:val="5E2E636F"/>
    <w:rsid w:val="5E572837"/>
    <w:rsid w:val="5E754D87"/>
    <w:rsid w:val="5E852A2B"/>
    <w:rsid w:val="5E867220"/>
    <w:rsid w:val="5EB236E5"/>
    <w:rsid w:val="5EF27BD4"/>
    <w:rsid w:val="5F144150"/>
    <w:rsid w:val="5F192012"/>
    <w:rsid w:val="5F2B024F"/>
    <w:rsid w:val="5FBC6FBB"/>
    <w:rsid w:val="5FD05014"/>
    <w:rsid w:val="5FF2703A"/>
    <w:rsid w:val="603B33EE"/>
    <w:rsid w:val="603F2116"/>
    <w:rsid w:val="60512BA9"/>
    <w:rsid w:val="607C09C6"/>
    <w:rsid w:val="60B977EF"/>
    <w:rsid w:val="60D7701D"/>
    <w:rsid w:val="61562613"/>
    <w:rsid w:val="617D727E"/>
    <w:rsid w:val="619D39D4"/>
    <w:rsid w:val="61A436DC"/>
    <w:rsid w:val="61BE0A44"/>
    <w:rsid w:val="621A1294"/>
    <w:rsid w:val="625D6F2E"/>
    <w:rsid w:val="62616BE9"/>
    <w:rsid w:val="628174C5"/>
    <w:rsid w:val="62AD2DCC"/>
    <w:rsid w:val="62CC7192"/>
    <w:rsid w:val="62D8753A"/>
    <w:rsid w:val="62FF18AB"/>
    <w:rsid w:val="630C1982"/>
    <w:rsid w:val="632D3DE1"/>
    <w:rsid w:val="6330170C"/>
    <w:rsid w:val="634B7733"/>
    <w:rsid w:val="638C4E9F"/>
    <w:rsid w:val="639F01FD"/>
    <w:rsid w:val="63A94710"/>
    <w:rsid w:val="63B70146"/>
    <w:rsid w:val="63D62198"/>
    <w:rsid w:val="63E063B5"/>
    <w:rsid w:val="63E818F6"/>
    <w:rsid w:val="63FA5093"/>
    <w:rsid w:val="6428605E"/>
    <w:rsid w:val="64777982"/>
    <w:rsid w:val="647A0777"/>
    <w:rsid w:val="64B877C8"/>
    <w:rsid w:val="64DC0D39"/>
    <w:rsid w:val="64E434FC"/>
    <w:rsid w:val="64F447F9"/>
    <w:rsid w:val="64FB14A0"/>
    <w:rsid w:val="65122C22"/>
    <w:rsid w:val="656024BA"/>
    <w:rsid w:val="657A3C65"/>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9117F3"/>
    <w:rsid w:val="6AC03372"/>
    <w:rsid w:val="6B393506"/>
    <w:rsid w:val="6B445431"/>
    <w:rsid w:val="6B947D69"/>
    <w:rsid w:val="6BBD0307"/>
    <w:rsid w:val="6BE35E8E"/>
    <w:rsid w:val="6C0C6E75"/>
    <w:rsid w:val="6C522AE3"/>
    <w:rsid w:val="6C977036"/>
    <w:rsid w:val="6CE0643D"/>
    <w:rsid w:val="6D2B042A"/>
    <w:rsid w:val="6D4547D0"/>
    <w:rsid w:val="6D5D66CA"/>
    <w:rsid w:val="6DC52FB5"/>
    <w:rsid w:val="6E231F38"/>
    <w:rsid w:val="6E401E74"/>
    <w:rsid w:val="6E426C72"/>
    <w:rsid w:val="6E8E6EA3"/>
    <w:rsid w:val="6EA23B18"/>
    <w:rsid w:val="6EB4152F"/>
    <w:rsid w:val="6EC8494C"/>
    <w:rsid w:val="6EEE6A18"/>
    <w:rsid w:val="6F204339"/>
    <w:rsid w:val="6F793C5D"/>
    <w:rsid w:val="6FA7439C"/>
    <w:rsid w:val="6FBF06AF"/>
    <w:rsid w:val="700B0938"/>
    <w:rsid w:val="70117FCA"/>
    <w:rsid w:val="7017205C"/>
    <w:rsid w:val="701E1630"/>
    <w:rsid w:val="709D6E51"/>
    <w:rsid w:val="70E262C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D00F12"/>
    <w:rsid w:val="73D47918"/>
    <w:rsid w:val="73F14733"/>
    <w:rsid w:val="749C79EF"/>
    <w:rsid w:val="74A0346D"/>
    <w:rsid w:val="74BE73F3"/>
    <w:rsid w:val="750D34EE"/>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F379A2"/>
    <w:rsid w:val="78FA3665"/>
    <w:rsid w:val="793116D4"/>
    <w:rsid w:val="79395171"/>
    <w:rsid w:val="79524D9F"/>
    <w:rsid w:val="799D3B64"/>
    <w:rsid w:val="79D33FDF"/>
    <w:rsid w:val="79D60872"/>
    <w:rsid w:val="7A39200E"/>
    <w:rsid w:val="7A5E43D7"/>
    <w:rsid w:val="7A65786F"/>
    <w:rsid w:val="7A8A48D5"/>
    <w:rsid w:val="7B1E30E9"/>
    <w:rsid w:val="7B286FC3"/>
    <w:rsid w:val="7B8508BE"/>
    <w:rsid w:val="7BB153E0"/>
    <w:rsid w:val="7BD079A4"/>
    <w:rsid w:val="7C003FD3"/>
    <w:rsid w:val="7C245FB3"/>
    <w:rsid w:val="7C5C703D"/>
    <w:rsid w:val="7CCB30D7"/>
    <w:rsid w:val="7D262DC5"/>
    <w:rsid w:val="7D392698"/>
    <w:rsid w:val="7D5D4835"/>
    <w:rsid w:val="7D8B028D"/>
    <w:rsid w:val="7D8D024D"/>
    <w:rsid w:val="7D944060"/>
    <w:rsid w:val="7D9A2EA0"/>
    <w:rsid w:val="7DC36EAF"/>
    <w:rsid w:val="7DCC4BF0"/>
    <w:rsid w:val="7DCF68BD"/>
    <w:rsid w:val="7DFC2925"/>
    <w:rsid w:val="7E230E82"/>
    <w:rsid w:val="7E235340"/>
    <w:rsid w:val="7E3E551B"/>
    <w:rsid w:val="7E597F15"/>
    <w:rsid w:val="7EF50554"/>
    <w:rsid w:val="7EF5689F"/>
    <w:rsid w:val="7EFE6266"/>
    <w:rsid w:val="7F0250CB"/>
    <w:rsid w:val="7F6C60BD"/>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3"/>
    <w:next w:val="1"/>
    <w:qFormat/>
    <w:uiPriority w:val="0"/>
    <w:pPr>
      <w:keepNext/>
      <w:keepLines/>
      <w:numPr>
        <w:ilvl w:val="2"/>
        <w:numId w:val="1"/>
      </w:numPr>
      <w:tabs>
        <w:tab w:val="clear" w:pos="576"/>
      </w:tabs>
      <w:spacing w:before="260" w:after="260" w:line="240" w:lineRule="auto"/>
      <w:outlineLvl w:val="2"/>
    </w:pPr>
    <w:rPr>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12</Pages>
  <Words>4757</Words>
  <Characters>5611</Characters>
  <Lines>43</Lines>
  <Paragraphs>12</Paragraphs>
  <TotalTime>2</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2025-04-25T14:56:55Z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C8E6AA8CBCDD476BA69DE2D96239E519</vt:lpwstr>
  </property>
</Properties>
</file>