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05.09-05.</w:t>
      </w:r>
      <w:bookmarkEnd w:id="1"/>
      <w:r>
        <w:rPr>
          <w:rFonts w:hint="eastAsia"/>
          <w:sz w:val="44"/>
          <w:lang w:val="en-US" w:eastAsia="zh-CN"/>
        </w:rPr>
        <w:t>16）</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w:t>
      </w:r>
      <w:r>
        <w:rPr>
          <w:rFonts w:hint="eastAsia" w:cs="Times New Roman"/>
          <w:lang w:val="en-US" w:eastAsia="zh-CN"/>
        </w:rPr>
        <w:t>长江研究院</w:t>
      </w:r>
      <w:r>
        <w:rPr>
          <w:rFonts w:hint="eastAsia" w:ascii="Times New Roman" w:hAnsi="Times New Roman" w:eastAsia="宋体" w:cs="Times New Roman"/>
          <w:lang w:val="en-US" w:eastAsia="zh-CN"/>
        </w:rPr>
        <w:t>东湖智库整理社会各级工作领域政策、研究、热点资讯最新进展，特别推出“一周政策速递”专题进行推送。</w:t>
      </w:r>
      <w:bookmarkStart w:id="2" w:name="OLE_LINK25"/>
      <w:bookmarkStart w:id="3" w:name="OLE_LINK31"/>
      <w:bookmarkStart w:id="4" w:name="OLE_LINK39"/>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ascii="Times New Roman" w:hAnsi="Times New Roman" w:eastAsia="宋体" w:cs="Times New Roman"/>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eastAsia" w:ascii="Times New Roman" w:hAnsi="Times New Roman" w:eastAsia="宋体" w:cs="Times New Roman"/>
          <w:b/>
          <w:bCs/>
          <w:kern w:val="44"/>
          <w:sz w:val="28"/>
          <w:szCs w:val="44"/>
          <w:lang w:val="en-US" w:eastAsia="zh-CN" w:bidi="ar-SA"/>
        </w:rPr>
      </w:pPr>
      <w:r>
        <w:rPr>
          <w:rFonts w:hint="eastAsia" w:cs="Times New Roman"/>
          <w:b/>
          <w:bCs/>
          <w:kern w:val="44"/>
          <w:sz w:val="28"/>
          <w:szCs w:val="44"/>
          <w:lang w:val="en-US" w:eastAsia="zh-CN" w:bidi="ar-SA"/>
        </w:rPr>
        <w:t>中美经贸高层会谈举行</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bookmarkStart w:id="5" w:name="OLE_LINK3"/>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月10日至11日，中美经贸中方牵头人何立峰与美方牵头人贝森特和格里尔在瑞士日内瓦举行中美经贸高层会谈，围绕落实中美元首通话重要共识进行坦诚、深入沟通，达成一系列经贸重要共识。5月12日上午，双方发布《中美日内瓦经贸会谈联合声明》。2025年4月以来，美对华加征“对等关税”，中方坚决反制，美高额关税严重破坏双边经贸及国际秩序。此次会谈达成联合声明，是解决分歧重要一步。双方在声明中达成多项积极共识，美方承诺取消91%加征关税、修改部分对等关税，中方相应取消91%反制关税、暂停部分反制措施。双方还同意建立磋商机制，定期或不定期开展磋商。本次会谈取得实质性进展，大幅降低双边关税，符合两国及世界共同利益，希望美方继续与中方相向而行，维护经贸关系健康发展。</w:t>
      </w:r>
    </w:p>
    <w:bookmarkEnd w:id="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发文日期：2025年5月12日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发文单位：商务部</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color w:val="auto"/>
          <w:spacing w:val="7"/>
          <w:kern w:val="0"/>
          <w:sz w:val="15"/>
          <w:szCs w:val="15"/>
          <w:u w:val="none"/>
          <w:lang w:val="en-US" w:eastAsia="zh-CN" w:bidi="ar"/>
        </w:rPr>
        <w:t>http://mp.weixin.qq.com/s?__biz=MzA3NDg1MjQxMA==&amp;mid=2651876175&amp;idx=1&amp;sn=25e33fcf1db544a402a96cd32aad9beb&amp;scene=0</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6" w:name="OLE_LINK29"/>
      <w:bookmarkStart w:id="7" w:name="OLE_LINK4"/>
      <w:bookmarkStart w:id="8" w:name="OLE_LINK27"/>
      <w:bookmarkStart w:id="9" w:name="OLE_LINK12"/>
      <w:r>
        <w:rPr>
          <w:rFonts w:hint="default" w:cs="Times New Roman"/>
          <w:b/>
          <w:bCs/>
          <w:kern w:val="44"/>
          <w:sz w:val="28"/>
          <w:szCs w:val="44"/>
          <w:highlight w:val="none"/>
          <w:lang w:val="en-US" w:eastAsia="zh-CN" w:bidi="ar-SA"/>
        </w:rPr>
        <w:t>《中国人民银行业务领域数据安全管理办法》</w:t>
      </w:r>
    </w:p>
    <w:bookmarkEnd w:id="6"/>
    <w:p>
      <w:pPr>
        <w:bidi w:val="0"/>
        <w:spacing w:line="360" w:lineRule="auto"/>
        <w:ind w:firstLine="480" w:firstLineChars="200"/>
        <w:rPr>
          <w:rFonts w:hint="default"/>
          <w:lang w:val="en-US" w:eastAsia="zh-CN"/>
        </w:rPr>
      </w:pPr>
      <w:bookmarkStart w:id="10" w:name="OLE_LINK34"/>
      <w:r>
        <w:rPr>
          <w:rFonts w:hint="default"/>
          <w:lang w:val="en-US" w:eastAsia="zh-CN"/>
        </w:rPr>
        <w:t>近日，中国人民银行发布《中国人民银行业务领域数据安全管理办法》（中国人民银行令〔2025〕第3号），自2025年6月30日起施行，旨在贯彻党中央、国务院数据安全决策部署，落实《中华人民共和国数据安全法》，指导金融从业机构依法处理业务数据。《办法》共七章五十六条，涵盖制定依据、适用范围、各环节安全管理与技术规定、风险与事件管理、法律责任等内容。中国人民银行有关部门负责人在答记者问中，介绍了《办法》出台背景、适用范围、主要思路、主要内容，以及实现与其他主管部门监管协同的方式。后续，中国人民银行将加强政策宣传、完善标准指引、规范行政执法、强化信息共享利用，以保障业务数据安全，促进其开发利用。</w:t>
      </w:r>
    </w:p>
    <w:p>
      <w:pPr>
        <w:bidi w:val="0"/>
        <w:spacing w:line="360" w:lineRule="auto"/>
        <w:ind w:firstLine="480" w:firstLineChars="200"/>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发文日期：2025年5月9日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发文单位：中国人民银行</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http://mp.weixin.qq.com/s?__biz=Mzk0NDAwMDExMA==&amp;mid=2247574995&amp;idx=1&amp;sn=e473ba726d720f895e8c3dfc09de373f&amp;scene=0</w:t>
      </w:r>
    </w:p>
    <w:bookmarkEnd w:id="10"/>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1" w:name="OLE_LINK15"/>
      <w:bookmarkStart w:id="12" w:name="OLE_LINK40"/>
      <w:r>
        <w:rPr>
          <w:rFonts w:hint="default" w:cs="Times New Roman"/>
          <w:b/>
          <w:bCs/>
          <w:kern w:val="44"/>
          <w:sz w:val="28"/>
          <w:szCs w:val="44"/>
          <w:highlight w:val="none"/>
          <w:lang w:val="en-US" w:eastAsia="zh-CN" w:bidi="ar-SA"/>
        </w:rPr>
        <w:t>《关于做好2025年中小企业数字化转型城市试点工作的通知》</w:t>
      </w:r>
    </w:p>
    <w:bookmarkEnd w:id="11"/>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lang w:val="en-US" w:eastAsia="zh-CN"/>
        </w:rPr>
        <w:t>财政部办公厅、工业和信息化部办公厅发布通知，开展第三批中小企业数字化转型城市试点工作。此次将选择34个左右地级市及以上城市，已参与前两批的城市不得重复申报，试点实施期为两年。通知明确总体要求，要以习近平新时代中国特色社会主义思想为指导，推动企业创新。重点任务包括围绕企业需求突出实效、供需双向发力强化供给、鼓励探索创新、强化机制创新及加强经验总结。支持对象即上述选定城市。工作要求聚焦重点行业和企业，扩大复制推广。组织申报方面，各省（区、市）推荐试点城市，经济大省可最多推荐2个，其他地区最多1个，需在5月20日前报送相关资料，同时要加强资金管理，杜绝违规行为。</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发文日期：2025年5月9日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发文单位：财政部办公厅、工业和信息化部办公厅</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http://mp.weixin.qq.com/s?__biz=MzA3NDg1MjQxMA==&amp;mid=2651876115&amp;idx=1&amp;sn=857d99c89d67a4a799de384c69206f44&amp;scene=0</w:t>
      </w:r>
    </w:p>
    <w:p>
      <w:pPr>
        <w:bidi w:val="0"/>
        <w:spacing w:line="360" w:lineRule="auto"/>
        <w:rPr>
          <w:rFonts w:hint="default"/>
          <w:lang w:val="en-US" w:eastAsia="zh-CN"/>
        </w:rPr>
      </w:pPr>
    </w:p>
    <w:p>
      <w:pPr>
        <w:bidi w:val="0"/>
        <w:spacing w:line="360" w:lineRule="auto"/>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3" w:name="OLE_LINK21"/>
      <w:r>
        <w:rPr>
          <w:rFonts w:hint="default" w:cs="Times New Roman"/>
          <w:b/>
          <w:bCs/>
          <w:kern w:val="44"/>
          <w:sz w:val="28"/>
          <w:szCs w:val="44"/>
          <w:highlight w:val="none"/>
          <w:lang w:val="en-US" w:eastAsia="zh-CN" w:bidi="ar-SA"/>
        </w:rPr>
        <w:t>《关于设立服务消费与养老再贷款有关事宜的通知》</w:t>
      </w:r>
    </w:p>
    <w:bookmarkEnd w:id="12"/>
    <w:bookmarkEnd w:id="13"/>
    <w:p>
      <w:pPr>
        <w:bidi w:val="0"/>
        <w:spacing w:line="360" w:lineRule="auto"/>
        <w:ind w:firstLine="480" w:firstLineChars="200"/>
        <w:rPr>
          <w:rFonts w:hint="eastAsia"/>
          <w:lang w:val="en-US" w:eastAsia="zh-CN"/>
        </w:rPr>
      </w:pPr>
      <w:bookmarkStart w:id="14" w:name="OLE_LINK42"/>
      <w:r>
        <w:rPr>
          <w:rFonts w:hint="eastAsia"/>
          <w:lang w:val="en-US" w:eastAsia="zh-CN"/>
        </w:rPr>
        <w:t>中国人民银行官网发布消息，为贯彻落实中央经济工作会议和4月25日中央政治局会议精神，扩大服务消费供给、提振服务消费需求，持续做好金融“五篇大文章”，5月9日印发《关于设立服务消费与养老再贷款有关事宜的通知》，设立服务消费与养老再贷款。该再贷款额度5000亿元，年利率1.5%，期限1年，可展期2次，最长使用期限不超3年。发放对象包括21家全国性金融机构和5家属于系统重要性金融机构的城市商业银行，政策执行至2027年末。26家金融机构自主决策是否放贷及放贷条件，符合政策支持领域的贷款，可按本金100%按季申请再贷款，人行加强事后核查和监管。</w:t>
      </w:r>
    </w:p>
    <w:bookmarkEnd w:id="1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5" w:name="OLE_LINK6"/>
    </w:p>
    <w:bookmarkEnd w:id="1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发文单位:中国人民银行</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color w:val="auto"/>
          <w:spacing w:val="7"/>
          <w:kern w:val="0"/>
          <w:sz w:val="15"/>
          <w:szCs w:val="15"/>
          <w:u w:val="none"/>
          <w:lang w:val="en-US" w:eastAsia="zh-CN" w:bidi="ar"/>
        </w:rPr>
        <w:t>http://mp.weixin.qq.com/s?__biz=MjM5NzQ5MTkyMA==&amp;mid=2658114152&amp;idx=1&amp;sn=2339a63e9c0e07a17a3e413f828a0f1e&amp;scene=0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《中小学人工智能通识教育指南（2025年版）》和《中小学生成式人工智能使用指南（2025年版）》</w:t>
      </w:r>
    </w:p>
    <w:p>
      <w:pPr>
        <w:bidi w:val="0"/>
        <w:spacing w:line="360" w:lineRule="auto"/>
        <w:ind w:firstLine="480" w:firstLineChars="200"/>
        <w:rPr>
          <w:rFonts w:hint="eastAsia"/>
          <w:lang w:val="en-US" w:eastAsia="zh-CN"/>
        </w:rPr>
      </w:pPr>
      <w:r>
        <w:rPr>
          <w:rFonts w:hint="eastAsia"/>
          <w:lang w:val="en-US" w:eastAsia="zh-CN"/>
        </w:rPr>
        <w:t>近日，教育部基础教育教学指导委员会发布《中小学人工智能通识教育指南（2025年版）》和《中小学生成式人工智能使用指南（2025年版）》。这两项指南是推进人工智能全学段教育、培养创新人才的重要举措，为全球教育领域应对技术变革贡献中国方案。《中小学人工智能通识教育指南（2025年版）》构建以素养培育为核心的教育体系，按小学、初中、高中不同阶段设计课程，通过联动机制推动教育全域覆盖。《中小学生成式人工智能使用指南（2025年版）》秉持“应用为王、治理为基”理念，明确使用规范，多方协同确保技术合理应用。两项指南落地实施，将提升学生人工智能素养，推动教育教学模式创新，构建人工智能教育新生态，为培养创新人才奠定基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发文单位：教育部基础教育教学指导委员会</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http://mp.weixin.qq.com/s?__biz=MjM5OTU5MzcyMg==&amp;mid=2653721037&amp;idx=1&amp;sn=6244cf8cac3c0275a19eb42134164657&amp;scene=0</w:t>
      </w:r>
    </w:p>
    <w:p>
      <w:pPr>
        <w:bidi w:val="0"/>
        <w:spacing w:line="360" w:lineRule="auto"/>
        <w:rPr>
          <w:rFonts w:hint="eastAsia"/>
          <w:lang w:val="en-US" w:eastAsia="zh-CN"/>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《2025年数字乡村发展工作要点》</w:t>
      </w:r>
    </w:p>
    <w:p>
      <w:pPr>
        <w:bidi w:val="0"/>
        <w:spacing w:line="360" w:lineRule="auto"/>
        <w:ind w:firstLine="480" w:firstLineChars="200"/>
        <w:rPr>
          <w:rFonts w:hint="eastAsia"/>
          <w:lang w:val="en-US" w:eastAsia="zh-CN"/>
        </w:rPr>
      </w:pPr>
      <w:r>
        <w:rPr>
          <w:rFonts w:hint="eastAsia"/>
          <w:lang w:val="en-US" w:eastAsia="zh-CN"/>
        </w:rPr>
        <w:t>近日，中央网信办、农业农村部、国家发展改革委、工业和信息化部联合印发《2025年数字乡村发展工作要点》。《工作要点》要求深入贯彻相关精神与部署，实施《数字乡村发展战略纲要》，运用“千万工程”经验，发挥信息化驱动引领作用，推动农业、农村、农民增收，为网络强国和乡村振兴提供支撑。明确到2025年底，数字乡村“十四五”收官，数字技术在保障粮食安全和防返贫中作用更显著，多项指标提升，缩小城乡差距。《工作要点》部署9个方面26项重点任务，涵盖夯实基础、支撑底线、发展智慧农业、壮大新业态、繁荣文化、提升治理、深化服务、建设美丽乡村、统筹建设等方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发文单位：中央网信办、农业农村部、国家发展改革委、工业和信息化部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http://mp.weixin.qq.com/s?__biz=MzAwMjU0MjIyNw==&amp;mid=2651508733&amp;idx=1&amp;sn=da516b51d03bd8d8f8a24d20dd3a7d7a&amp;scene=0</w:t>
      </w:r>
    </w:p>
    <w:p>
      <w:pPr>
        <w:keepNext w:val="0"/>
        <w:keepLines w:val="0"/>
        <w:widowControl/>
        <w:numPr>
          <w:ilvl w:val="0"/>
          <w:numId w:val="0"/>
        </w:numPr>
        <w:suppressLineNumbers w:val="0"/>
        <w:snapToGrid w:val="0"/>
        <w:spacing w:line="360" w:lineRule="auto"/>
        <w:jc w:val="left"/>
        <w:rPr>
          <w:rFonts w:hint="eastAsia"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《通信建设工程质量提升和安全生产行动方案（2025—2027年）》</w:t>
      </w:r>
    </w:p>
    <w:p>
      <w:pPr>
        <w:bidi w:val="0"/>
        <w:spacing w:line="360" w:lineRule="auto"/>
        <w:ind w:firstLine="480" w:firstLineChars="200"/>
        <w:rPr>
          <w:rFonts w:hint="eastAsia"/>
          <w:lang w:val="en-US" w:eastAsia="zh-CN"/>
        </w:rPr>
      </w:pPr>
      <w:r>
        <w:rPr>
          <w:rFonts w:hint="eastAsia"/>
          <w:lang w:val="en-US" w:eastAsia="zh-CN"/>
        </w:rPr>
        <w:t>近日，工业和信息化部印发《通信建设工程质量提升和安全生产行动方案（2025—2027年）》，旨在夯实通信建设工程安全生产基础，提升工程质量。《行动方案》坚持系统谋划、依法合规、问题导向、协同推进原则，从6方面提出16项任务。完善制度体系，包括优化行业制度设计、强化企业制度建设；提升工程设计建造质量，如提高容灾抗灾水平、加强施工过程和材料设备质量管理；夯实安全生产管理基础，开展隐患排查、加强现场安全管理；加快工程建设标准供给，制修订标准、优化管理机制；提高工程管理数字化水平，强化数字技术应用、推进档案数字化、抓好平台建设；优化发展环境，提高培训供给、维护采购环境、规范造价管理、推动信用体系建设。通过三年努力，完善制度标准体系，压实企业责任，提高管理和从业人员能力，优化发展环境和监管水平。</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http://mp.weixin.qq.com/s?__biz=MjM5OTUwMTc2OA==&amp;mid=2650930052&amp;idx=1&amp;sn=d0cb2940ea8d15fac1dca65c5dea2f15&amp;scene=0</w:t>
      </w:r>
    </w:p>
    <w:p>
      <w:pPr>
        <w:keepNext w:val="0"/>
        <w:keepLines w:val="0"/>
        <w:widowControl/>
        <w:numPr>
          <w:ilvl w:val="0"/>
          <w:numId w:val="0"/>
        </w:numPr>
        <w:suppressLineNumbers w:val="0"/>
        <w:spacing w:line="360" w:lineRule="auto"/>
        <w:jc w:val="left"/>
        <w:rPr>
          <w:rFonts w:hint="eastAsia"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《加快构建科技金融体制，有力支撑高水平科技自立自强的若干政策举措》</w:t>
      </w:r>
    </w:p>
    <w:p>
      <w:pPr>
        <w:bidi w:val="0"/>
        <w:spacing w:line="360" w:lineRule="auto"/>
        <w:ind w:firstLine="480" w:firstLineChars="200"/>
        <w:rPr>
          <w:rFonts w:hint="eastAsia"/>
          <w:lang w:val="en-US" w:eastAsia="zh-CN"/>
        </w:rPr>
      </w:pPr>
      <w:r>
        <w:rPr>
          <w:rFonts w:hint="eastAsia"/>
          <w:lang w:val="en-US" w:eastAsia="zh-CN"/>
        </w:rPr>
        <w:t>为深入贯彻党的二十大、二十届三中全会精神，落实全国科技大会、中央金融工作会议部署，科技部等七部门联合制定《加快构建科技金融体制 有力支撑高水平科技自立自强的若干政策举措》。举措包括总体要求，即统筹推进多种政策工具，为科技创新提供全生命周期金融服务。具体政策涵盖多方面：发挥创业投资作用，如设立引导基金、拓宽资金来源等；发挥货币信贷作用，用好结构性货币政策工具，建立专项机制；发挥资本市场枢纽作用，增强对科技企业支持，健全债券市场服务机制；发挥科技保险作用，推动产品和服务创新；加强财政政策引导；央地联动，推广创新积分制、推动区域创新实践；打造开放创新生态，推动开放合作，健全统筹推进机制。</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发文单位：科技部、中国人民银行、金融监管总局、中国证监会、国家发展改革委、财政部、国务院国资委</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http://mp.weixin.qq.com/s?__biz=MzAxMzEzNDAxOQ==&amp;mid=2649957481&amp;idx=1&amp;sn=4374679389d04afd24fbe82e119d3586&amp;scene=0</w:t>
      </w:r>
    </w:p>
    <w:p>
      <w:pPr>
        <w:keepNext w:val="0"/>
        <w:keepLines w:val="0"/>
        <w:widowControl/>
        <w:numPr>
          <w:ilvl w:val="0"/>
          <w:numId w:val="0"/>
        </w:numPr>
        <w:suppressLineNumbers w:val="0"/>
        <w:spacing w:line="360" w:lineRule="auto"/>
        <w:jc w:val="left"/>
        <w:rPr>
          <w:rFonts w:hint="eastAsia" w:cs="Times New Roman"/>
          <w:b/>
          <w:bCs/>
          <w:kern w:val="44"/>
          <w:sz w:val="28"/>
          <w:szCs w:val="44"/>
          <w:highlight w:val="none"/>
          <w:lang w:val="en-US" w:eastAsia="zh-CN" w:bidi="ar-SA"/>
        </w:rPr>
      </w:pPr>
    </w:p>
    <w:bookmarkEnd w:id="7"/>
    <w:bookmarkEnd w:id="8"/>
    <w:bookmarkEnd w:id="9"/>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16" w:name="OLE_LINK14"/>
      <w:r>
        <w:rPr>
          <w:rFonts w:hint="default" w:ascii="Times New Roman" w:hAnsi="Times New Roman" w:eastAsia="宋体" w:cs="Times New Roman"/>
          <w:b/>
          <w:bCs/>
          <w:kern w:val="44"/>
          <w:sz w:val="28"/>
          <w:szCs w:val="44"/>
          <w:lang w:val="en-US" w:eastAsia="zh-CN" w:bidi="ar-SA"/>
        </w:rPr>
        <w:t>《批复同意武汉市东西湖区、汉南区、蔡甸区、新洲区、黄陂区、江夏区六个区级国土空间总体规划》</w:t>
      </w:r>
    </w:p>
    <w:bookmarkEnd w:id="16"/>
    <w:p>
      <w:pPr>
        <w:bidi w:val="0"/>
        <w:spacing w:line="360" w:lineRule="auto"/>
        <w:ind w:firstLine="480" w:firstLineChars="200"/>
        <w:rPr>
          <w:rFonts w:hint="eastAsia"/>
          <w:lang w:val="en-US" w:eastAsia="zh-CN"/>
        </w:rPr>
      </w:pPr>
      <w:r>
        <w:rPr>
          <w:rFonts w:hint="eastAsia"/>
          <w:lang w:val="en-US" w:eastAsia="zh-CN"/>
        </w:rPr>
        <w:t>日前，湖北省人民政府正式批复同意武汉市东西湖区、汉南区、蔡甸区、新洲区、黄陂区、江夏区六个区级国土空间总体规划。批复明确了各区发展定位，对2035年的耕地保有量等重要指标和实施工作作出具体要求，全面锚固高质量发展的空间基础。其中，东西湖区要建成产业创新基地和商贸物流枢纽；汉南区建成先进制造业基地和现代农业示范区；蔡甸区建成先进制造业集聚区和可持续发展国际合作示范区；江夏区建成科技创新策源和转化高地以及现代制造业基地；黄陂区建成商贸物流和现代制造业基地与国家全域旅游示范区；新洲区建成港口型国家物流枢纽核心区和新兴产业基地。《区级规划》是对市级国土空间总体规划的细化落实，是编制详细规划及各类建设项目用地报批的重要依据。</w:t>
      </w:r>
    </w:p>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color w:val="auto"/>
          <w:spacing w:val="7"/>
          <w:kern w:val="0"/>
          <w:sz w:val="15"/>
          <w:szCs w:val="15"/>
          <w:u w:val="none"/>
          <w:lang w:val="en-US" w:eastAsia="zh-CN" w:bidi="ar"/>
        </w:rPr>
        <w:t>http://mp.weixin.qq.com/s?__biz=MzA5MzY2MDkzOQ==&amp;mid=2651487982&amp;idx=1&amp;sn=40f0e15e08d61093a4fdbf62597f3ecd&amp;scene=0</w:t>
      </w:r>
      <w:bookmarkStart w:id="21" w:name="_GoBack"/>
      <w:bookmarkEnd w:id="21"/>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17" w:name="_Toc198285283"/>
      <w:r>
        <w:rPr>
          <w:rFonts w:hint="default" w:ascii="Times New Roman" w:hAnsi="Times New Roman" w:eastAsia="宋体" w:cs="Times New Roman"/>
          <w:b/>
          <w:bCs/>
          <w:kern w:val="44"/>
          <w:sz w:val="28"/>
          <w:szCs w:val="44"/>
          <w:lang w:val="en-US" w:eastAsia="zh-CN" w:bidi="ar-SA"/>
        </w:rPr>
        <w:t>《湖北省提振消费专项行动实施方案》</w:t>
      </w:r>
      <w:bookmarkEnd w:id="17"/>
      <w:r>
        <w:rPr>
          <w:rFonts w:hint="eastAsia" w:ascii="Times New Roman" w:hAnsi="Times New Roman" w:eastAsia="宋体" w:cs="Times New Roman"/>
          <w:b/>
          <w:bCs/>
          <w:kern w:val="44"/>
          <w:sz w:val="28"/>
          <w:szCs w:val="44"/>
          <w:lang w:val="en-US" w:eastAsia="zh-CN" w:bidi="ar-SA"/>
        </w:rPr>
        <w:t xml:space="preserve"> </w:t>
      </w:r>
    </w:p>
    <w:p/>
    <w:p>
      <w:pPr>
        <w:bidi w:val="0"/>
        <w:spacing w:line="360" w:lineRule="auto"/>
        <w:ind w:firstLine="480" w:firstLineChars="200"/>
        <w:rPr>
          <w:rFonts w:hint="eastAsia"/>
          <w:lang w:val="en-US" w:eastAsia="zh-CN"/>
        </w:rPr>
      </w:pPr>
      <w:r>
        <w:rPr>
          <w:rFonts w:hint="eastAsia"/>
          <w:lang w:val="en-US" w:eastAsia="zh-CN"/>
        </w:rPr>
        <w:t>5月9日，《湖北省提振消费专项行动实施方案》正式印发。方案旨在贯彻落实相关精神，推动湖北发展，强化消费支撑力。方案包括七大行动：城乡居民增收行动，从工资性、经营性、财产性收入着手提升居民收入；社会保障支撑行动，加大生育、教育、医疗、养老等保障力度；消费体验提升行动，推动便民、县乡消费升级，打造新型消费场景，提升文旅体娱消费；商品消费提质行动，加力“以旧换新”，稳定住房、汽车消费，推广国货；服务消费升级行动，发展首发、银发、冰雪、夜间经济，扩大入境消费，扩大服务业开放；消费环境改善行动，规范秩序、保护权益、营造环境、投入资金；限制措施清理优化行动，保障休息休假，减少消费限制，优化营商环境，加强政策协同。各地各部门需协同推动政策落地。</w:t>
      </w:r>
    </w:p>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发文单位：省人民政府办公厅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"http://mp.weixin.qq.com/s?__biz=MzA5MDAwMDUwOA==&amp;mid=2654352797&amp;idx=1&amp;sn=42e8d4f1946ee7bf235de5a3014a5de6&amp;scene=0#wechat_redirect"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http://mp.weixin.qq.com/s?__biz=MzA5MDAwMDUwOA==&amp;mid=2654352797&amp;idx=1&amp;sn=42e8d4f1946ee7bf235de5a3014a5de6&amp;scene=0</w:t>
      </w:r>
      <w:r>
        <w:rPr>
          <w:rFonts w:hint="eastAsia" w:ascii="Microsoft YaHei UI" w:hAnsi="Microsoft YaHei UI" w:eastAsia="Microsoft YaHei UI" w:cs="Microsoft YaHei UI"/>
          <w:spacing w:val="7"/>
          <w:kern w:val="0"/>
          <w:sz w:val="15"/>
          <w:szCs w:val="15"/>
          <w:lang w:val="en-US" w:eastAsia="zh-CN" w:bidi="ar"/>
        </w:rPr>
        <w:fldChar w:fldCharType="end"/>
      </w:r>
    </w:p>
    <w:p>
      <w:pPr>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ascii="Times New Roman" w:hAnsi="Times New Roman" w:eastAsia="宋体" w:cs="Times New Roman"/>
          <w:b/>
          <w:bCs/>
          <w:kern w:val="44"/>
          <w:sz w:val="28"/>
          <w:szCs w:val="44"/>
          <w:lang w:val="en-US" w:eastAsia="zh-CN" w:bidi="ar-SA"/>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bookmarkStart w:id="18" w:name="OLE_LINK16"/>
    </w:p>
    <w:p>
      <w:pPr>
        <w:keepNext w:val="0"/>
        <w:keepLines w:val="0"/>
        <w:widowControl/>
        <w:numPr>
          <w:ilvl w:val="0"/>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bookmarkEnd w:id="18"/>
    <w:p>
      <w:pPr>
        <w:keepNext w:val="0"/>
        <w:keepLines w:val="0"/>
        <w:widowControl/>
        <w:numPr>
          <w:ilvl w:val="0"/>
          <w:numId w:val="6"/>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19" w:name="_Toc198285285"/>
      <w:r>
        <w:rPr>
          <w:rFonts w:hint="default" w:ascii="Times New Roman" w:hAnsi="Times New Roman" w:eastAsia="宋体" w:cs="Times New Roman"/>
          <w:b/>
          <w:bCs/>
          <w:kern w:val="44"/>
          <w:sz w:val="28"/>
          <w:szCs w:val="44"/>
          <w:lang w:val="en-US" w:eastAsia="zh-CN" w:bidi="ar-SA"/>
        </w:rPr>
        <w:t>2025世界数字教育大会</w:t>
      </w:r>
      <w:r>
        <w:rPr>
          <w:rFonts w:hint="eastAsia" w:ascii="Times New Roman" w:hAnsi="Times New Roman" w:eastAsia="宋体" w:cs="Times New Roman"/>
          <w:b/>
          <w:bCs/>
          <w:kern w:val="44"/>
          <w:sz w:val="28"/>
          <w:szCs w:val="44"/>
          <w:lang w:val="en-US" w:eastAsia="zh-CN" w:bidi="ar-SA"/>
        </w:rPr>
        <w:t>在湖北武汉举行</w:t>
      </w:r>
      <w:bookmarkEnd w:id="19"/>
    </w:p>
    <w:p/>
    <w:p>
      <w:pPr>
        <w:bidi w:val="0"/>
        <w:spacing w:line="360" w:lineRule="auto"/>
        <w:ind w:firstLine="480" w:firstLineChars="200"/>
        <w:rPr>
          <w:rFonts w:hint="eastAsia"/>
          <w:lang w:val="en-US" w:eastAsia="zh-CN"/>
        </w:rPr>
      </w:pPr>
      <w:r>
        <w:rPr>
          <w:rFonts w:hint="eastAsia"/>
          <w:lang w:val="en-US" w:eastAsia="zh-CN"/>
        </w:rPr>
        <w:t>2025世界数字教育大会于5月14日至16日在湖北武汉举办，大会主题为“教育发展与变革：智能时代”，主要由开幕式、全体会议、平行会议和闭幕式等环节组成。本次大会将发布五项具有里程碑意义的教育数字化成果，包括《中国智慧教育白皮书》、《关于构建国际数字教育标准体系框架的倡议》等。大会还将举行10场平行会议，主题涵盖多个教育领域，并于5月14日至17日举办教育数字化成果展览。</w:t>
      </w:r>
    </w:p>
    <w:p>
      <w:pPr>
        <w:bidi w:val="0"/>
        <w:spacing w:line="360" w:lineRule="auto"/>
        <w:ind w:firstLine="480" w:firstLineChars="200"/>
        <w:rPr>
          <w:rFonts w:hint="eastAsia"/>
          <w:lang w:val="en-US" w:eastAsia="zh-CN"/>
        </w:rPr>
      </w:pPr>
      <w:r>
        <w:rPr>
          <w:rFonts w:hint="eastAsia"/>
          <w:lang w:val="en-US" w:eastAsia="zh-CN"/>
        </w:rPr>
        <w:t>教育部自2022年启动国家教育数字化战略行动，建成国家智慧教育平台，同时深化国际交流合作、打造公共产品。世界数字教育联盟也将在大会期间举办全体大会及理事会第一次会议。湖北省积极推进教育数字化工作，目前大会筹备工作基本就绪。</w:t>
      </w:r>
    </w:p>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发文单位：湖北省教育厅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http://mp.weixin.qq.com/s?__biz=MzIwMDQwNTM4OA==&amp;mid=2650461785&amp;idx=1&amp;sn=6a7a92be1c57fde9519bebfbc49c50f8&amp;scene=0</w:t>
      </w:r>
    </w:p>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0" w:name="_Toc198285286"/>
      <w:r>
        <w:rPr>
          <w:rFonts w:hint="default" w:ascii="Times New Roman" w:hAnsi="Times New Roman" w:eastAsia="宋体" w:cs="Times New Roman"/>
          <w:b/>
          <w:bCs/>
          <w:kern w:val="44"/>
          <w:sz w:val="28"/>
          <w:szCs w:val="44"/>
          <w:lang w:val="en-US" w:eastAsia="zh-CN" w:bidi="ar-SA"/>
        </w:rPr>
        <w:t>宜昌入选第二批制造业新型技术改造城市试点</w:t>
      </w:r>
      <w:bookmarkEnd w:id="20"/>
    </w:p>
    <w:p/>
    <w:p>
      <w:pPr>
        <w:bidi w:val="0"/>
        <w:spacing w:line="360" w:lineRule="auto"/>
        <w:ind w:firstLine="480" w:firstLineChars="200"/>
        <w:rPr>
          <w:rFonts w:hint="eastAsia"/>
          <w:lang w:val="en-US" w:eastAsia="zh-CN"/>
        </w:rPr>
      </w:pPr>
      <w:r>
        <w:rPr>
          <w:rFonts w:hint="eastAsia"/>
          <w:lang w:val="en-US" w:eastAsia="zh-CN"/>
        </w:rPr>
        <w:t>近日，工业和信息化部、财政部公布第二批制造业新型技术改造城市试点名单，全国26个城市入选，宜昌位列其中，成为湖北继武汉之后第二个获此国家级试点的城市。该试点工作于2024年启动，通过“点”“线”“面”结合改造，即“点”上开展数字化智能化改造示范、“线”上推进产业链供应链协同改造、“面”上实施产业集群及科技产业园区整体数字化升级，以加快数字技术、绿色技术以及创新产品推广应用，推动制造业高端化、智能化、绿色化发展。中央财政将对入选城市给予不超过3亿元奖补资金，助力试点城市打造重大示范项目，为培育新质生产力、推进新型工业化提供支撑。</w:t>
      </w:r>
    </w:p>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发文单位：工业和信息化部、财政部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http://mp.weixin.qq.com/s?__biz=MzkzMDM5OTAyMA==&amp;mid=2247589926&amp;idx=1&amp;sn=2fda85a94ffd89b23608ef8e465dd8ea&amp;scene=0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087F8C65"/>
    <w:multiLevelType w:val="singleLevel"/>
    <w:tmpl w:val="087F8C65"/>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24CFF9E"/>
    <w:multiLevelType w:val="singleLevel"/>
    <w:tmpl w:val="224CFF9E"/>
    <w:lvl w:ilvl="0" w:tentative="0">
      <w:start w:val="1"/>
      <w:numFmt w:val="chineseCounting"/>
      <w:suff w:val="nothing"/>
      <w:lvlText w:val="%1、"/>
      <w:lvlJc w:val="left"/>
      <w:rPr>
        <w:rFonts w:hint="eastAsia"/>
      </w:rPr>
    </w:lvl>
  </w:abstractNum>
  <w:abstractNum w:abstractNumId="4">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96A4D"/>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6266E"/>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96934"/>
    <w:rsid w:val="016F430C"/>
    <w:rsid w:val="01A26771"/>
    <w:rsid w:val="01BC1E9D"/>
    <w:rsid w:val="01CD2EF8"/>
    <w:rsid w:val="01DD669F"/>
    <w:rsid w:val="023449E9"/>
    <w:rsid w:val="023E1794"/>
    <w:rsid w:val="02414079"/>
    <w:rsid w:val="02580567"/>
    <w:rsid w:val="02582765"/>
    <w:rsid w:val="02623074"/>
    <w:rsid w:val="02B81FC4"/>
    <w:rsid w:val="02F16BE2"/>
    <w:rsid w:val="03506721"/>
    <w:rsid w:val="037C7044"/>
    <w:rsid w:val="039C5442"/>
    <w:rsid w:val="03D2404C"/>
    <w:rsid w:val="045C2652"/>
    <w:rsid w:val="04765C43"/>
    <w:rsid w:val="04BA20CD"/>
    <w:rsid w:val="050F64AF"/>
    <w:rsid w:val="053063AB"/>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8BB45BC"/>
    <w:rsid w:val="08FD3F05"/>
    <w:rsid w:val="09261B0E"/>
    <w:rsid w:val="09405381"/>
    <w:rsid w:val="09A62F22"/>
    <w:rsid w:val="09C32C91"/>
    <w:rsid w:val="09D45935"/>
    <w:rsid w:val="0A1E72E5"/>
    <w:rsid w:val="0A434350"/>
    <w:rsid w:val="0AC3612D"/>
    <w:rsid w:val="0AD02B39"/>
    <w:rsid w:val="0B4267D9"/>
    <w:rsid w:val="0B7520E0"/>
    <w:rsid w:val="0B922B80"/>
    <w:rsid w:val="0BA062C9"/>
    <w:rsid w:val="0BAE737B"/>
    <w:rsid w:val="0BDC6B84"/>
    <w:rsid w:val="0BE50054"/>
    <w:rsid w:val="0BF5655F"/>
    <w:rsid w:val="0C07544A"/>
    <w:rsid w:val="0C4F07D9"/>
    <w:rsid w:val="0C817312"/>
    <w:rsid w:val="0C8D69A8"/>
    <w:rsid w:val="0CA37841"/>
    <w:rsid w:val="0CAE4D2A"/>
    <w:rsid w:val="0CC37C9B"/>
    <w:rsid w:val="0CF839A0"/>
    <w:rsid w:val="0D466B4A"/>
    <w:rsid w:val="0D517404"/>
    <w:rsid w:val="0D7D63DD"/>
    <w:rsid w:val="0D884641"/>
    <w:rsid w:val="0DA925F8"/>
    <w:rsid w:val="0DB20D09"/>
    <w:rsid w:val="0DCC7F08"/>
    <w:rsid w:val="0DEE6F81"/>
    <w:rsid w:val="0E34475A"/>
    <w:rsid w:val="0E6C1FC1"/>
    <w:rsid w:val="0E83792A"/>
    <w:rsid w:val="0ED95576"/>
    <w:rsid w:val="0F3E7C84"/>
    <w:rsid w:val="0F4870A8"/>
    <w:rsid w:val="0F541C19"/>
    <w:rsid w:val="0F981F55"/>
    <w:rsid w:val="0FB731AC"/>
    <w:rsid w:val="0FBC07B5"/>
    <w:rsid w:val="0FCB3577"/>
    <w:rsid w:val="0FE954A1"/>
    <w:rsid w:val="10203673"/>
    <w:rsid w:val="10297193"/>
    <w:rsid w:val="10440482"/>
    <w:rsid w:val="10874A3C"/>
    <w:rsid w:val="108F375B"/>
    <w:rsid w:val="10FC2F79"/>
    <w:rsid w:val="10FF77C5"/>
    <w:rsid w:val="11091D5E"/>
    <w:rsid w:val="111057C3"/>
    <w:rsid w:val="11111221"/>
    <w:rsid w:val="11245848"/>
    <w:rsid w:val="116826AA"/>
    <w:rsid w:val="11771249"/>
    <w:rsid w:val="11823249"/>
    <w:rsid w:val="118401F0"/>
    <w:rsid w:val="119F0BF7"/>
    <w:rsid w:val="11AC6546"/>
    <w:rsid w:val="11DA1989"/>
    <w:rsid w:val="11F969CD"/>
    <w:rsid w:val="120B217A"/>
    <w:rsid w:val="12134735"/>
    <w:rsid w:val="12331C5D"/>
    <w:rsid w:val="123B7AAA"/>
    <w:rsid w:val="125B5296"/>
    <w:rsid w:val="125F2DFF"/>
    <w:rsid w:val="12727028"/>
    <w:rsid w:val="127E473D"/>
    <w:rsid w:val="12C12EBE"/>
    <w:rsid w:val="12C26CEB"/>
    <w:rsid w:val="12D37F5C"/>
    <w:rsid w:val="136523E1"/>
    <w:rsid w:val="136E0C91"/>
    <w:rsid w:val="13874EC8"/>
    <w:rsid w:val="13D54396"/>
    <w:rsid w:val="141A7D6B"/>
    <w:rsid w:val="141F196B"/>
    <w:rsid w:val="14237BD3"/>
    <w:rsid w:val="142C6563"/>
    <w:rsid w:val="144349CA"/>
    <w:rsid w:val="14584F42"/>
    <w:rsid w:val="147E14B7"/>
    <w:rsid w:val="14C64FA3"/>
    <w:rsid w:val="1507322E"/>
    <w:rsid w:val="154F3C02"/>
    <w:rsid w:val="156F4137"/>
    <w:rsid w:val="159852FC"/>
    <w:rsid w:val="15B11221"/>
    <w:rsid w:val="15B526AD"/>
    <w:rsid w:val="15D500B0"/>
    <w:rsid w:val="161277D9"/>
    <w:rsid w:val="161A531E"/>
    <w:rsid w:val="169311EC"/>
    <w:rsid w:val="16A23F8A"/>
    <w:rsid w:val="16FC4447"/>
    <w:rsid w:val="17142067"/>
    <w:rsid w:val="1741681F"/>
    <w:rsid w:val="175C1163"/>
    <w:rsid w:val="175C434E"/>
    <w:rsid w:val="17680B0C"/>
    <w:rsid w:val="177B5538"/>
    <w:rsid w:val="17B83DC4"/>
    <w:rsid w:val="17C676BC"/>
    <w:rsid w:val="17C8624A"/>
    <w:rsid w:val="17FD7FE9"/>
    <w:rsid w:val="18887BCD"/>
    <w:rsid w:val="190E24E6"/>
    <w:rsid w:val="1918096B"/>
    <w:rsid w:val="1941702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E200A5"/>
    <w:rsid w:val="1AF417A3"/>
    <w:rsid w:val="1B59234B"/>
    <w:rsid w:val="1B7538D9"/>
    <w:rsid w:val="1B7D415C"/>
    <w:rsid w:val="1BB618CD"/>
    <w:rsid w:val="1BF12377"/>
    <w:rsid w:val="1C13269C"/>
    <w:rsid w:val="1C702A36"/>
    <w:rsid w:val="1C8F608E"/>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AB0C7A"/>
    <w:rsid w:val="20BC2914"/>
    <w:rsid w:val="20E51F26"/>
    <w:rsid w:val="2103535F"/>
    <w:rsid w:val="218E754B"/>
    <w:rsid w:val="21A9142B"/>
    <w:rsid w:val="21B930E6"/>
    <w:rsid w:val="21BA18CA"/>
    <w:rsid w:val="21E6176B"/>
    <w:rsid w:val="21F73395"/>
    <w:rsid w:val="21F827F4"/>
    <w:rsid w:val="22286F53"/>
    <w:rsid w:val="22322E8D"/>
    <w:rsid w:val="22514A82"/>
    <w:rsid w:val="22803FAB"/>
    <w:rsid w:val="22D1559A"/>
    <w:rsid w:val="231A50A3"/>
    <w:rsid w:val="23257C10"/>
    <w:rsid w:val="238C2419"/>
    <w:rsid w:val="23C0562A"/>
    <w:rsid w:val="23FE699A"/>
    <w:rsid w:val="24082A8D"/>
    <w:rsid w:val="24306535"/>
    <w:rsid w:val="243A4E0B"/>
    <w:rsid w:val="244D480A"/>
    <w:rsid w:val="24AC6718"/>
    <w:rsid w:val="24E25E51"/>
    <w:rsid w:val="25123F51"/>
    <w:rsid w:val="25306246"/>
    <w:rsid w:val="254629C4"/>
    <w:rsid w:val="258B55B3"/>
    <w:rsid w:val="258F5A9A"/>
    <w:rsid w:val="25CE1DB0"/>
    <w:rsid w:val="25DB28FA"/>
    <w:rsid w:val="25FE1963"/>
    <w:rsid w:val="266876DA"/>
    <w:rsid w:val="26A81ED5"/>
    <w:rsid w:val="26C43029"/>
    <w:rsid w:val="26EE1123"/>
    <w:rsid w:val="26FC3FBD"/>
    <w:rsid w:val="27010B22"/>
    <w:rsid w:val="270241FC"/>
    <w:rsid w:val="2776664F"/>
    <w:rsid w:val="277A5544"/>
    <w:rsid w:val="28356A45"/>
    <w:rsid w:val="284571E0"/>
    <w:rsid w:val="284B3419"/>
    <w:rsid w:val="284B3726"/>
    <w:rsid w:val="287023C4"/>
    <w:rsid w:val="28A46AA7"/>
    <w:rsid w:val="290A5904"/>
    <w:rsid w:val="290D23FE"/>
    <w:rsid w:val="291C0481"/>
    <w:rsid w:val="29246C8C"/>
    <w:rsid w:val="29355D18"/>
    <w:rsid w:val="294F0DD5"/>
    <w:rsid w:val="295F6920"/>
    <w:rsid w:val="296B1032"/>
    <w:rsid w:val="2994483F"/>
    <w:rsid w:val="29C66496"/>
    <w:rsid w:val="29CD2F7F"/>
    <w:rsid w:val="2A0E0437"/>
    <w:rsid w:val="2A1507AC"/>
    <w:rsid w:val="2A1B05EA"/>
    <w:rsid w:val="2A2F3817"/>
    <w:rsid w:val="2A5D4014"/>
    <w:rsid w:val="2A6508F8"/>
    <w:rsid w:val="2A67601F"/>
    <w:rsid w:val="2A86518A"/>
    <w:rsid w:val="2AA91689"/>
    <w:rsid w:val="2B1442F8"/>
    <w:rsid w:val="2B3163E8"/>
    <w:rsid w:val="2B8A4E7D"/>
    <w:rsid w:val="2B9916DC"/>
    <w:rsid w:val="2BB87451"/>
    <w:rsid w:val="2BC532A9"/>
    <w:rsid w:val="2BCF3A5F"/>
    <w:rsid w:val="2BDC1404"/>
    <w:rsid w:val="2BE713BB"/>
    <w:rsid w:val="2C200360"/>
    <w:rsid w:val="2C3B46EC"/>
    <w:rsid w:val="2C5B292D"/>
    <w:rsid w:val="2C8A4A20"/>
    <w:rsid w:val="2CCB191D"/>
    <w:rsid w:val="2D0120D0"/>
    <w:rsid w:val="2D0956BF"/>
    <w:rsid w:val="2D6708C5"/>
    <w:rsid w:val="2D856BEC"/>
    <w:rsid w:val="2D990859"/>
    <w:rsid w:val="2DAD387D"/>
    <w:rsid w:val="2DC73D3E"/>
    <w:rsid w:val="2DE17B2F"/>
    <w:rsid w:val="2DE44242"/>
    <w:rsid w:val="2DE955A4"/>
    <w:rsid w:val="2E595191"/>
    <w:rsid w:val="2EB85034"/>
    <w:rsid w:val="2EEF7BE6"/>
    <w:rsid w:val="2F0A3A24"/>
    <w:rsid w:val="2F0D1AFD"/>
    <w:rsid w:val="2F10090E"/>
    <w:rsid w:val="2F36681B"/>
    <w:rsid w:val="2F3E7A4E"/>
    <w:rsid w:val="2F6E2446"/>
    <w:rsid w:val="2F75430C"/>
    <w:rsid w:val="300512D8"/>
    <w:rsid w:val="30656B3C"/>
    <w:rsid w:val="30C94292"/>
    <w:rsid w:val="310247BE"/>
    <w:rsid w:val="310835FF"/>
    <w:rsid w:val="312F1BE8"/>
    <w:rsid w:val="3146218A"/>
    <w:rsid w:val="315A11CA"/>
    <w:rsid w:val="317A00BB"/>
    <w:rsid w:val="318B0355"/>
    <w:rsid w:val="31A1082A"/>
    <w:rsid w:val="31AB4A33"/>
    <w:rsid w:val="32186458"/>
    <w:rsid w:val="32614B36"/>
    <w:rsid w:val="327B2123"/>
    <w:rsid w:val="329C4004"/>
    <w:rsid w:val="32CA1293"/>
    <w:rsid w:val="32E87499"/>
    <w:rsid w:val="331D1B33"/>
    <w:rsid w:val="33281481"/>
    <w:rsid w:val="334A1BC6"/>
    <w:rsid w:val="33595EFA"/>
    <w:rsid w:val="3363215A"/>
    <w:rsid w:val="33B2575C"/>
    <w:rsid w:val="34101BAC"/>
    <w:rsid w:val="34214901"/>
    <w:rsid w:val="342E49F7"/>
    <w:rsid w:val="34935BC5"/>
    <w:rsid w:val="3511729A"/>
    <w:rsid w:val="35725E7F"/>
    <w:rsid w:val="357A6A27"/>
    <w:rsid w:val="359A63E2"/>
    <w:rsid w:val="360B6DE2"/>
    <w:rsid w:val="3619453F"/>
    <w:rsid w:val="361E5CDB"/>
    <w:rsid w:val="362979CB"/>
    <w:rsid w:val="36705660"/>
    <w:rsid w:val="3687588A"/>
    <w:rsid w:val="36D42F37"/>
    <w:rsid w:val="36ED7BA0"/>
    <w:rsid w:val="37030542"/>
    <w:rsid w:val="37B87CFD"/>
    <w:rsid w:val="37C2539A"/>
    <w:rsid w:val="37CE370C"/>
    <w:rsid w:val="37E172EC"/>
    <w:rsid w:val="37E8395D"/>
    <w:rsid w:val="381948B8"/>
    <w:rsid w:val="38286CC9"/>
    <w:rsid w:val="386B1CA8"/>
    <w:rsid w:val="38802E42"/>
    <w:rsid w:val="38B764DA"/>
    <w:rsid w:val="38B90DAF"/>
    <w:rsid w:val="38D91F16"/>
    <w:rsid w:val="38F82975"/>
    <w:rsid w:val="3954386D"/>
    <w:rsid w:val="396E3064"/>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2968D4"/>
    <w:rsid w:val="3D2D6AC3"/>
    <w:rsid w:val="3D485319"/>
    <w:rsid w:val="3D4D7047"/>
    <w:rsid w:val="3D544BC2"/>
    <w:rsid w:val="3D694272"/>
    <w:rsid w:val="3D6E0485"/>
    <w:rsid w:val="3D8F0BB4"/>
    <w:rsid w:val="3DDD468F"/>
    <w:rsid w:val="3DF139AA"/>
    <w:rsid w:val="3DF3353C"/>
    <w:rsid w:val="3E410903"/>
    <w:rsid w:val="3E6A3919"/>
    <w:rsid w:val="3EA04765"/>
    <w:rsid w:val="3ECA64CC"/>
    <w:rsid w:val="3EF8593F"/>
    <w:rsid w:val="3F5274EE"/>
    <w:rsid w:val="3F605988"/>
    <w:rsid w:val="3F6B686A"/>
    <w:rsid w:val="3F852B09"/>
    <w:rsid w:val="400E49F6"/>
    <w:rsid w:val="401D5D3B"/>
    <w:rsid w:val="40387CC5"/>
    <w:rsid w:val="404605CF"/>
    <w:rsid w:val="40DE5DF9"/>
    <w:rsid w:val="42432277"/>
    <w:rsid w:val="42E10978"/>
    <w:rsid w:val="436E6911"/>
    <w:rsid w:val="43B26B9C"/>
    <w:rsid w:val="443C6B00"/>
    <w:rsid w:val="4444198E"/>
    <w:rsid w:val="44445A26"/>
    <w:rsid w:val="44660041"/>
    <w:rsid w:val="44703211"/>
    <w:rsid w:val="44A61752"/>
    <w:rsid w:val="44BC03D1"/>
    <w:rsid w:val="44F05DF6"/>
    <w:rsid w:val="44F720B3"/>
    <w:rsid w:val="450B5ED4"/>
    <w:rsid w:val="4525349D"/>
    <w:rsid w:val="45294080"/>
    <w:rsid w:val="456562D4"/>
    <w:rsid w:val="45B34E08"/>
    <w:rsid w:val="45C50129"/>
    <w:rsid w:val="45CA7211"/>
    <w:rsid w:val="45D07F1D"/>
    <w:rsid w:val="4623525F"/>
    <w:rsid w:val="46300235"/>
    <w:rsid w:val="46B40180"/>
    <w:rsid w:val="46B77214"/>
    <w:rsid w:val="46F174E0"/>
    <w:rsid w:val="47162FDB"/>
    <w:rsid w:val="472C4C55"/>
    <w:rsid w:val="473A22D0"/>
    <w:rsid w:val="478D1C10"/>
    <w:rsid w:val="47BD1E82"/>
    <w:rsid w:val="47DA53A4"/>
    <w:rsid w:val="47EB2161"/>
    <w:rsid w:val="48390A7E"/>
    <w:rsid w:val="487A37DC"/>
    <w:rsid w:val="488F1019"/>
    <w:rsid w:val="48953F29"/>
    <w:rsid w:val="48A20AB1"/>
    <w:rsid w:val="48AB71D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A7D23"/>
    <w:rsid w:val="4B4D32FF"/>
    <w:rsid w:val="4B4E2953"/>
    <w:rsid w:val="4B5936AA"/>
    <w:rsid w:val="4B857DCA"/>
    <w:rsid w:val="4B9F639D"/>
    <w:rsid w:val="4BCB5F67"/>
    <w:rsid w:val="4C124ADB"/>
    <w:rsid w:val="4C14267B"/>
    <w:rsid w:val="4C5366C3"/>
    <w:rsid w:val="4C9D333C"/>
    <w:rsid w:val="4CB30463"/>
    <w:rsid w:val="4CB41768"/>
    <w:rsid w:val="4CE04F75"/>
    <w:rsid w:val="4D0B6B70"/>
    <w:rsid w:val="4D341C91"/>
    <w:rsid w:val="4D6F3B86"/>
    <w:rsid w:val="4D712506"/>
    <w:rsid w:val="4D830B2D"/>
    <w:rsid w:val="4D971D5B"/>
    <w:rsid w:val="4DBA4E98"/>
    <w:rsid w:val="4DF24B33"/>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8316C7"/>
    <w:rsid w:val="51CD567E"/>
    <w:rsid w:val="51DD2A0A"/>
    <w:rsid w:val="51E23F34"/>
    <w:rsid w:val="51FA302C"/>
    <w:rsid w:val="521E7BC5"/>
    <w:rsid w:val="52201680"/>
    <w:rsid w:val="523C0389"/>
    <w:rsid w:val="523E748B"/>
    <w:rsid w:val="528043E7"/>
    <w:rsid w:val="52C92E63"/>
    <w:rsid w:val="52D57B0C"/>
    <w:rsid w:val="52DA346F"/>
    <w:rsid w:val="53053EDB"/>
    <w:rsid w:val="53465F4C"/>
    <w:rsid w:val="53491D61"/>
    <w:rsid w:val="536313E2"/>
    <w:rsid w:val="538F45A4"/>
    <w:rsid w:val="53A9514E"/>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6D133FC"/>
    <w:rsid w:val="56D75103"/>
    <w:rsid w:val="57025A59"/>
    <w:rsid w:val="57146818"/>
    <w:rsid w:val="572465F5"/>
    <w:rsid w:val="574959B6"/>
    <w:rsid w:val="574A1DC1"/>
    <w:rsid w:val="57592C33"/>
    <w:rsid w:val="57B85C78"/>
    <w:rsid w:val="57CB3FEF"/>
    <w:rsid w:val="57CF09A1"/>
    <w:rsid w:val="57DC40E8"/>
    <w:rsid w:val="57DE5369"/>
    <w:rsid w:val="57FF05EB"/>
    <w:rsid w:val="586948AA"/>
    <w:rsid w:val="58A91308"/>
    <w:rsid w:val="58C75E36"/>
    <w:rsid w:val="58CB6A3A"/>
    <w:rsid w:val="59B329A3"/>
    <w:rsid w:val="59B51A6B"/>
    <w:rsid w:val="59C55D87"/>
    <w:rsid w:val="59D30900"/>
    <w:rsid w:val="5A1148EE"/>
    <w:rsid w:val="5A2537F3"/>
    <w:rsid w:val="5A316BBC"/>
    <w:rsid w:val="5AF059D7"/>
    <w:rsid w:val="5B14619D"/>
    <w:rsid w:val="5B310B71"/>
    <w:rsid w:val="5B49484F"/>
    <w:rsid w:val="5B654180"/>
    <w:rsid w:val="5B697447"/>
    <w:rsid w:val="5B964143"/>
    <w:rsid w:val="5B987F09"/>
    <w:rsid w:val="5BE62ADD"/>
    <w:rsid w:val="5C1F7813"/>
    <w:rsid w:val="5C310D30"/>
    <w:rsid w:val="5C4837B2"/>
    <w:rsid w:val="5C89392A"/>
    <w:rsid w:val="5CA11989"/>
    <w:rsid w:val="5CAA6A49"/>
    <w:rsid w:val="5CC82A8F"/>
    <w:rsid w:val="5CD41DD8"/>
    <w:rsid w:val="5CD728E8"/>
    <w:rsid w:val="5D0F67F8"/>
    <w:rsid w:val="5D655B27"/>
    <w:rsid w:val="5D78571C"/>
    <w:rsid w:val="5DA66396"/>
    <w:rsid w:val="5DE6248C"/>
    <w:rsid w:val="5DFF1BDB"/>
    <w:rsid w:val="5E2636F4"/>
    <w:rsid w:val="5E2E636F"/>
    <w:rsid w:val="5E572837"/>
    <w:rsid w:val="5E754D87"/>
    <w:rsid w:val="5E852A2B"/>
    <w:rsid w:val="5E867220"/>
    <w:rsid w:val="5E9738A8"/>
    <w:rsid w:val="5EB236E5"/>
    <w:rsid w:val="5EF27BD4"/>
    <w:rsid w:val="5F144150"/>
    <w:rsid w:val="5F192012"/>
    <w:rsid w:val="5F2B024F"/>
    <w:rsid w:val="5FBC6FBB"/>
    <w:rsid w:val="5FD05014"/>
    <w:rsid w:val="5FF2703A"/>
    <w:rsid w:val="603B33EE"/>
    <w:rsid w:val="603F2116"/>
    <w:rsid w:val="60512BA9"/>
    <w:rsid w:val="607C09C6"/>
    <w:rsid w:val="60B977EF"/>
    <w:rsid w:val="60D7701D"/>
    <w:rsid w:val="61562613"/>
    <w:rsid w:val="617D727E"/>
    <w:rsid w:val="619D39D4"/>
    <w:rsid w:val="61A436DC"/>
    <w:rsid w:val="61BE0A44"/>
    <w:rsid w:val="621A1294"/>
    <w:rsid w:val="625D6F2E"/>
    <w:rsid w:val="62616BE9"/>
    <w:rsid w:val="628174C5"/>
    <w:rsid w:val="62AD2DCC"/>
    <w:rsid w:val="62CC7192"/>
    <w:rsid w:val="62D8753A"/>
    <w:rsid w:val="62FF18AB"/>
    <w:rsid w:val="630C1982"/>
    <w:rsid w:val="632D3DE1"/>
    <w:rsid w:val="6330170C"/>
    <w:rsid w:val="634B7733"/>
    <w:rsid w:val="638C4E9F"/>
    <w:rsid w:val="639F01FD"/>
    <w:rsid w:val="63A94710"/>
    <w:rsid w:val="63B70146"/>
    <w:rsid w:val="63D62198"/>
    <w:rsid w:val="63E063B5"/>
    <w:rsid w:val="63E818F6"/>
    <w:rsid w:val="63FA5093"/>
    <w:rsid w:val="6428605E"/>
    <w:rsid w:val="64777982"/>
    <w:rsid w:val="647A0777"/>
    <w:rsid w:val="64B877C8"/>
    <w:rsid w:val="64DC0D39"/>
    <w:rsid w:val="64E434FC"/>
    <w:rsid w:val="64F447F9"/>
    <w:rsid w:val="64FB14A0"/>
    <w:rsid w:val="65122C22"/>
    <w:rsid w:val="656024BA"/>
    <w:rsid w:val="657A3C65"/>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9117F3"/>
    <w:rsid w:val="6AC03372"/>
    <w:rsid w:val="6B393506"/>
    <w:rsid w:val="6B445431"/>
    <w:rsid w:val="6B947D69"/>
    <w:rsid w:val="6BA34BBC"/>
    <w:rsid w:val="6BBD0307"/>
    <w:rsid w:val="6BE35E8E"/>
    <w:rsid w:val="6C0C6E75"/>
    <w:rsid w:val="6C522AE3"/>
    <w:rsid w:val="6C977036"/>
    <w:rsid w:val="6CE0643D"/>
    <w:rsid w:val="6D2B042A"/>
    <w:rsid w:val="6D4547D0"/>
    <w:rsid w:val="6D5D66CA"/>
    <w:rsid w:val="6DC52FB5"/>
    <w:rsid w:val="6DDC6F6C"/>
    <w:rsid w:val="6E231F38"/>
    <w:rsid w:val="6E401E74"/>
    <w:rsid w:val="6E426C72"/>
    <w:rsid w:val="6E610568"/>
    <w:rsid w:val="6E8E6EA3"/>
    <w:rsid w:val="6EA23B18"/>
    <w:rsid w:val="6EB4152F"/>
    <w:rsid w:val="6EC8494C"/>
    <w:rsid w:val="6EEE6A18"/>
    <w:rsid w:val="6F204339"/>
    <w:rsid w:val="6F793C5D"/>
    <w:rsid w:val="6FA7439C"/>
    <w:rsid w:val="6FBF06AF"/>
    <w:rsid w:val="700B0938"/>
    <w:rsid w:val="70117FCA"/>
    <w:rsid w:val="7017205C"/>
    <w:rsid w:val="701E1630"/>
    <w:rsid w:val="709D6E51"/>
    <w:rsid w:val="70E262C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0D34EE"/>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8FA3665"/>
    <w:rsid w:val="793116D4"/>
    <w:rsid w:val="79395171"/>
    <w:rsid w:val="79524D9F"/>
    <w:rsid w:val="799D3B64"/>
    <w:rsid w:val="79D33FDF"/>
    <w:rsid w:val="79D60872"/>
    <w:rsid w:val="7A39200E"/>
    <w:rsid w:val="7A5E43D7"/>
    <w:rsid w:val="7A65786F"/>
    <w:rsid w:val="7A880C3C"/>
    <w:rsid w:val="7A8A48D5"/>
    <w:rsid w:val="7B1E30E9"/>
    <w:rsid w:val="7B286FC3"/>
    <w:rsid w:val="7B8508BE"/>
    <w:rsid w:val="7BB153E0"/>
    <w:rsid w:val="7BD079A4"/>
    <w:rsid w:val="7C003FD3"/>
    <w:rsid w:val="7C245FB3"/>
    <w:rsid w:val="7C5C703D"/>
    <w:rsid w:val="7CCB30D7"/>
    <w:rsid w:val="7D262DC5"/>
    <w:rsid w:val="7D392698"/>
    <w:rsid w:val="7D5D4835"/>
    <w:rsid w:val="7D8B028D"/>
    <w:rsid w:val="7D8D024D"/>
    <w:rsid w:val="7D944060"/>
    <w:rsid w:val="7D9A2EA0"/>
    <w:rsid w:val="7DC36EAF"/>
    <w:rsid w:val="7DCC4BF0"/>
    <w:rsid w:val="7DCF68BD"/>
    <w:rsid w:val="7DFC2925"/>
    <w:rsid w:val="7E230E82"/>
    <w:rsid w:val="7E235340"/>
    <w:rsid w:val="7E3E551B"/>
    <w:rsid w:val="7E597F15"/>
    <w:rsid w:val="7EF50554"/>
    <w:rsid w:val="7EF5689F"/>
    <w:rsid w:val="7EFE6266"/>
    <w:rsid w:val="7F0250CB"/>
    <w:rsid w:val="7F6C60BD"/>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3"/>
    <w:next w:val="1"/>
    <w:qFormat/>
    <w:uiPriority w:val="0"/>
    <w:pPr>
      <w:keepNext/>
      <w:keepLines/>
      <w:numPr>
        <w:ilvl w:val="2"/>
        <w:numId w:val="1"/>
      </w:numPr>
      <w:tabs>
        <w:tab w:val="clear" w:pos="576"/>
      </w:tabs>
      <w:spacing w:before="260" w:after="260" w:line="240" w:lineRule="auto"/>
      <w:outlineLvl w:val="2"/>
    </w:pPr>
    <w:rPr>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4757</Words>
  <Characters>5611</Characters>
  <Lines>43</Lines>
  <Paragraphs>12</Paragraphs>
  <TotalTime>2</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2025-04-25T15:12:22Z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C8E6AA8CBCDD476BA69DE2D96239E519</vt:lpwstr>
  </property>
</Properties>
</file>