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025949">
      <w:pPr>
        <w:snapToGrid w:val="0"/>
        <w:spacing w:line="360" w:lineRule="auto"/>
        <w:ind w:firstLine="897"/>
        <w:jc w:val="both"/>
        <w:rPr>
          <w:rFonts w:ascii="黑体" w:hAnsi="黑体" w:eastAsia="黑体" w:cs="黑体"/>
          <w:b/>
          <w:bCs/>
          <w:sz w:val="44"/>
          <w:szCs w:val="52"/>
        </w:rPr>
      </w:pPr>
    </w:p>
    <w:p w14:paraId="4B25373D">
      <w:pPr>
        <w:snapToGrid w:val="0"/>
        <w:spacing w:line="360" w:lineRule="auto"/>
        <w:ind w:firstLine="897"/>
        <w:jc w:val="both"/>
        <w:rPr>
          <w:rFonts w:ascii="黑体" w:hAnsi="黑体" w:eastAsia="黑体" w:cs="黑体"/>
          <w:b/>
          <w:bCs/>
          <w:sz w:val="44"/>
          <w:szCs w:val="52"/>
        </w:rPr>
      </w:pPr>
    </w:p>
    <w:p w14:paraId="487C0305">
      <w:pPr>
        <w:snapToGrid w:val="0"/>
        <w:spacing w:line="360" w:lineRule="auto"/>
        <w:ind w:firstLine="897"/>
        <w:jc w:val="both"/>
        <w:rPr>
          <w:rFonts w:ascii="黑体" w:hAnsi="黑体" w:eastAsia="黑体" w:cs="黑体"/>
          <w:b/>
          <w:bCs/>
          <w:sz w:val="44"/>
          <w:szCs w:val="52"/>
        </w:rPr>
      </w:pPr>
    </w:p>
    <w:p w14:paraId="37E72070">
      <w:pPr>
        <w:snapToGrid w:val="0"/>
        <w:spacing w:line="360" w:lineRule="auto"/>
        <w:ind w:firstLine="897"/>
        <w:jc w:val="both"/>
        <w:rPr>
          <w:rFonts w:ascii="黑体" w:hAnsi="黑体" w:eastAsia="黑体" w:cs="黑体"/>
          <w:b/>
          <w:bCs/>
          <w:sz w:val="44"/>
          <w:szCs w:val="52"/>
        </w:rPr>
      </w:pPr>
    </w:p>
    <w:p w14:paraId="1D7339BF">
      <w:pPr>
        <w:snapToGrid w:val="0"/>
        <w:spacing w:line="360" w:lineRule="auto"/>
        <w:ind w:firstLine="897"/>
        <w:jc w:val="both"/>
        <w:rPr>
          <w:rFonts w:ascii="黑体" w:hAnsi="黑体" w:eastAsia="黑体" w:cs="黑体"/>
          <w:b/>
          <w:bCs/>
          <w:sz w:val="44"/>
          <w:szCs w:val="52"/>
        </w:rPr>
      </w:pPr>
    </w:p>
    <w:p w14:paraId="04CC770D">
      <w:pPr>
        <w:snapToGrid w:val="0"/>
        <w:spacing w:line="360" w:lineRule="auto"/>
        <w:ind w:firstLine="897"/>
        <w:jc w:val="both"/>
        <w:rPr>
          <w:rFonts w:ascii="黑体" w:hAnsi="黑体" w:eastAsia="黑体" w:cs="黑体"/>
          <w:b/>
          <w:bCs/>
          <w:sz w:val="44"/>
          <w:szCs w:val="52"/>
        </w:rPr>
      </w:pPr>
    </w:p>
    <w:p w14:paraId="3B2CC4B6">
      <w:pPr>
        <w:snapToGrid w:val="0"/>
        <w:spacing w:line="360" w:lineRule="auto"/>
        <w:ind w:firstLine="897"/>
        <w:jc w:val="center"/>
        <w:rPr>
          <w:rFonts w:ascii="黑体" w:hAnsi="黑体" w:eastAsia="黑体" w:cs="黑体"/>
          <w:b/>
          <w:bCs/>
          <w:sz w:val="44"/>
          <w:szCs w:val="52"/>
        </w:rPr>
      </w:pPr>
      <w:r>
        <w:rPr>
          <w:rFonts w:hint="eastAsia" w:ascii="黑体" w:hAnsi="黑体" w:eastAsia="黑体" w:cs="黑体"/>
          <w:b/>
          <w:bCs/>
          <w:sz w:val="44"/>
          <w:szCs w:val="52"/>
        </w:rPr>
        <w:t xml:space="preserve"> 每周政策速递</w:t>
      </w:r>
    </w:p>
    <w:p w14:paraId="011FABE4">
      <w:pPr>
        <w:snapToGrid w:val="0"/>
        <w:spacing w:line="360" w:lineRule="auto"/>
        <w:ind w:firstLine="897"/>
        <w:jc w:val="center"/>
        <w:rPr>
          <w:rFonts w:ascii="黑体" w:hAnsi="黑体" w:eastAsia="黑体" w:cs="黑体"/>
          <w:b/>
          <w:bCs/>
          <w:sz w:val="44"/>
          <w:szCs w:val="52"/>
        </w:rPr>
      </w:pPr>
      <w:r>
        <w:rPr>
          <w:rFonts w:hint="eastAsia" w:ascii="黑体" w:hAnsi="黑体" w:eastAsia="黑体" w:cs="黑体"/>
          <w:b/>
          <w:bCs/>
          <w:sz w:val="44"/>
          <w:szCs w:val="52"/>
        </w:rPr>
        <w:t>（</w:t>
      </w:r>
      <w:r>
        <w:rPr>
          <w:rFonts w:hint="eastAsia" w:ascii="黑体" w:hAnsi="黑体" w:eastAsia="黑体" w:cs="黑体"/>
          <w:b/>
          <w:bCs/>
          <w:sz w:val="44"/>
          <w:szCs w:val="52"/>
          <w:lang w:val="en-US" w:eastAsia="zh-CN"/>
        </w:rPr>
        <w:t>10</w:t>
      </w:r>
      <w:r>
        <w:rPr>
          <w:rFonts w:hint="eastAsia" w:ascii="黑体" w:hAnsi="黑体" w:eastAsia="黑体" w:cs="黑体"/>
          <w:b/>
          <w:bCs/>
          <w:sz w:val="44"/>
          <w:szCs w:val="52"/>
        </w:rPr>
        <w:t>月1</w:t>
      </w:r>
      <w:r>
        <w:rPr>
          <w:rFonts w:hint="eastAsia" w:ascii="黑体" w:hAnsi="黑体" w:eastAsia="黑体" w:cs="黑体"/>
          <w:b/>
          <w:bCs/>
          <w:sz w:val="44"/>
          <w:szCs w:val="52"/>
          <w:lang w:val="en-US" w:eastAsia="zh-CN"/>
        </w:rPr>
        <w:t>0</w:t>
      </w:r>
      <w:r>
        <w:rPr>
          <w:rFonts w:hint="eastAsia" w:ascii="黑体" w:hAnsi="黑体" w:eastAsia="黑体" w:cs="黑体"/>
          <w:b/>
          <w:bCs/>
          <w:sz w:val="44"/>
          <w:szCs w:val="52"/>
        </w:rPr>
        <w:t>日-</w:t>
      </w:r>
      <w:r>
        <w:rPr>
          <w:rFonts w:hint="eastAsia" w:ascii="黑体" w:hAnsi="黑体" w:eastAsia="黑体" w:cs="黑体"/>
          <w:b/>
          <w:bCs/>
          <w:sz w:val="44"/>
          <w:szCs w:val="52"/>
          <w:lang w:val="en-US" w:eastAsia="zh-CN"/>
        </w:rPr>
        <w:t>10</w:t>
      </w:r>
      <w:r>
        <w:rPr>
          <w:rFonts w:hint="eastAsia" w:ascii="黑体" w:hAnsi="黑体" w:eastAsia="黑体" w:cs="黑体"/>
          <w:b/>
          <w:bCs/>
          <w:sz w:val="44"/>
          <w:szCs w:val="52"/>
        </w:rPr>
        <w:t>月</w:t>
      </w:r>
      <w:r>
        <w:rPr>
          <w:rFonts w:hint="eastAsia" w:ascii="黑体" w:hAnsi="黑体" w:eastAsia="黑体" w:cs="黑体"/>
          <w:b/>
          <w:bCs/>
          <w:sz w:val="44"/>
          <w:szCs w:val="52"/>
          <w:lang w:val="en-US" w:eastAsia="zh-CN"/>
        </w:rPr>
        <w:t>17</w:t>
      </w:r>
      <w:r>
        <w:rPr>
          <w:rFonts w:hint="eastAsia" w:ascii="黑体" w:hAnsi="黑体" w:eastAsia="黑体" w:cs="黑体"/>
          <w:b/>
          <w:bCs/>
          <w:sz w:val="44"/>
          <w:szCs w:val="52"/>
        </w:rPr>
        <w:t>日）</w:t>
      </w:r>
    </w:p>
    <w:p w14:paraId="5EFA75A6">
      <w:pPr>
        <w:snapToGrid w:val="0"/>
        <w:spacing w:line="360" w:lineRule="auto"/>
        <w:ind w:firstLine="720"/>
        <w:jc w:val="center"/>
        <w:rPr>
          <w:sz w:val="36"/>
          <w:szCs w:val="44"/>
        </w:rPr>
      </w:pPr>
    </w:p>
    <w:p w14:paraId="1A06FA0E">
      <w:pPr>
        <w:snapToGrid w:val="0"/>
        <w:spacing w:line="360" w:lineRule="auto"/>
        <w:ind w:firstLine="720"/>
        <w:jc w:val="center"/>
        <w:rPr>
          <w:sz w:val="36"/>
          <w:szCs w:val="44"/>
        </w:rPr>
      </w:pPr>
    </w:p>
    <w:p w14:paraId="1FD8E582">
      <w:pPr>
        <w:snapToGrid w:val="0"/>
        <w:spacing w:line="360" w:lineRule="auto"/>
        <w:ind w:firstLine="720"/>
        <w:jc w:val="center"/>
        <w:rPr>
          <w:sz w:val="36"/>
          <w:szCs w:val="44"/>
        </w:rPr>
      </w:pPr>
    </w:p>
    <w:p w14:paraId="059B9D8E">
      <w:pPr>
        <w:snapToGrid w:val="0"/>
        <w:spacing w:line="360" w:lineRule="auto"/>
        <w:ind w:firstLine="720"/>
        <w:jc w:val="center"/>
        <w:rPr>
          <w:sz w:val="36"/>
          <w:szCs w:val="44"/>
        </w:rPr>
      </w:pPr>
    </w:p>
    <w:p w14:paraId="74C65917">
      <w:pPr>
        <w:snapToGrid w:val="0"/>
        <w:spacing w:line="360" w:lineRule="auto"/>
        <w:jc w:val="center"/>
        <w:rPr>
          <w:sz w:val="28"/>
          <w:szCs w:val="36"/>
        </w:rPr>
      </w:pPr>
    </w:p>
    <w:p w14:paraId="0F648A5D">
      <w:pPr>
        <w:snapToGrid w:val="0"/>
        <w:spacing w:line="360" w:lineRule="auto"/>
        <w:jc w:val="center"/>
        <w:rPr>
          <w:sz w:val="28"/>
          <w:szCs w:val="36"/>
        </w:rPr>
      </w:pPr>
    </w:p>
    <w:p w14:paraId="01C582A8">
      <w:pPr>
        <w:snapToGrid w:val="0"/>
        <w:spacing w:line="360" w:lineRule="auto"/>
        <w:jc w:val="center"/>
        <w:rPr>
          <w:sz w:val="28"/>
          <w:szCs w:val="36"/>
        </w:rPr>
      </w:pPr>
    </w:p>
    <w:p w14:paraId="503BFD6A">
      <w:pPr>
        <w:snapToGrid w:val="0"/>
        <w:spacing w:line="360" w:lineRule="auto"/>
        <w:jc w:val="center"/>
        <w:rPr>
          <w:sz w:val="28"/>
          <w:szCs w:val="36"/>
        </w:rPr>
      </w:pPr>
    </w:p>
    <w:p w14:paraId="557327A4">
      <w:pPr>
        <w:snapToGrid w:val="0"/>
        <w:spacing w:line="360" w:lineRule="auto"/>
        <w:jc w:val="center"/>
        <w:rPr>
          <w:sz w:val="28"/>
          <w:szCs w:val="36"/>
        </w:rPr>
      </w:pPr>
    </w:p>
    <w:p w14:paraId="622EAD19">
      <w:pPr>
        <w:snapToGrid w:val="0"/>
        <w:spacing w:line="360" w:lineRule="auto"/>
        <w:jc w:val="center"/>
        <w:rPr>
          <w:sz w:val="28"/>
          <w:szCs w:val="36"/>
        </w:rPr>
      </w:pPr>
    </w:p>
    <w:p w14:paraId="74F8349A">
      <w:pPr>
        <w:snapToGrid w:val="0"/>
        <w:spacing w:line="360" w:lineRule="auto"/>
        <w:jc w:val="center"/>
        <w:rPr>
          <w:sz w:val="28"/>
          <w:szCs w:val="36"/>
        </w:rPr>
      </w:pPr>
    </w:p>
    <w:p w14:paraId="20E0FBFA">
      <w:pPr>
        <w:snapToGrid w:val="0"/>
        <w:spacing w:line="360" w:lineRule="auto"/>
        <w:ind w:firstLine="560"/>
        <w:jc w:val="both"/>
      </w:pPr>
    </w:p>
    <w:p w14:paraId="5076B200">
      <w:pPr>
        <w:pStyle w:val="2"/>
        <w:jc w:val="both"/>
        <w:sectPr>
          <w:pgSz w:w="11906" w:h="16838"/>
          <w:pgMar w:top="1440" w:right="1800" w:bottom="1440" w:left="1800" w:header="851" w:footer="992" w:gutter="0"/>
          <w:cols w:space="425" w:num="1"/>
          <w:docGrid w:type="lines" w:linePitch="312" w:charSpace="0"/>
        </w:sectPr>
      </w:pPr>
    </w:p>
    <w:p w14:paraId="1F8D3878">
      <w:pPr>
        <w:pStyle w:val="2"/>
        <w:jc w:val="both"/>
      </w:pPr>
      <w:bookmarkStart w:id="0" w:name="_Toc3611"/>
      <w:r>
        <w:rPr>
          <w:rFonts w:hint="eastAsia"/>
        </w:rPr>
        <w:t>目录</w:t>
      </w:r>
      <w:bookmarkEnd w:id="0"/>
    </w:p>
    <w:p w14:paraId="47A090F0">
      <w:pPr>
        <w:pStyle w:val="14"/>
        <w:tabs>
          <w:tab w:val="right" w:leader="dot" w:pos="8306"/>
          <w:tab w:val="clear" w:pos="8296"/>
        </w:tabs>
      </w:pPr>
      <w:r>
        <w:rPr>
          <w:rFonts w:ascii="微软雅黑" w:hAnsi="微软雅黑" w:eastAsia="微软雅黑"/>
          <w:sz w:val="21"/>
          <w:szCs w:val="21"/>
        </w:rPr>
        <w:fldChar w:fldCharType="begin"/>
      </w:r>
      <w:r>
        <w:rPr>
          <w:rFonts w:ascii="微软雅黑" w:hAnsi="微软雅黑" w:eastAsia="微软雅黑"/>
          <w:sz w:val="21"/>
          <w:szCs w:val="21"/>
        </w:rPr>
        <w:instrText xml:space="preserve"> TOC \o "1-3" \h \z \u </w:instrText>
      </w:r>
      <w:r>
        <w:rPr>
          <w:rFonts w:ascii="微软雅黑" w:hAnsi="微软雅黑" w:eastAsia="微软雅黑"/>
          <w:sz w:val="21"/>
          <w:szCs w:val="21"/>
        </w:rPr>
        <w:fldChar w:fldCharType="separate"/>
      </w:r>
      <w:r>
        <w:rPr>
          <w:rFonts w:ascii="微软雅黑" w:hAnsi="微软雅黑" w:eastAsia="微软雅黑"/>
          <w:szCs w:val="21"/>
        </w:rPr>
        <w:fldChar w:fldCharType="begin"/>
      </w:r>
      <w:r>
        <w:rPr>
          <w:rFonts w:ascii="微软雅黑" w:hAnsi="微软雅黑" w:eastAsia="微软雅黑"/>
          <w:szCs w:val="21"/>
        </w:rPr>
        <w:instrText xml:space="preserve"> HYPERLINK \l _Toc3611 </w:instrText>
      </w:r>
      <w:r>
        <w:rPr>
          <w:rFonts w:ascii="微软雅黑" w:hAnsi="微软雅黑" w:eastAsia="微软雅黑"/>
          <w:szCs w:val="21"/>
        </w:rPr>
        <w:fldChar w:fldCharType="separate"/>
      </w:r>
      <w:r>
        <w:rPr>
          <w:rFonts w:hint="eastAsia"/>
        </w:rPr>
        <w:t>目录</w:t>
      </w:r>
      <w:r>
        <w:tab/>
      </w:r>
      <w:r>
        <w:fldChar w:fldCharType="begin"/>
      </w:r>
      <w:r>
        <w:instrText xml:space="preserve"> PAGEREF _Toc3611 \h </w:instrText>
      </w:r>
      <w:r>
        <w:fldChar w:fldCharType="separate"/>
      </w:r>
      <w:r>
        <w:t>1</w:t>
      </w:r>
      <w:r>
        <w:fldChar w:fldCharType="end"/>
      </w:r>
      <w:r>
        <w:rPr>
          <w:rFonts w:ascii="微软雅黑" w:hAnsi="微软雅黑" w:eastAsia="微软雅黑"/>
          <w:szCs w:val="21"/>
        </w:rPr>
        <w:fldChar w:fldCharType="end"/>
      </w:r>
    </w:p>
    <w:p w14:paraId="61878BF0">
      <w:pPr>
        <w:pStyle w:val="14"/>
        <w:tabs>
          <w:tab w:val="right" w:leader="dot" w:pos="8306"/>
          <w:tab w:val="clear" w:pos="8296"/>
        </w:tabs>
      </w:pPr>
      <w:r>
        <w:rPr>
          <w:rFonts w:ascii="微软雅黑" w:hAnsi="微软雅黑" w:eastAsia="微软雅黑"/>
          <w:szCs w:val="28"/>
        </w:rPr>
        <w:fldChar w:fldCharType="begin"/>
      </w:r>
      <w:r>
        <w:rPr>
          <w:rFonts w:ascii="微软雅黑" w:hAnsi="微软雅黑" w:eastAsia="微软雅黑"/>
          <w:szCs w:val="28"/>
        </w:rPr>
        <w:instrText xml:space="preserve"> HYPERLINK \l _Toc23596 </w:instrText>
      </w:r>
      <w:r>
        <w:rPr>
          <w:rFonts w:ascii="微软雅黑" w:hAnsi="微软雅黑" w:eastAsia="微软雅黑"/>
          <w:szCs w:val="28"/>
        </w:rPr>
        <w:fldChar w:fldCharType="separate"/>
      </w:r>
      <w:r>
        <w:rPr>
          <w:rFonts w:hint="eastAsia"/>
        </w:rPr>
        <w:t>重点.关注</w:t>
      </w:r>
      <w:r>
        <w:tab/>
      </w:r>
      <w:r>
        <w:fldChar w:fldCharType="begin"/>
      </w:r>
      <w:r>
        <w:instrText xml:space="preserve"> PAGEREF _Toc23596 \h </w:instrText>
      </w:r>
      <w:r>
        <w:fldChar w:fldCharType="separate"/>
      </w:r>
      <w:r>
        <w:t>2</w:t>
      </w:r>
      <w:r>
        <w:fldChar w:fldCharType="end"/>
      </w:r>
      <w:r>
        <w:rPr>
          <w:rFonts w:ascii="微软雅黑" w:hAnsi="微软雅黑" w:eastAsia="微软雅黑"/>
          <w:szCs w:val="28"/>
        </w:rPr>
        <w:fldChar w:fldCharType="end"/>
      </w:r>
    </w:p>
    <w:p w14:paraId="38A2F14F">
      <w:pPr>
        <w:pStyle w:val="9"/>
        <w:tabs>
          <w:tab w:val="right" w:leader="dot" w:pos="8306"/>
        </w:tabs>
      </w:pPr>
      <w:r>
        <w:rPr>
          <w:rFonts w:ascii="微软雅黑" w:hAnsi="微软雅黑" w:eastAsia="微软雅黑"/>
          <w:szCs w:val="28"/>
        </w:rPr>
        <w:fldChar w:fldCharType="begin"/>
      </w:r>
      <w:r>
        <w:rPr>
          <w:rFonts w:ascii="微软雅黑" w:hAnsi="微软雅黑" w:eastAsia="微软雅黑"/>
          <w:szCs w:val="28"/>
        </w:rPr>
        <w:instrText xml:space="preserve"> HYPERLINK \l _Toc13598 </w:instrText>
      </w:r>
      <w:r>
        <w:rPr>
          <w:rFonts w:ascii="微软雅黑" w:hAnsi="微软雅黑" w:eastAsia="微软雅黑"/>
          <w:szCs w:val="28"/>
        </w:rPr>
        <w:fldChar w:fldCharType="separate"/>
      </w:r>
      <w:r>
        <w:rPr>
          <w:rFonts w:hint="default"/>
        </w:rPr>
        <w:t xml:space="preserve">(1) </w:t>
      </w:r>
      <w:r>
        <w:t>李强主持召开经济形势专家和企业家座谈会</w:t>
      </w:r>
      <w:r>
        <w:tab/>
      </w:r>
      <w:r>
        <w:fldChar w:fldCharType="begin"/>
      </w:r>
      <w:r>
        <w:instrText xml:space="preserve"> PAGEREF _Toc13598 \h </w:instrText>
      </w:r>
      <w:r>
        <w:fldChar w:fldCharType="separate"/>
      </w:r>
      <w:r>
        <w:t>2</w:t>
      </w:r>
      <w:r>
        <w:fldChar w:fldCharType="end"/>
      </w:r>
      <w:r>
        <w:rPr>
          <w:rFonts w:ascii="微软雅黑" w:hAnsi="微软雅黑" w:eastAsia="微软雅黑"/>
          <w:szCs w:val="28"/>
        </w:rPr>
        <w:fldChar w:fldCharType="end"/>
      </w:r>
    </w:p>
    <w:p w14:paraId="03AC86B1">
      <w:pPr>
        <w:pStyle w:val="14"/>
        <w:tabs>
          <w:tab w:val="right" w:leader="dot" w:pos="8306"/>
          <w:tab w:val="clear" w:pos="8296"/>
        </w:tabs>
      </w:pPr>
      <w:r>
        <w:rPr>
          <w:rFonts w:ascii="微软雅黑" w:hAnsi="微软雅黑" w:eastAsia="微软雅黑"/>
          <w:szCs w:val="28"/>
        </w:rPr>
        <w:fldChar w:fldCharType="begin"/>
      </w:r>
      <w:r>
        <w:rPr>
          <w:rFonts w:ascii="微软雅黑" w:hAnsi="微软雅黑" w:eastAsia="微软雅黑"/>
          <w:szCs w:val="28"/>
        </w:rPr>
        <w:instrText xml:space="preserve"> HYPERLINK \l _Toc4813 </w:instrText>
      </w:r>
      <w:r>
        <w:rPr>
          <w:rFonts w:ascii="微软雅黑" w:hAnsi="微软雅黑" w:eastAsia="微软雅黑"/>
          <w:szCs w:val="28"/>
        </w:rPr>
        <w:fldChar w:fldCharType="separate"/>
      </w:r>
      <w:r>
        <w:rPr>
          <w:rFonts w:hint="eastAsia"/>
        </w:rPr>
        <w:t>政策.速递</w:t>
      </w:r>
      <w:r>
        <w:tab/>
      </w:r>
      <w:r>
        <w:fldChar w:fldCharType="begin"/>
      </w:r>
      <w:r>
        <w:instrText xml:space="preserve"> PAGEREF _Toc4813 \h </w:instrText>
      </w:r>
      <w:r>
        <w:fldChar w:fldCharType="separate"/>
      </w:r>
      <w:r>
        <w:t>2</w:t>
      </w:r>
      <w:r>
        <w:fldChar w:fldCharType="end"/>
      </w:r>
      <w:r>
        <w:rPr>
          <w:rFonts w:ascii="微软雅黑" w:hAnsi="微软雅黑" w:eastAsia="微软雅黑"/>
          <w:szCs w:val="28"/>
        </w:rPr>
        <w:fldChar w:fldCharType="end"/>
      </w:r>
    </w:p>
    <w:p w14:paraId="0D425ADC">
      <w:pPr>
        <w:pStyle w:val="18"/>
        <w:tabs>
          <w:tab w:val="right" w:leader="dot" w:pos="8306"/>
        </w:tabs>
      </w:pPr>
      <w:r>
        <w:rPr>
          <w:rFonts w:ascii="微软雅黑" w:hAnsi="微软雅黑" w:eastAsia="微软雅黑"/>
          <w:szCs w:val="28"/>
        </w:rPr>
        <w:fldChar w:fldCharType="begin"/>
      </w:r>
      <w:r>
        <w:rPr>
          <w:rFonts w:ascii="微软雅黑" w:hAnsi="微软雅黑" w:eastAsia="微软雅黑"/>
          <w:szCs w:val="28"/>
        </w:rPr>
        <w:instrText xml:space="preserve"> HYPERLINK \l _Toc27233 </w:instrText>
      </w:r>
      <w:r>
        <w:rPr>
          <w:rFonts w:ascii="微软雅黑" w:hAnsi="微软雅黑" w:eastAsia="微软雅黑"/>
          <w:szCs w:val="28"/>
        </w:rPr>
        <w:fldChar w:fldCharType="separate"/>
      </w:r>
      <w:r>
        <w:rPr>
          <w:rFonts w:hint="eastAsia"/>
        </w:rPr>
        <w:t>中央</w:t>
      </w:r>
      <w:r>
        <w:tab/>
      </w:r>
      <w:r>
        <w:fldChar w:fldCharType="begin"/>
      </w:r>
      <w:r>
        <w:instrText xml:space="preserve"> PAGEREF _Toc27233 \h </w:instrText>
      </w:r>
      <w:r>
        <w:fldChar w:fldCharType="separate"/>
      </w:r>
      <w:r>
        <w:t>2</w:t>
      </w:r>
      <w:r>
        <w:fldChar w:fldCharType="end"/>
      </w:r>
      <w:r>
        <w:rPr>
          <w:rFonts w:ascii="微软雅黑" w:hAnsi="微软雅黑" w:eastAsia="微软雅黑"/>
          <w:szCs w:val="28"/>
        </w:rPr>
        <w:fldChar w:fldCharType="end"/>
      </w:r>
    </w:p>
    <w:p w14:paraId="05EB43B2">
      <w:pPr>
        <w:pStyle w:val="9"/>
        <w:tabs>
          <w:tab w:val="right" w:leader="dot" w:pos="8306"/>
        </w:tabs>
      </w:pPr>
      <w:r>
        <w:rPr>
          <w:rFonts w:ascii="微软雅黑" w:hAnsi="微软雅黑" w:eastAsia="微软雅黑"/>
          <w:szCs w:val="28"/>
        </w:rPr>
        <w:fldChar w:fldCharType="begin"/>
      </w:r>
      <w:r>
        <w:rPr>
          <w:rFonts w:ascii="微软雅黑" w:hAnsi="微软雅黑" w:eastAsia="微软雅黑"/>
          <w:szCs w:val="28"/>
        </w:rPr>
        <w:instrText xml:space="preserve"> HYPERLINK \l _Toc21295 </w:instrText>
      </w:r>
      <w:r>
        <w:rPr>
          <w:rFonts w:ascii="微软雅黑" w:hAnsi="微软雅黑" w:eastAsia="微软雅黑"/>
          <w:szCs w:val="28"/>
        </w:rPr>
        <w:fldChar w:fldCharType="separate"/>
      </w:r>
      <w:r>
        <w:rPr>
          <w:rFonts w:hint="default"/>
        </w:rPr>
        <w:t xml:space="preserve">(1) </w:t>
      </w:r>
      <w:r>
        <w:rPr>
          <w:rFonts w:hint="eastAsia"/>
        </w:rPr>
        <w:t>《关于开展城域“毫秒用算”专项行动的通知》</w:t>
      </w:r>
      <w:r>
        <w:tab/>
      </w:r>
      <w:r>
        <w:fldChar w:fldCharType="begin"/>
      </w:r>
      <w:r>
        <w:instrText xml:space="preserve"> PAGEREF _Toc21295 \h </w:instrText>
      </w:r>
      <w:r>
        <w:fldChar w:fldCharType="separate"/>
      </w:r>
      <w:r>
        <w:t>2</w:t>
      </w:r>
      <w:r>
        <w:fldChar w:fldCharType="end"/>
      </w:r>
      <w:r>
        <w:rPr>
          <w:rFonts w:ascii="微软雅黑" w:hAnsi="微软雅黑" w:eastAsia="微软雅黑"/>
          <w:szCs w:val="28"/>
        </w:rPr>
        <w:fldChar w:fldCharType="end"/>
      </w:r>
    </w:p>
    <w:p w14:paraId="53D266CA">
      <w:pPr>
        <w:pStyle w:val="9"/>
        <w:tabs>
          <w:tab w:val="right" w:leader="dot" w:pos="8306"/>
        </w:tabs>
      </w:pPr>
      <w:r>
        <w:rPr>
          <w:rFonts w:ascii="微软雅黑" w:hAnsi="微软雅黑" w:eastAsia="微软雅黑"/>
          <w:szCs w:val="28"/>
        </w:rPr>
        <w:fldChar w:fldCharType="begin"/>
      </w:r>
      <w:r>
        <w:rPr>
          <w:rFonts w:ascii="微软雅黑" w:hAnsi="微软雅黑" w:eastAsia="微软雅黑"/>
          <w:szCs w:val="28"/>
        </w:rPr>
        <w:instrText xml:space="preserve"> HYPERLINK \l _Toc17874 </w:instrText>
      </w:r>
      <w:r>
        <w:rPr>
          <w:rFonts w:ascii="微软雅黑" w:hAnsi="微软雅黑" w:eastAsia="微软雅黑"/>
          <w:szCs w:val="28"/>
        </w:rPr>
        <w:fldChar w:fldCharType="separate"/>
      </w:r>
      <w:r>
        <w:rPr>
          <w:rFonts w:hint="default"/>
        </w:rPr>
        <w:t xml:space="preserve">(2) </w:t>
      </w:r>
      <w:r>
        <w:t>《深入推动服务型制造创新发展实施方案（2025—2028年）》</w:t>
      </w:r>
      <w:r>
        <w:tab/>
      </w:r>
      <w:r>
        <w:fldChar w:fldCharType="begin"/>
      </w:r>
      <w:r>
        <w:instrText xml:space="preserve"> PAGEREF _Toc17874 \h </w:instrText>
      </w:r>
      <w:r>
        <w:fldChar w:fldCharType="separate"/>
      </w:r>
      <w:r>
        <w:t>3</w:t>
      </w:r>
      <w:r>
        <w:fldChar w:fldCharType="end"/>
      </w:r>
      <w:r>
        <w:rPr>
          <w:rFonts w:ascii="微软雅黑" w:hAnsi="微软雅黑" w:eastAsia="微软雅黑"/>
          <w:szCs w:val="28"/>
        </w:rPr>
        <w:fldChar w:fldCharType="end"/>
      </w:r>
    </w:p>
    <w:p w14:paraId="24B0E175">
      <w:pPr>
        <w:pStyle w:val="9"/>
        <w:tabs>
          <w:tab w:val="right" w:leader="dot" w:pos="8306"/>
        </w:tabs>
      </w:pPr>
      <w:r>
        <w:rPr>
          <w:rFonts w:ascii="微软雅黑" w:hAnsi="微软雅黑" w:eastAsia="微软雅黑"/>
          <w:szCs w:val="28"/>
        </w:rPr>
        <w:fldChar w:fldCharType="begin"/>
      </w:r>
      <w:r>
        <w:rPr>
          <w:rFonts w:ascii="微软雅黑" w:hAnsi="微软雅黑" w:eastAsia="微软雅黑"/>
          <w:szCs w:val="28"/>
        </w:rPr>
        <w:instrText xml:space="preserve"> HYPERLINK \l _Toc13231 </w:instrText>
      </w:r>
      <w:r>
        <w:rPr>
          <w:rFonts w:ascii="微软雅黑" w:hAnsi="微软雅黑" w:eastAsia="微软雅黑"/>
          <w:szCs w:val="28"/>
        </w:rPr>
        <w:fldChar w:fldCharType="separate"/>
      </w:r>
      <w:r>
        <w:rPr>
          <w:rFonts w:hint="default"/>
        </w:rPr>
        <w:t xml:space="preserve">(3) </w:t>
      </w:r>
      <w:r>
        <w:t>《政务领域人工智能大模型部署应用指引》</w:t>
      </w:r>
      <w:r>
        <w:tab/>
      </w:r>
      <w:r>
        <w:fldChar w:fldCharType="begin"/>
      </w:r>
      <w:r>
        <w:instrText xml:space="preserve"> PAGEREF _Toc13231 \h </w:instrText>
      </w:r>
      <w:r>
        <w:fldChar w:fldCharType="separate"/>
      </w:r>
      <w:r>
        <w:t>3</w:t>
      </w:r>
      <w:r>
        <w:fldChar w:fldCharType="end"/>
      </w:r>
      <w:r>
        <w:rPr>
          <w:rFonts w:ascii="微软雅黑" w:hAnsi="微软雅黑" w:eastAsia="微软雅黑"/>
          <w:szCs w:val="28"/>
        </w:rPr>
        <w:fldChar w:fldCharType="end"/>
      </w:r>
    </w:p>
    <w:p w14:paraId="50883FE9">
      <w:pPr>
        <w:pStyle w:val="9"/>
        <w:tabs>
          <w:tab w:val="right" w:leader="dot" w:pos="8306"/>
        </w:tabs>
      </w:pPr>
      <w:r>
        <w:rPr>
          <w:rFonts w:ascii="微软雅黑" w:hAnsi="微软雅黑" w:eastAsia="微软雅黑"/>
          <w:szCs w:val="28"/>
        </w:rPr>
        <w:fldChar w:fldCharType="begin"/>
      </w:r>
      <w:r>
        <w:rPr>
          <w:rFonts w:ascii="微软雅黑" w:hAnsi="微软雅黑" w:eastAsia="微软雅黑"/>
          <w:szCs w:val="28"/>
        </w:rPr>
        <w:instrText xml:space="preserve"> HYPERLINK \l _Toc29180 </w:instrText>
      </w:r>
      <w:r>
        <w:rPr>
          <w:rFonts w:ascii="微软雅黑" w:hAnsi="微软雅黑" w:eastAsia="微软雅黑"/>
          <w:szCs w:val="28"/>
        </w:rPr>
        <w:fldChar w:fldCharType="separate"/>
      </w:r>
      <w:r>
        <w:rPr>
          <w:rFonts w:hint="default"/>
        </w:rPr>
        <w:t xml:space="preserve">(4) </w:t>
      </w:r>
      <w:r>
        <w:rPr>
          <w:rFonts w:hint="eastAsia"/>
        </w:rPr>
        <w:t>《电动汽车充电设施服务能力“三年倍增”行动方案（2025—2027年）》</w:t>
      </w:r>
      <w:r>
        <w:tab/>
      </w:r>
      <w:r>
        <w:fldChar w:fldCharType="begin"/>
      </w:r>
      <w:r>
        <w:instrText xml:space="preserve"> PAGEREF _Toc29180 \h </w:instrText>
      </w:r>
      <w:r>
        <w:fldChar w:fldCharType="separate"/>
      </w:r>
      <w:r>
        <w:t>3</w:t>
      </w:r>
      <w:r>
        <w:fldChar w:fldCharType="end"/>
      </w:r>
      <w:r>
        <w:rPr>
          <w:rFonts w:ascii="微软雅黑" w:hAnsi="微软雅黑" w:eastAsia="微软雅黑"/>
          <w:szCs w:val="28"/>
        </w:rPr>
        <w:fldChar w:fldCharType="end"/>
      </w:r>
    </w:p>
    <w:p w14:paraId="4F91365D">
      <w:pPr>
        <w:pStyle w:val="9"/>
        <w:tabs>
          <w:tab w:val="right" w:leader="dot" w:pos="8306"/>
        </w:tabs>
      </w:pPr>
      <w:r>
        <w:rPr>
          <w:rFonts w:ascii="微软雅黑" w:hAnsi="微软雅黑" w:eastAsia="微软雅黑"/>
          <w:szCs w:val="28"/>
        </w:rPr>
        <w:fldChar w:fldCharType="begin"/>
      </w:r>
      <w:r>
        <w:rPr>
          <w:rFonts w:ascii="微软雅黑" w:hAnsi="微软雅黑" w:eastAsia="微软雅黑"/>
          <w:szCs w:val="28"/>
        </w:rPr>
        <w:instrText xml:space="preserve"> HYPERLINK \l _Toc21470 </w:instrText>
      </w:r>
      <w:r>
        <w:rPr>
          <w:rFonts w:ascii="微软雅黑" w:hAnsi="微软雅黑" w:eastAsia="微软雅黑"/>
          <w:szCs w:val="28"/>
        </w:rPr>
        <w:fldChar w:fldCharType="separate"/>
      </w:r>
      <w:r>
        <w:rPr>
          <w:rFonts w:hint="default"/>
        </w:rPr>
        <w:t xml:space="preserve">(5) </w:t>
      </w:r>
      <w:r>
        <w:t>《贯彻落实〈中共中央办公厅、国务院办公厅关于推进新型城市基础设施建设打造韧性城市的意见〉行动方案（2025—2027年）》</w:t>
      </w:r>
      <w:r>
        <w:tab/>
      </w:r>
      <w:r>
        <w:fldChar w:fldCharType="begin"/>
      </w:r>
      <w:r>
        <w:instrText xml:space="preserve"> PAGEREF _Toc21470 \h </w:instrText>
      </w:r>
      <w:r>
        <w:fldChar w:fldCharType="separate"/>
      </w:r>
      <w:r>
        <w:t>4</w:t>
      </w:r>
      <w:r>
        <w:fldChar w:fldCharType="end"/>
      </w:r>
      <w:r>
        <w:rPr>
          <w:rFonts w:ascii="微软雅黑" w:hAnsi="微软雅黑" w:eastAsia="微软雅黑"/>
          <w:szCs w:val="28"/>
        </w:rPr>
        <w:fldChar w:fldCharType="end"/>
      </w:r>
    </w:p>
    <w:p w14:paraId="102285B9">
      <w:pPr>
        <w:pStyle w:val="9"/>
        <w:tabs>
          <w:tab w:val="right" w:leader="dot" w:pos="8306"/>
        </w:tabs>
      </w:pPr>
      <w:r>
        <w:rPr>
          <w:rFonts w:ascii="微软雅黑" w:hAnsi="微软雅黑" w:eastAsia="微软雅黑"/>
          <w:szCs w:val="28"/>
        </w:rPr>
        <w:fldChar w:fldCharType="begin"/>
      </w:r>
      <w:r>
        <w:rPr>
          <w:rFonts w:ascii="微软雅黑" w:hAnsi="微软雅黑" w:eastAsia="微软雅黑"/>
          <w:szCs w:val="28"/>
        </w:rPr>
        <w:instrText xml:space="preserve"> HYPERLINK \l _Toc31372 </w:instrText>
      </w:r>
      <w:r>
        <w:rPr>
          <w:rFonts w:ascii="微软雅黑" w:hAnsi="微软雅黑" w:eastAsia="微软雅黑"/>
          <w:szCs w:val="28"/>
        </w:rPr>
        <w:fldChar w:fldCharType="separate"/>
      </w:r>
      <w:r>
        <w:rPr>
          <w:rFonts w:hint="default"/>
        </w:rPr>
        <w:t xml:space="preserve">(6) </w:t>
      </w:r>
      <w:r>
        <w:t>《关于组织开展2025年重大环保技术装备创新任务揭榜挂帅工作的通知》</w:t>
      </w:r>
      <w:r>
        <w:tab/>
      </w:r>
      <w:r>
        <w:fldChar w:fldCharType="begin"/>
      </w:r>
      <w:r>
        <w:instrText xml:space="preserve"> PAGEREF _Toc31372 \h </w:instrText>
      </w:r>
      <w:r>
        <w:fldChar w:fldCharType="separate"/>
      </w:r>
      <w:r>
        <w:t>4</w:t>
      </w:r>
      <w:r>
        <w:fldChar w:fldCharType="end"/>
      </w:r>
      <w:r>
        <w:rPr>
          <w:rFonts w:ascii="微软雅黑" w:hAnsi="微软雅黑" w:eastAsia="微软雅黑"/>
          <w:szCs w:val="28"/>
        </w:rPr>
        <w:fldChar w:fldCharType="end"/>
      </w:r>
    </w:p>
    <w:p w14:paraId="428D54D7">
      <w:pPr>
        <w:pStyle w:val="18"/>
        <w:tabs>
          <w:tab w:val="right" w:leader="dot" w:pos="8306"/>
        </w:tabs>
      </w:pPr>
      <w:r>
        <w:rPr>
          <w:rFonts w:ascii="微软雅黑" w:hAnsi="微软雅黑" w:eastAsia="微软雅黑"/>
          <w:szCs w:val="28"/>
        </w:rPr>
        <w:fldChar w:fldCharType="begin"/>
      </w:r>
      <w:r>
        <w:rPr>
          <w:rFonts w:ascii="微软雅黑" w:hAnsi="微软雅黑" w:eastAsia="微软雅黑"/>
          <w:szCs w:val="28"/>
        </w:rPr>
        <w:instrText xml:space="preserve"> HYPERLINK \l _Toc31089 </w:instrText>
      </w:r>
      <w:r>
        <w:rPr>
          <w:rFonts w:ascii="微软雅黑" w:hAnsi="微软雅黑" w:eastAsia="微软雅黑"/>
          <w:szCs w:val="28"/>
        </w:rPr>
        <w:fldChar w:fldCharType="separate"/>
      </w:r>
      <w:r>
        <w:rPr>
          <w:rFonts w:hint="eastAsia"/>
        </w:rPr>
        <w:t>湖北省</w:t>
      </w:r>
      <w:r>
        <w:tab/>
      </w:r>
      <w:r>
        <w:fldChar w:fldCharType="begin"/>
      </w:r>
      <w:r>
        <w:instrText xml:space="preserve"> PAGEREF _Toc31089 \h </w:instrText>
      </w:r>
      <w:r>
        <w:fldChar w:fldCharType="separate"/>
      </w:r>
      <w:r>
        <w:t>5</w:t>
      </w:r>
      <w:r>
        <w:fldChar w:fldCharType="end"/>
      </w:r>
      <w:r>
        <w:rPr>
          <w:rFonts w:ascii="微软雅黑" w:hAnsi="微软雅黑" w:eastAsia="微软雅黑"/>
          <w:szCs w:val="28"/>
        </w:rPr>
        <w:fldChar w:fldCharType="end"/>
      </w:r>
    </w:p>
    <w:p w14:paraId="149F84BA">
      <w:pPr>
        <w:pStyle w:val="9"/>
        <w:tabs>
          <w:tab w:val="right" w:leader="dot" w:pos="8306"/>
        </w:tabs>
      </w:pPr>
      <w:r>
        <w:rPr>
          <w:rFonts w:ascii="微软雅黑" w:hAnsi="微软雅黑" w:eastAsia="微软雅黑"/>
          <w:szCs w:val="28"/>
        </w:rPr>
        <w:fldChar w:fldCharType="begin"/>
      </w:r>
      <w:r>
        <w:rPr>
          <w:rFonts w:ascii="微软雅黑" w:hAnsi="微软雅黑" w:eastAsia="微软雅黑"/>
          <w:szCs w:val="28"/>
        </w:rPr>
        <w:instrText xml:space="preserve"> HYPERLINK \l _Toc23586 </w:instrText>
      </w:r>
      <w:r>
        <w:rPr>
          <w:rFonts w:ascii="微软雅黑" w:hAnsi="微软雅黑" w:eastAsia="微软雅黑"/>
          <w:szCs w:val="28"/>
        </w:rPr>
        <w:fldChar w:fldCharType="separate"/>
      </w:r>
      <w:r>
        <w:rPr>
          <w:rFonts w:hint="default"/>
        </w:rPr>
        <w:t xml:space="preserve">(1) </w:t>
      </w:r>
      <w:r>
        <w:t>《关于加快知识密集型生产性服务业高质量发展的若干政策措施》</w:t>
      </w:r>
      <w:r>
        <w:tab/>
      </w:r>
      <w:r>
        <w:fldChar w:fldCharType="begin"/>
      </w:r>
      <w:r>
        <w:instrText xml:space="preserve"> PAGEREF _Toc23586 \h </w:instrText>
      </w:r>
      <w:r>
        <w:fldChar w:fldCharType="separate"/>
      </w:r>
      <w:r>
        <w:t>5</w:t>
      </w:r>
      <w:r>
        <w:fldChar w:fldCharType="end"/>
      </w:r>
      <w:r>
        <w:rPr>
          <w:rFonts w:ascii="微软雅黑" w:hAnsi="微软雅黑" w:eastAsia="微软雅黑"/>
          <w:szCs w:val="28"/>
        </w:rPr>
        <w:fldChar w:fldCharType="end"/>
      </w:r>
    </w:p>
    <w:p w14:paraId="45088BBF">
      <w:pPr>
        <w:pStyle w:val="14"/>
        <w:tabs>
          <w:tab w:val="right" w:leader="dot" w:pos="8306"/>
          <w:tab w:val="clear" w:pos="8296"/>
        </w:tabs>
      </w:pPr>
      <w:r>
        <w:rPr>
          <w:rFonts w:ascii="微软雅黑" w:hAnsi="微软雅黑" w:eastAsia="微软雅黑"/>
          <w:szCs w:val="28"/>
        </w:rPr>
        <w:fldChar w:fldCharType="begin"/>
      </w:r>
      <w:r>
        <w:rPr>
          <w:rFonts w:ascii="微软雅黑" w:hAnsi="微软雅黑" w:eastAsia="微软雅黑"/>
          <w:szCs w:val="28"/>
        </w:rPr>
        <w:instrText xml:space="preserve"> HYPERLINK \l _Toc11618 </w:instrText>
      </w:r>
      <w:r>
        <w:rPr>
          <w:rFonts w:ascii="微软雅黑" w:hAnsi="微软雅黑" w:eastAsia="微软雅黑"/>
          <w:szCs w:val="28"/>
        </w:rPr>
        <w:fldChar w:fldCharType="separate"/>
      </w:r>
      <w:r>
        <w:rPr>
          <w:rFonts w:hint="eastAsia"/>
        </w:rPr>
        <w:t>热点.资讯</w:t>
      </w:r>
      <w:r>
        <w:tab/>
      </w:r>
      <w:r>
        <w:fldChar w:fldCharType="begin"/>
      </w:r>
      <w:r>
        <w:instrText xml:space="preserve"> PAGEREF _Toc11618 \h </w:instrText>
      </w:r>
      <w:r>
        <w:fldChar w:fldCharType="separate"/>
      </w:r>
      <w:r>
        <w:t>5</w:t>
      </w:r>
      <w:r>
        <w:fldChar w:fldCharType="end"/>
      </w:r>
      <w:r>
        <w:rPr>
          <w:rFonts w:ascii="微软雅黑" w:hAnsi="微软雅黑" w:eastAsia="微软雅黑"/>
          <w:szCs w:val="28"/>
        </w:rPr>
        <w:fldChar w:fldCharType="end"/>
      </w:r>
    </w:p>
    <w:p w14:paraId="63328133">
      <w:pPr>
        <w:pStyle w:val="9"/>
        <w:tabs>
          <w:tab w:val="right" w:leader="dot" w:pos="8306"/>
        </w:tabs>
      </w:pPr>
      <w:r>
        <w:rPr>
          <w:rFonts w:ascii="微软雅黑" w:hAnsi="微软雅黑" w:eastAsia="微软雅黑"/>
          <w:szCs w:val="28"/>
        </w:rPr>
        <w:fldChar w:fldCharType="begin"/>
      </w:r>
      <w:r>
        <w:rPr>
          <w:rFonts w:ascii="微软雅黑" w:hAnsi="微软雅黑" w:eastAsia="微软雅黑"/>
          <w:szCs w:val="28"/>
        </w:rPr>
        <w:instrText xml:space="preserve"> HYPERLINK \l _Toc18267 </w:instrText>
      </w:r>
      <w:r>
        <w:rPr>
          <w:rFonts w:ascii="微软雅黑" w:hAnsi="微软雅黑" w:eastAsia="微软雅黑"/>
          <w:szCs w:val="28"/>
        </w:rPr>
        <w:fldChar w:fldCharType="separate"/>
      </w:r>
      <w:r>
        <w:rPr>
          <w:rFonts w:hint="default"/>
        </w:rPr>
        <w:t xml:space="preserve">(1) </w:t>
      </w:r>
      <w:r>
        <w:t>王忠林主持召开省“十五五”规划编制专家座谈会</w:t>
      </w:r>
      <w:r>
        <w:tab/>
      </w:r>
      <w:r>
        <w:fldChar w:fldCharType="begin"/>
      </w:r>
      <w:r>
        <w:instrText xml:space="preserve"> PAGEREF _Toc18267 \h </w:instrText>
      </w:r>
      <w:r>
        <w:fldChar w:fldCharType="separate"/>
      </w:r>
      <w:r>
        <w:t>5</w:t>
      </w:r>
      <w:r>
        <w:fldChar w:fldCharType="end"/>
      </w:r>
      <w:r>
        <w:rPr>
          <w:rFonts w:ascii="微软雅黑" w:hAnsi="微软雅黑" w:eastAsia="微软雅黑"/>
          <w:szCs w:val="28"/>
        </w:rPr>
        <w:fldChar w:fldCharType="end"/>
      </w:r>
    </w:p>
    <w:p w14:paraId="30AD65FE">
      <w:pPr>
        <w:pStyle w:val="9"/>
        <w:tabs>
          <w:tab w:val="right" w:leader="dot" w:pos="8306"/>
        </w:tabs>
      </w:pPr>
      <w:r>
        <w:rPr>
          <w:rFonts w:ascii="微软雅黑" w:hAnsi="微软雅黑" w:eastAsia="微软雅黑"/>
          <w:szCs w:val="28"/>
        </w:rPr>
        <w:fldChar w:fldCharType="begin"/>
      </w:r>
      <w:r>
        <w:rPr>
          <w:rFonts w:ascii="微软雅黑" w:hAnsi="微软雅黑" w:eastAsia="微软雅黑"/>
          <w:szCs w:val="28"/>
        </w:rPr>
        <w:instrText xml:space="preserve"> HYPERLINK \l _Toc9016 </w:instrText>
      </w:r>
      <w:r>
        <w:rPr>
          <w:rFonts w:ascii="微软雅黑" w:hAnsi="微软雅黑" w:eastAsia="微软雅黑"/>
          <w:szCs w:val="28"/>
        </w:rPr>
        <w:fldChar w:fldCharType="separate"/>
      </w:r>
      <w:r>
        <w:rPr>
          <w:rFonts w:hint="default"/>
        </w:rPr>
        <w:t xml:space="preserve">(2) </w:t>
      </w:r>
      <w:r>
        <w:rPr>
          <w:rFonts w:hint="eastAsia"/>
        </w:rPr>
        <w:t>王忠林主持研究推进关键技术攻关“尖刀”工程</w:t>
      </w:r>
      <w:r>
        <w:tab/>
      </w:r>
      <w:r>
        <w:fldChar w:fldCharType="begin"/>
      </w:r>
      <w:r>
        <w:instrText xml:space="preserve"> PAGEREF _Toc9016 \h </w:instrText>
      </w:r>
      <w:r>
        <w:fldChar w:fldCharType="separate"/>
      </w:r>
      <w:r>
        <w:t>6</w:t>
      </w:r>
      <w:r>
        <w:fldChar w:fldCharType="end"/>
      </w:r>
      <w:r>
        <w:rPr>
          <w:rFonts w:ascii="微软雅黑" w:hAnsi="微软雅黑" w:eastAsia="微软雅黑"/>
          <w:szCs w:val="28"/>
        </w:rPr>
        <w:fldChar w:fldCharType="end"/>
      </w:r>
    </w:p>
    <w:p w14:paraId="7B1E37F2">
      <w:pPr>
        <w:pStyle w:val="9"/>
        <w:tabs>
          <w:tab w:val="right" w:leader="dot" w:pos="8306"/>
        </w:tabs>
      </w:pPr>
      <w:r>
        <w:rPr>
          <w:rFonts w:ascii="微软雅黑" w:hAnsi="微软雅黑" w:eastAsia="微软雅黑"/>
          <w:szCs w:val="28"/>
        </w:rPr>
        <w:fldChar w:fldCharType="begin"/>
      </w:r>
      <w:r>
        <w:rPr>
          <w:rFonts w:ascii="微软雅黑" w:hAnsi="微软雅黑" w:eastAsia="微软雅黑"/>
          <w:szCs w:val="28"/>
        </w:rPr>
        <w:instrText xml:space="preserve"> HYPERLINK \l _Toc22903 </w:instrText>
      </w:r>
      <w:r>
        <w:rPr>
          <w:rFonts w:ascii="微软雅黑" w:hAnsi="微软雅黑" w:eastAsia="微软雅黑"/>
          <w:szCs w:val="28"/>
        </w:rPr>
        <w:fldChar w:fldCharType="separate"/>
      </w:r>
      <w:r>
        <w:rPr>
          <w:rFonts w:hint="default"/>
        </w:rPr>
        <w:t xml:space="preserve">(3) </w:t>
      </w:r>
      <w:r>
        <w:rPr>
          <w:rFonts w:hint="eastAsia"/>
        </w:rPr>
        <w:t>2025国际智能制造创新论坛在武汉举行</w:t>
      </w:r>
      <w:r>
        <w:tab/>
      </w:r>
      <w:r>
        <w:fldChar w:fldCharType="begin"/>
      </w:r>
      <w:r>
        <w:instrText xml:space="preserve"> PAGEREF _Toc22903 \h </w:instrText>
      </w:r>
      <w:r>
        <w:fldChar w:fldCharType="separate"/>
      </w:r>
      <w:r>
        <w:t>6</w:t>
      </w:r>
      <w:r>
        <w:fldChar w:fldCharType="end"/>
      </w:r>
      <w:r>
        <w:rPr>
          <w:rFonts w:ascii="微软雅黑" w:hAnsi="微软雅黑" w:eastAsia="微软雅黑"/>
          <w:szCs w:val="28"/>
        </w:rPr>
        <w:fldChar w:fldCharType="end"/>
      </w:r>
    </w:p>
    <w:p w14:paraId="5A361E57">
      <w:pPr>
        <w:snapToGrid w:val="0"/>
        <w:spacing w:line="360" w:lineRule="auto"/>
        <w:jc w:val="both"/>
      </w:pPr>
      <w:r>
        <w:rPr>
          <w:rFonts w:ascii="微软雅黑" w:hAnsi="微软雅黑" w:eastAsia="微软雅黑"/>
          <w:szCs w:val="28"/>
        </w:rPr>
        <w:fldChar w:fldCharType="end"/>
      </w:r>
    </w:p>
    <w:p w14:paraId="6488F0DC">
      <w:pPr>
        <w:snapToGrid w:val="0"/>
        <w:spacing w:line="360" w:lineRule="auto"/>
        <w:jc w:val="both"/>
        <w:rPr>
          <w:rFonts w:ascii="方正小标宋简体" w:hAnsi="方正小标宋简体" w:eastAsia="方正小标宋简体" w:cs="方正小标宋简体"/>
          <w:b/>
          <w:kern w:val="44"/>
          <w:sz w:val="32"/>
          <w:szCs w:val="32"/>
        </w:rPr>
      </w:pPr>
      <w:r>
        <w:br w:type="page"/>
      </w:r>
    </w:p>
    <w:p w14:paraId="606255E6">
      <w:pPr>
        <w:pStyle w:val="32"/>
        <w:jc w:val="both"/>
      </w:pPr>
    </w:p>
    <w:p w14:paraId="2A0394AA">
      <w:pPr>
        <w:pStyle w:val="2"/>
      </w:pPr>
      <w:bookmarkStart w:id="1" w:name="_Toc23596"/>
      <w:r>
        <w:rPr>
          <w:rFonts w:hint="eastAsia"/>
        </w:rPr>
        <w:t>重点.关注</w:t>
      </w:r>
      <w:bookmarkEnd w:id="1"/>
    </w:p>
    <w:p w14:paraId="547F2D0F">
      <w:pPr>
        <w:pStyle w:val="4"/>
        <w:rPr>
          <w:rFonts w:hint="eastAsia"/>
        </w:rPr>
      </w:pPr>
      <w:bookmarkStart w:id="2" w:name="_Toc13598"/>
      <w:r>
        <w:t>李强主持召开经济形势专家和企业家座谈会</w:t>
      </w:r>
      <w:bookmarkEnd w:id="2"/>
    </w:p>
    <w:p w14:paraId="5ABC02DD"/>
    <w:p w14:paraId="26567D2A">
      <w:r>
        <w:t>10月14日下午，中共中央政治局常委、国务院总理李强主持召开经济形势专家和企业家座谈会，听取对当前经济形势和下一步经济工作的意见建议。会上，徐奇渊、陈斌开等专家和企业家先后发言，认为今年以来我国经济运行顶住压力、稳中有进，展现出强大韧性和活力，虽面临困难但有利因素不断积累，并就宏观政策实施、解决突出问题等提出建议。</w:t>
      </w:r>
    </w:p>
    <w:p w14:paraId="10F8C861"/>
    <w:p w14:paraId="7646A2D0">
      <w:pPr>
        <w:rPr>
          <w:rFonts w:hint="eastAsia"/>
          <w:lang w:val="en-US" w:eastAsia="zh-CN"/>
        </w:rPr>
      </w:pPr>
      <w:r>
        <w:t>李强在听取发言后指出，面对复杂外部环境和困难挑战，各地区各部门落实积极宏观政策，推动经济持续回升向好。他强调，需从五年规划实施、经营主体活力支撑、国际局势变化中把握经济形势，坚定信心办好自己的事，努力完成全年目标任务。关于下一步工作，李强要求加力提效实施逆周期调节，持续扩大内需、做强国内大循环，多措并举营造一流产业生态，大力支持稳外贸稳外资。他还希望企业家秉持长期主义、开拓创新，专家学者发挥专业优势建言献策。</w:t>
      </w:r>
      <w:r>
        <w:rPr>
          <w:rFonts w:hint="eastAsia"/>
          <w:lang w:val="en-US" w:eastAsia="zh-CN"/>
        </w:rPr>
        <w:t xml:space="preserve"> </w:t>
      </w:r>
    </w:p>
    <w:p w14:paraId="481FBA22">
      <w:pPr>
        <w:rPr>
          <w:rFonts w:hint="eastAsia"/>
          <w:lang w:val="en-US" w:eastAsia="zh-CN"/>
        </w:rPr>
      </w:pPr>
    </w:p>
    <w:p w14:paraId="7CB80AA1">
      <w:r>
        <w:t>发文日期:2025年10月14日</w:t>
      </w:r>
    </w:p>
    <w:p w14:paraId="4B109F93">
      <w:r>
        <w:t>发文单位:中国政府网</w:t>
      </w:r>
    </w:p>
    <w:p w14:paraId="2E3799A3">
      <w:r>
        <w:t>原文链接:</w:t>
      </w:r>
      <w:r>
        <w:rPr>
          <w:rFonts w:hint="eastAsia"/>
        </w:rPr>
        <w:t>https://mp.weixin.qq.com/s/UFUKf5IaXWIpohymaCPeog</w:t>
      </w:r>
    </w:p>
    <w:p w14:paraId="296739AC">
      <w:pPr>
        <w:pStyle w:val="2"/>
      </w:pPr>
      <w:bookmarkStart w:id="3" w:name="_Toc4813"/>
      <w:r>
        <w:rPr>
          <w:rFonts w:hint="eastAsia"/>
        </w:rPr>
        <w:t>政策.速递</w:t>
      </w:r>
      <w:bookmarkEnd w:id="3"/>
    </w:p>
    <w:p w14:paraId="4B9811C3">
      <w:pPr>
        <w:pStyle w:val="3"/>
        <w:rPr>
          <w:rFonts w:hint="eastAsia"/>
        </w:rPr>
      </w:pPr>
      <w:bookmarkStart w:id="4" w:name="_Toc27233"/>
      <w:r>
        <w:rPr>
          <w:rFonts w:hint="eastAsia"/>
        </w:rPr>
        <w:t>中央</w:t>
      </w:r>
      <w:bookmarkEnd w:id="4"/>
      <w:r>
        <w:rPr>
          <w:rFonts w:hint="eastAsia"/>
        </w:rPr>
        <w:t xml:space="preserve"> </w:t>
      </w:r>
    </w:p>
    <w:p w14:paraId="23D48BB8">
      <w:pPr>
        <w:rPr>
          <w:rFonts w:hint="eastAsia"/>
        </w:rPr>
      </w:pPr>
    </w:p>
    <w:p w14:paraId="2CD26D7A">
      <w:pPr>
        <w:pStyle w:val="4"/>
        <w:numPr>
          <w:numId w:val="2"/>
        </w:numPr>
        <w:bidi w:val="0"/>
        <w:rPr>
          <w:rFonts w:hint="eastAsia"/>
        </w:rPr>
      </w:pPr>
      <w:bookmarkStart w:id="5" w:name="_Toc21295"/>
      <w:r>
        <w:rPr>
          <w:rFonts w:hint="eastAsia"/>
        </w:rPr>
        <w:t>《关于开展城域“毫秒用算”专项行动的通知》</w:t>
      </w:r>
      <w:bookmarkEnd w:id="5"/>
    </w:p>
    <w:p w14:paraId="5D4039D7">
      <w:pPr>
        <w:rPr>
          <w:rFonts w:hint="eastAsia"/>
        </w:rPr>
      </w:pPr>
    </w:p>
    <w:p w14:paraId="5EA5DECF">
      <w:pPr>
        <w:rPr>
          <w:rFonts w:hint="eastAsia" w:eastAsia="宋体"/>
          <w:lang w:eastAsia="zh-CN"/>
        </w:rPr>
      </w:pPr>
      <w:r>
        <w:rPr>
          <w:rFonts w:hint="eastAsia"/>
        </w:rPr>
        <w:t>为落实《算力基础设施高质量发展行动计划》要求，提升算力高效运载能力，近日工业和信息化部办公厅印发《关于开展城域“毫秒用算”专项行动的通知》。《通知》提出，以专项行动为牵引，带动产业各方聚焦畅通毫秒用算通道，在全国范围内梯次推进毫秒用算网络建设，到2027年基本形成全域覆盖、高效畅通的城域毫秒用算网络能力体系。《通知》提出三项具体行动。一是推动“算力中心毫秒互连”，加强创新技术落地</w:t>
      </w:r>
      <w:r>
        <w:rPr>
          <w:rFonts w:hint="eastAsia"/>
          <w:lang w:eastAsia="zh-CN"/>
        </w:rPr>
        <w:t>；二是推动“算力资源毫秒接入”，打造毫秒入算底座；三是推动“算力应用毫秒可达”，提升应用交互体验。</w:t>
      </w:r>
    </w:p>
    <w:p w14:paraId="027CCE91">
      <w:pPr>
        <w:rPr>
          <w:rFonts w:hint="eastAsia"/>
        </w:rPr>
      </w:pPr>
    </w:p>
    <w:p w14:paraId="288A34C3">
      <w:r>
        <w:t>发文日期:2025年10月1</w:t>
      </w:r>
      <w:r>
        <w:rPr>
          <w:rFonts w:hint="eastAsia"/>
          <w:lang w:val="en-US" w:eastAsia="zh-CN"/>
        </w:rPr>
        <w:t>6</w:t>
      </w:r>
      <w:r>
        <w:t>日</w:t>
      </w:r>
    </w:p>
    <w:p w14:paraId="162A1C40">
      <w:r>
        <w:t>发文单位:</w:t>
      </w:r>
      <w:r>
        <w:rPr>
          <w:rFonts w:hint="eastAsia"/>
        </w:rPr>
        <w:t>工业和信息化部</w:t>
      </w:r>
      <w:r>
        <w:rPr>
          <w:rFonts w:hint="eastAsia"/>
          <w:lang w:val="en-US" w:eastAsia="zh-CN"/>
        </w:rPr>
        <w:t xml:space="preserve"> </w:t>
      </w:r>
    </w:p>
    <w:p w14:paraId="66927813">
      <w:pPr>
        <w:rPr>
          <w:rFonts w:hint="eastAsia"/>
        </w:rPr>
      </w:pPr>
      <w:r>
        <w:t>原文链接:</w:t>
      </w:r>
      <w:r>
        <w:rPr>
          <w:rFonts w:hint="eastAsia"/>
        </w:rPr>
        <w:t>https://mp.weixin.qq.com/s/thkhp2FSh6LiJboLxtNmFQ</w:t>
      </w:r>
    </w:p>
    <w:p w14:paraId="38C35D79"/>
    <w:p w14:paraId="4EAA6A15">
      <w:pPr>
        <w:pStyle w:val="4"/>
        <w:numPr>
          <w:numId w:val="2"/>
        </w:numPr>
      </w:pPr>
      <w:bookmarkStart w:id="6" w:name="_Toc17874"/>
      <w:r>
        <w:t>《深入推动服务型制造创新发展实施方案（2025—2028年）》</w:t>
      </w:r>
      <w:bookmarkEnd w:id="6"/>
    </w:p>
    <w:p w14:paraId="45BCB7CA"/>
    <w:p w14:paraId="5DCD316E">
      <w:r>
        <w:t>近日，工业和信息化部等七部门联合印发《深入推动服务型制造创新发展实施方案（2025—2028年）》。《实施方案》明确发展目标：</w:t>
      </w:r>
      <w:r>
        <w:rPr>
          <w:rFonts w:hint="eastAsia"/>
        </w:rPr>
        <w:t>提出到2028年，打造服务型制造升级版，完成20项标准制定，打造50个领军品牌，建设100个创新发展高地，服务型制造典型模式广泛普及、新模式不断涌现，为促进信息化和工业化深度融合、加快建设现代化产业体系提供有力支撑</w:t>
      </w:r>
      <w:r>
        <w:t>。《实施方案》提出多项主要任务，包括加强关键共性技术攻关和模式创新</w:t>
      </w:r>
      <w:r>
        <w:rPr>
          <w:rFonts w:hint="eastAsia"/>
        </w:rPr>
        <w:t>、</w:t>
      </w:r>
      <w:r>
        <w:t>培育壮大重点生产性服务业</w:t>
      </w:r>
      <w:r>
        <w:rPr>
          <w:rFonts w:hint="eastAsia"/>
        </w:rPr>
        <w:t>、</w:t>
      </w:r>
      <w:r>
        <w:t>分类推进服务型制造模式推广应用</w:t>
      </w:r>
      <w:r>
        <w:rPr>
          <w:rFonts w:hint="eastAsia"/>
        </w:rPr>
        <w:t>、</w:t>
      </w:r>
      <w:r>
        <w:t>推进标准体系建设</w:t>
      </w:r>
      <w:r>
        <w:rPr>
          <w:rFonts w:hint="eastAsia"/>
        </w:rPr>
        <w:t>、</w:t>
      </w:r>
      <w:r>
        <w:t>激发经营主体发展活力</w:t>
      </w:r>
      <w:r>
        <w:rPr>
          <w:rFonts w:hint="eastAsia"/>
        </w:rPr>
        <w:t>、</w:t>
      </w:r>
      <w:r>
        <w:t>打造服务型制造创新发展高地</w:t>
      </w:r>
      <w:r>
        <w:rPr>
          <w:rFonts w:hint="eastAsia"/>
        </w:rPr>
        <w:t>、</w:t>
      </w:r>
      <w:r>
        <w:t>夯实服务型制造发展底座。</w:t>
      </w:r>
    </w:p>
    <w:p w14:paraId="5825DA81"/>
    <w:p w14:paraId="28DD7D1B">
      <w:r>
        <w:t>发文日期:2025年10月12日</w:t>
      </w:r>
    </w:p>
    <w:p w14:paraId="61E68DA4">
      <w:r>
        <w:t>发文单位:</w:t>
      </w:r>
      <w:r>
        <w:rPr>
          <w:rFonts w:hint="eastAsia"/>
        </w:rPr>
        <w:t>工业和信息化部</w:t>
      </w:r>
      <w:r>
        <w:rPr>
          <w:rFonts w:hint="eastAsia"/>
          <w:lang w:eastAsia="zh-CN"/>
        </w:rPr>
        <w:t>、</w:t>
      </w:r>
      <w:r>
        <w:rPr>
          <w:rFonts w:hint="eastAsia"/>
        </w:rPr>
        <w:t>人力资源社会保障部</w:t>
      </w:r>
      <w:r>
        <w:rPr>
          <w:rFonts w:hint="eastAsia"/>
          <w:lang w:eastAsia="zh-CN"/>
        </w:rPr>
        <w:t>、</w:t>
      </w:r>
      <w:r>
        <w:rPr>
          <w:rFonts w:hint="eastAsia"/>
        </w:rPr>
        <w:t>商务部</w:t>
      </w:r>
      <w:r>
        <w:rPr>
          <w:rFonts w:hint="eastAsia"/>
          <w:lang w:eastAsia="zh-CN"/>
        </w:rPr>
        <w:t>、</w:t>
      </w:r>
      <w:r>
        <w:rPr>
          <w:rFonts w:hint="eastAsia"/>
        </w:rPr>
        <w:t>市场监管总局</w:t>
      </w:r>
      <w:r>
        <w:rPr>
          <w:rFonts w:hint="eastAsia"/>
          <w:lang w:eastAsia="zh-CN"/>
        </w:rPr>
        <w:t>、</w:t>
      </w:r>
      <w:r>
        <w:rPr>
          <w:rFonts w:hint="eastAsia"/>
        </w:rPr>
        <w:t>国家统计局</w:t>
      </w:r>
      <w:r>
        <w:rPr>
          <w:rFonts w:hint="eastAsia"/>
          <w:lang w:eastAsia="zh-CN"/>
        </w:rPr>
        <w:t>、</w:t>
      </w:r>
      <w:r>
        <w:rPr>
          <w:rFonts w:hint="eastAsia"/>
        </w:rPr>
        <w:t>国家知识产权局</w:t>
      </w:r>
      <w:r>
        <w:rPr>
          <w:rFonts w:hint="eastAsia"/>
          <w:lang w:eastAsia="zh-CN"/>
        </w:rPr>
        <w:t>、</w:t>
      </w:r>
      <w:r>
        <w:rPr>
          <w:rFonts w:hint="eastAsia"/>
        </w:rPr>
        <w:t>中国工程院</w:t>
      </w:r>
    </w:p>
    <w:p w14:paraId="584745A3">
      <w:r>
        <w:t>原文链接:</w:t>
      </w:r>
      <w:r>
        <w:rPr>
          <w:rFonts w:hint="eastAsia"/>
        </w:rPr>
        <w:t>https://mp.weixin.qq.com/s/0Lh9bO5uxVwBHcy_4Lb-hw</w:t>
      </w:r>
    </w:p>
    <w:p w14:paraId="045C2567"/>
    <w:p w14:paraId="24D2E2EF">
      <w:pPr>
        <w:pStyle w:val="4"/>
        <w:numPr>
          <w:numId w:val="2"/>
        </w:numPr>
      </w:pPr>
      <w:bookmarkStart w:id="7" w:name="_Toc13231"/>
      <w:r>
        <w:t>《政务领域人工智能大模型部署应用指引》</w:t>
      </w:r>
      <w:bookmarkEnd w:id="7"/>
    </w:p>
    <w:p w14:paraId="084CEE41"/>
    <w:p w14:paraId="7775E69F">
      <w:r>
        <w:t>为安全稳妥推进政务领域人工智能大模型部署应用，中央网信办、国家发展改革委近日联合印发《政务领域人工智能大模型部署应用指引》，为各级政务部门提供工作导向和基本参照。《指引》强调场景牵引，明确政务部门可围绕政务服务、社会治理等共性高频需求，结合实际选择典型场景探索应用。规范部署方面，要求根据场景需求与技术基础审慎选择实施路径，地市需在省级统一要求下推进，县级及以下原则上复用上级资源，构建“一地建设、多地多部门复用”模式，防止“模型孤岛”，同时加强数据治理以支撑模型优化训练。</w:t>
      </w:r>
    </w:p>
    <w:p w14:paraId="67477189"/>
    <w:p w14:paraId="78A20B77">
      <w:r>
        <w:t>发文日期:2025年10月10日</w:t>
      </w:r>
    </w:p>
    <w:p w14:paraId="7AA6E44A">
      <w:r>
        <w:t>发文单位:中央网信办、国家发展改革委</w:t>
      </w:r>
    </w:p>
    <w:p w14:paraId="12494282">
      <w:r>
        <w:t>原文链接:</w:t>
      </w:r>
      <w:r>
        <w:rPr>
          <w:rFonts w:hint="eastAsia"/>
        </w:rPr>
        <w:t>https://mp.weixin.qq.com/s/JT3XJ49pahGnWVM-zt_JqQ</w:t>
      </w:r>
    </w:p>
    <w:p w14:paraId="355BEE8A"/>
    <w:p w14:paraId="517B2D73">
      <w:pPr>
        <w:pStyle w:val="4"/>
        <w:numPr>
          <w:numId w:val="2"/>
        </w:numPr>
      </w:pPr>
      <w:bookmarkStart w:id="8" w:name="_Toc29180"/>
      <w:r>
        <w:rPr>
          <w:rFonts w:hint="eastAsia"/>
        </w:rPr>
        <w:t>《电动汽车充电设施服务能力“三年倍增”行动方案（2025—2027年）》</w:t>
      </w:r>
      <w:bookmarkEnd w:id="8"/>
    </w:p>
    <w:p w14:paraId="0C32D0C8"/>
    <w:p w14:paraId="20E91299">
      <w:r>
        <w:rPr>
          <w:rFonts w:hint="eastAsia"/>
        </w:rPr>
        <w:t>为落实《提振消费专项行动方案》要求，国家发展改革委等部门联合印发《电动汽车充电设施服务能力“三年倍增”行动方案（2025—2027年）》，</w:t>
      </w:r>
      <w:r>
        <w:t>围绕“四个更加注重”（均衡性、创新性、普惠性、落地性），明确到2027年底建成2800万个充电设施、提供超3亿千瓦公共充电容量，满足8000万辆电动汽车充电需求的目标。重点部署五大专项行动：公共充电设施提质升级，补齐农村短板并优化大功率设施布局；居住区充电条件优化，推广“统建统服”模式；车网互动规模化应用，扩大试点范围；改善供电能力与服务，强化配电网改造及报装服务；提升运营服务质量，推动设备升级与规范收费。为保障落地，将加强组织领导，明确部门职责；强化落地实施，推动地方与企业协同；加强安全管理，规范设施建设运营；做好宣传引导，开展政策解读与跨领域交流。</w:t>
      </w:r>
    </w:p>
    <w:p w14:paraId="3D900A58">
      <w:pPr>
        <w:rPr>
          <w:rFonts w:hint="eastAsia"/>
        </w:rPr>
      </w:pPr>
    </w:p>
    <w:p w14:paraId="4E3B4008">
      <w:r>
        <w:rPr>
          <w:rFonts w:hint="eastAsia"/>
        </w:rPr>
        <w:t>发文日期:2025年</w:t>
      </w:r>
      <w:r>
        <w:t>10</w:t>
      </w:r>
      <w:r>
        <w:rPr>
          <w:rFonts w:hint="eastAsia"/>
        </w:rPr>
        <w:t>月</w:t>
      </w:r>
      <w:r>
        <w:t>15</w:t>
      </w:r>
      <w:r>
        <w:rPr>
          <w:rFonts w:hint="eastAsia"/>
        </w:rPr>
        <w:t>日</w:t>
      </w:r>
    </w:p>
    <w:p w14:paraId="5A16DB53">
      <w:r>
        <w:rPr>
          <w:rFonts w:hint="eastAsia"/>
        </w:rPr>
        <w:t>发文单位:国家发展改革委、国家能源局、工业和信息化部、住房城乡建设部、交通运输部、市场监管总局</w:t>
      </w:r>
    </w:p>
    <w:p w14:paraId="46235D35">
      <w:r>
        <w:rPr>
          <w:rFonts w:hint="eastAsia"/>
        </w:rPr>
        <w:t>原文链接:https://mp.weixin.qq.com/s/ChbLqKw8ug0xwhqccrMPwQ</w:t>
      </w:r>
    </w:p>
    <w:p w14:paraId="4B997C5E"/>
    <w:p w14:paraId="11497929">
      <w:pPr>
        <w:pStyle w:val="4"/>
        <w:numPr>
          <w:numId w:val="2"/>
        </w:numPr>
      </w:pPr>
      <w:bookmarkStart w:id="9" w:name="_Toc21470"/>
      <w:r>
        <w:t>《贯彻落实〈中共中央办公厅、国务院办公厅关于推进新型城市基础设施建设打造韧性城市的意见〉行动方案（2025—2027年）》</w:t>
      </w:r>
      <w:bookmarkEnd w:id="9"/>
    </w:p>
    <w:p w14:paraId="5EC23006"/>
    <w:p w14:paraId="2C6C5039">
      <w:r>
        <w:t>为深入贯彻落实相关意见，住房城乡建设部会同有关部门制定本行动方案，旨在推进数字化、网络化、智能化新型城市基础设施建设，增强城市风险防控和治理能力。方案明确了总体要求，坚持以习近平新时代中国特色社会主义思想为指导，遵循多项原则，目标到2027年底前，各项重点任务取得明显进展并形成可复制可推广经验。细化落实举措涵盖多方面：推动智能化市政基础设施建设和改造，包括编制行动计划、建立信息动态更新机制等；促进智慧城市基础设施与智能网联汽车协同发展，推进车路协同设施建设等；发展智慧住区，推进住区智慧化建设等；提升房屋建筑管理智慧化水平，建立全生命周期安全管理制度等；开展数字家庭建设，加强信息基础设施建设等；推动智能建造与建筑工业化协同发展，培育产业集群等；完善城市信息模型平台及城市运行管理服务平台；同时从科技赋能、投融资、数据安全、经验推广等方面完善保障措施，并强化统筹推进工作。</w:t>
      </w:r>
    </w:p>
    <w:p w14:paraId="54C5A9FB"/>
    <w:p w14:paraId="4DD3FE23">
      <w:r>
        <w:t>发文日期:2025年10月16日</w:t>
      </w:r>
    </w:p>
    <w:p w14:paraId="492DE3D2">
      <w:r>
        <w:t>发文单位:住房城乡建设部</w:t>
      </w:r>
    </w:p>
    <w:p w14:paraId="7B0337BB">
      <w:r>
        <w:t>原文链接:</w:t>
      </w:r>
      <w:r>
        <w:rPr>
          <w:rFonts w:hint="eastAsia"/>
        </w:rPr>
        <w:t>https://mp.weixin.qq.com/s/fljjEOV1qW5qgsCKAddFSA</w:t>
      </w:r>
    </w:p>
    <w:p w14:paraId="6DCB6D8B"/>
    <w:p w14:paraId="12A2957B">
      <w:pPr>
        <w:pStyle w:val="4"/>
        <w:numPr>
          <w:numId w:val="2"/>
        </w:numPr>
      </w:pPr>
      <w:bookmarkStart w:id="10" w:name="_Toc31372"/>
      <w:r>
        <w:t>《关于组织开展2025年重大环保技术装备创新任务揭榜挂帅工作的通知》</w:t>
      </w:r>
      <w:bookmarkEnd w:id="10"/>
    </w:p>
    <w:p w14:paraId="2CDF0342"/>
    <w:p w14:paraId="73E9AE37">
      <w:r>
        <w:t>工业和信息化部近日印发通知，组织开展2025年重大环保技术装备创新任务揭榜挂帅工作。此举旨在贯彻落实《促进环保装备制造业高质量发展的若干意见》，加快推动我国环保技术装备创新发展，提升环保装备全产业链竞争优势。通知明确，本次揭榜任务面向大气污染防治、水污染防治、固体废物处理、环境监测专用仪器仪表四大领域实际需求，聚焦高盐废水处理回用、干式烟气净化、持久性有机污染物识别监测等难点问题，共设立28项任务榜单。</w:t>
      </w:r>
      <w:r>
        <w:rPr>
          <w:rFonts w:hint="eastAsia"/>
        </w:rPr>
        <w:t xml:space="preserve"> </w:t>
      </w:r>
    </w:p>
    <w:p w14:paraId="76351C39"/>
    <w:p w14:paraId="4FBDFDAB">
      <w:r>
        <w:t>发文日期:2025年10月9日</w:t>
      </w:r>
    </w:p>
    <w:p w14:paraId="37A0B3AD">
      <w:r>
        <w:t>发文单位:工业和信息化部</w:t>
      </w:r>
    </w:p>
    <w:p w14:paraId="20DA505D">
      <w:pPr>
        <w:rPr>
          <w:rFonts w:hint="eastAsia"/>
        </w:rPr>
      </w:pPr>
      <w:r>
        <w:t xml:space="preserve">原文链接: </w:t>
      </w:r>
      <w:r>
        <w:rPr>
          <w:rFonts w:hint="eastAsia"/>
        </w:rPr>
        <w:t>https://mp.weixin.qq.com/s/j3o5UAcrPE0fc99kY2M6Vw</w:t>
      </w:r>
    </w:p>
    <w:p w14:paraId="2DB97562">
      <w:pPr>
        <w:rPr>
          <w:rFonts w:hint="eastAsia"/>
        </w:rPr>
      </w:pPr>
    </w:p>
    <w:p w14:paraId="1C757374">
      <w:pPr>
        <w:pStyle w:val="3"/>
      </w:pPr>
      <w:bookmarkStart w:id="11" w:name="_Toc31089"/>
      <w:r>
        <w:rPr>
          <w:rFonts w:hint="eastAsia"/>
        </w:rPr>
        <w:t>湖北省</w:t>
      </w:r>
      <w:bookmarkEnd w:id="11"/>
    </w:p>
    <w:p w14:paraId="42E8C2FB"/>
    <w:p w14:paraId="1C3894C9">
      <w:pPr>
        <w:pStyle w:val="4"/>
        <w:numPr>
          <w:numId w:val="3"/>
        </w:numPr>
        <w:bidi w:val="0"/>
      </w:pPr>
      <w:bookmarkStart w:id="12" w:name="_Toc23586"/>
      <w:r>
        <w:t>《关于加快知识密集型生产性服务业高质量发展的若干政策措施》</w:t>
      </w:r>
      <w:bookmarkEnd w:id="12"/>
    </w:p>
    <w:p w14:paraId="614399AC"/>
    <w:p w14:paraId="1AA9BE6F">
      <w:r>
        <w:t>为构建湖北现代化产业体系，提升支点产业竞争力，湖北省发布相关政策措施，力争到2027年全省科技、信息、金融、商务四大服务领域增加值占GDP比重显著提升。政策围绕五大方面提出24项举措：强化科创引领，实施湖北实验室效能提升行动，对研发投入增量、科技企业孵化器、中试平台等给予奖励，最高奖励500万元；强化数智赋能，打造“世界工业软件之都”，对首版次软件研制生产与应用单位双边最高奖励1000万元，发放算力券、上云服务券支持企业数字化转型；提升金融服务能级，引育优质金融机构，重构引导基金体系，完善多层次资本市场；激发商务服务协同效应，升级数智供应链物流，发展现代会展及高端人力资源服务；夯实载体支撑，奖励优秀现代服务业集聚区，推动先进制造业与现代服务业深度融合，培育“荆新服务”品牌。政策明确责任分工，自发布之日起施行，有效期至2027年12月31日。</w:t>
      </w:r>
    </w:p>
    <w:p w14:paraId="4DC90438"/>
    <w:p w14:paraId="28562280">
      <w:r>
        <w:t>发文日期:2025年10月</w:t>
      </w:r>
      <w:r>
        <w:rPr>
          <w:rFonts w:hint="eastAsia"/>
          <w:lang w:val="en-US" w:eastAsia="zh-CN"/>
        </w:rPr>
        <w:t>1</w:t>
      </w:r>
      <w:r>
        <w:t>5日</w:t>
      </w:r>
    </w:p>
    <w:p w14:paraId="1681B99B">
      <w:r>
        <w:t>发文单位:湖北省发展和改革委员会</w:t>
      </w:r>
    </w:p>
    <w:p w14:paraId="528FB86E">
      <w:pPr>
        <w:rPr>
          <w:rFonts w:hint="eastAsia"/>
        </w:rPr>
      </w:pPr>
      <w:r>
        <w:t>原文链接:</w:t>
      </w:r>
      <w:r>
        <w:rPr>
          <w:rFonts w:hint="eastAsia"/>
        </w:rPr>
        <w:t>https://mp.weixin.qq.com/s/yN3ZWWRPcbLhDIewcF4hrg</w:t>
      </w:r>
    </w:p>
    <w:p w14:paraId="3236A993">
      <w:pPr>
        <w:rPr>
          <w:rFonts w:hint="eastAsia"/>
        </w:rPr>
      </w:pPr>
    </w:p>
    <w:p w14:paraId="3A1A8849">
      <w:pPr>
        <w:pStyle w:val="2"/>
      </w:pPr>
      <w:bookmarkStart w:id="13" w:name="_Toc11618"/>
      <w:r>
        <w:rPr>
          <w:rFonts w:hint="eastAsia"/>
        </w:rPr>
        <w:t>热点.资讯</w:t>
      </w:r>
      <w:bookmarkEnd w:id="13"/>
    </w:p>
    <w:p w14:paraId="495C75C9">
      <w:pPr>
        <w:pStyle w:val="4"/>
        <w:numPr>
          <w:numId w:val="4"/>
        </w:numPr>
      </w:pPr>
      <w:bookmarkStart w:id="14" w:name="_Toc18267"/>
      <w:r>
        <w:t>王忠林主持召开省“十五五”规划编制专家座谈会</w:t>
      </w:r>
      <w:bookmarkEnd w:id="14"/>
      <w:r>
        <w:t xml:space="preserve"> </w:t>
      </w:r>
      <w:r>
        <w:rPr>
          <w:rFonts w:hint="eastAsia"/>
        </w:rPr>
        <w:t xml:space="preserve"> </w:t>
      </w:r>
    </w:p>
    <w:p w14:paraId="56E2D220"/>
    <w:p w14:paraId="4BD08FF8">
      <w:r>
        <w:t>10月14日上午，湖北省委书记、省人大常委会主任、省“十五五”规划起草组组长王忠林主持召开省“十五五”规划编制专家座谈会。他强调，要深入学习贯彻习近平总书记对“十五五”规划编制工作的重要指示和考察湖北重要讲话精神，开门问策、集思广益，统筹谋划、精心组织，科学编制好规划，为加快建成中部地区崛起重要战略支点提供支撑。会上，朱松纯、邹薇等专家围绕智能经济发展、重点领域突破、共同富裕、全球要素汇聚、长江中游城市群联动发展及社会治理等提出建议。王忠林认真听取并表示，将梳理吸收专家意见，强调编制规划要统一思想，把握历史方位，聚焦高质量发展、科技创新与产业融合、深化改革、文化创新、区域协调、城乡融合、安全底线等关键问题，服务国家大局。</w:t>
      </w:r>
    </w:p>
    <w:p w14:paraId="5300DC8A"/>
    <w:p w14:paraId="03884D6E"/>
    <w:p w14:paraId="08300D7F">
      <w:r>
        <w:t>发文日期:2025年10月14日</w:t>
      </w:r>
    </w:p>
    <w:p w14:paraId="41AD4E7B">
      <w:pPr>
        <w:rPr>
          <w:rFonts w:hint="eastAsia" w:eastAsia="宋体"/>
          <w:lang w:val="en-US" w:eastAsia="zh-CN"/>
        </w:rPr>
      </w:pPr>
      <w:r>
        <w:t>发文单位:湖北省</w:t>
      </w:r>
      <w:r>
        <w:rPr>
          <w:rFonts w:hint="eastAsia"/>
          <w:lang w:val="en-US" w:eastAsia="zh-CN"/>
        </w:rPr>
        <w:t>政府</w:t>
      </w:r>
    </w:p>
    <w:p w14:paraId="4D35A463">
      <w:pPr>
        <w:rPr>
          <w:rFonts w:hint="eastAsia"/>
        </w:rPr>
      </w:pPr>
      <w:r>
        <w:t>原文链接:</w:t>
      </w:r>
      <w:r>
        <w:rPr>
          <w:rFonts w:hint="eastAsia"/>
        </w:rPr>
        <w:t>https://mp.weixin.qq.com/s/1W0PkFY5BQuTY_zHCFE0rA</w:t>
      </w:r>
    </w:p>
    <w:p w14:paraId="74F8BB80"/>
    <w:p w14:paraId="63907001">
      <w:pPr>
        <w:pStyle w:val="4"/>
        <w:numPr>
          <w:numId w:val="4"/>
        </w:numPr>
        <w:bidi w:val="0"/>
        <w:rPr>
          <w:rFonts w:hint="eastAsia"/>
        </w:rPr>
      </w:pPr>
      <w:bookmarkStart w:id="15" w:name="_Toc9016"/>
      <w:r>
        <w:rPr>
          <w:rFonts w:hint="eastAsia"/>
        </w:rPr>
        <w:t>王忠林主持研究推进关键技术攻关“尖刀”工程</w:t>
      </w:r>
      <w:bookmarkEnd w:id="15"/>
    </w:p>
    <w:p w14:paraId="70AC4E80">
      <w:pPr>
        <w:rPr>
          <w:rFonts w:hint="eastAsia"/>
        </w:rPr>
      </w:pPr>
    </w:p>
    <w:p w14:paraId="246400B2">
      <w:pPr>
        <w:rPr>
          <w:rFonts w:hint="default" w:eastAsia="宋体"/>
          <w:lang w:val="en-US" w:eastAsia="zh-CN"/>
        </w:rPr>
      </w:pPr>
      <w:r>
        <w:rPr>
          <w:rFonts w:hint="eastAsia"/>
        </w:rPr>
        <w:t>10月16日上午，省委书记、省人大常委会主任王忠林主持研究推进关键技术攻关“尖刀”工程。他强调，要深入学习贯彻习近平总书记关于科技创新的重要论述和考察湖北重要讲话精神，坚持“四个面向”，加快实施“尖刀”工程，突破更多关键核心技术，催生更多新技术新产业，奋力打造具有全国影响力的科技创新高地，为加快建成中部地区崛起的重要战略支点提供强大支撑。</w:t>
      </w:r>
      <w:r>
        <w:rPr>
          <w:rFonts w:hint="eastAsia"/>
          <w:lang w:val="en-US" w:eastAsia="zh-CN"/>
        </w:rPr>
        <w:t>会上强调，要强化集中攻关，加快推动更多原创性、颠覆性、变革性科技突破，立足“产业所困”，聚焦“51020”先进制造业产业集群和五大现代服务业产业集群发展需要，找准创新突破口，解决“卡脖子”问题；要强化融合发展，更好推动科技成果转化应用，注重供给侧与需求侧协同，按照“企业出题、科技破题、合力答题”的思路，紧紧围绕需求促进创新，实现更多“从0到1”的原创性突破和“从1到N”的产业化跃迁。</w:t>
      </w:r>
    </w:p>
    <w:p w14:paraId="2E2FAFB5">
      <w:pPr>
        <w:rPr>
          <w:rFonts w:hint="eastAsia"/>
        </w:rPr>
      </w:pPr>
    </w:p>
    <w:p w14:paraId="7EB3FEA8">
      <w:r>
        <w:t>发文日期:2025年10月1</w:t>
      </w:r>
      <w:r>
        <w:rPr>
          <w:rFonts w:hint="eastAsia"/>
          <w:lang w:val="en-US" w:eastAsia="zh-CN"/>
        </w:rPr>
        <w:t>7</w:t>
      </w:r>
      <w:r>
        <w:t>日</w:t>
      </w:r>
    </w:p>
    <w:p w14:paraId="72155F2B">
      <w:pPr>
        <w:rPr>
          <w:rFonts w:hint="eastAsia" w:eastAsia="宋体"/>
          <w:lang w:val="en-US" w:eastAsia="zh-CN"/>
        </w:rPr>
      </w:pPr>
      <w:r>
        <w:t>发文单位:湖北省</w:t>
      </w:r>
      <w:r>
        <w:rPr>
          <w:rFonts w:hint="eastAsia"/>
          <w:lang w:val="en-US" w:eastAsia="zh-CN"/>
        </w:rPr>
        <w:t>政府</w:t>
      </w:r>
    </w:p>
    <w:p w14:paraId="682AE29B">
      <w:pPr>
        <w:rPr>
          <w:rFonts w:hint="eastAsia"/>
        </w:rPr>
      </w:pPr>
      <w:r>
        <w:t>原文链接:</w:t>
      </w:r>
      <w:r>
        <w:rPr>
          <w:rFonts w:hint="eastAsia"/>
        </w:rPr>
        <w:t>https://mp.weixin.qq.com/s/onDusTTEnQIMAju3DYWzyw</w:t>
      </w:r>
    </w:p>
    <w:p w14:paraId="706DDC85">
      <w:pPr>
        <w:rPr>
          <w:rFonts w:hint="eastAsia"/>
        </w:rPr>
      </w:pPr>
    </w:p>
    <w:p w14:paraId="04106969">
      <w:pPr>
        <w:pStyle w:val="4"/>
        <w:numPr>
          <w:numId w:val="4"/>
        </w:numPr>
        <w:bidi w:val="0"/>
        <w:rPr>
          <w:rFonts w:hint="eastAsia"/>
        </w:rPr>
      </w:pPr>
      <w:bookmarkStart w:id="16" w:name="_Toc22903"/>
      <w:r>
        <w:rPr>
          <w:rFonts w:hint="eastAsia"/>
        </w:rPr>
        <w:t>2025国际智能制造创新论坛在武汉举行</w:t>
      </w:r>
      <w:bookmarkEnd w:id="16"/>
    </w:p>
    <w:p w14:paraId="2DFD0459">
      <w:pPr>
        <w:rPr>
          <w:rFonts w:hint="eastAsia"/>
        </w:rPr>
      </w:pPr>
    </w:p>
    <w:p w14:paraId="3D20B561">
      <w:pPr>
        <w:rPr>
          <w:rFonts w:hint="eastAsia"/>
        </w:rPr>
      </w:pPr>
      <w:r>
        <w:rPr>
          <w:rFonts w:hint="eastAsia"/>
        </w:rPr>
        <w:t>10月15日，2025国际智能制造创新论坛在光谷科技会展中心举行。省委常委、常务副省长张文兵出席活动并致辞。作为“2025东湖论坛”的系列重磅活动之一，本次论坛是我国今年举行的规格与规模兼具的智能制造高端论坛。论坛聚焦“工业AI发展趋势与应用前景”，来自中国、美国、德国、加拿大、葡萄牙等全球多国的院士专家、龙头企业代表轮番登台，带来技术与趋势的深度碰撞，解锁工业AI落地实践路径，共绘智能制造协同发展蓝图，为与会嘉宾呈上了一场精彩纷呈的国际智能制造知识盛宴。</w:t>
      </w:r>
    </w:p>
    <w:p w14:paraId="66242ADF">
      <w:pPr>
        <w:rPr>
          <w:rFonts w:hint="eastAsia"/>
        </w:rPr>
      </w:pPr>
    </w:p>
    <w:p w14:paraId="3ADBC018">
      <w:r>
        <w:t>发文日期:2025年10月1</w:t>
      </w:r>
      <w:r>
        <w:rPr>
          <w:rFonts w:hint="eastAsia"/>
          <w:lang w:val="en-US" w:eastAsia="zh-CN"/>
        </w:rPr>
        <w:t>5</w:t>
      </w:r>
      <w:r>
        <w:t>日</w:t>
      </w:r>
    </w:p>
    <w:p w14:paraId="58815FA7">
      <w:pPr>
        <w:rPr>
          <w:rFonts w:hint="eastAsia" w:eastAsia="宋体"/>
          <w:lang w:val="en-US" w:eastAsia="zh-CN"/>
        </w:rPr>
      </w:pPr>
      <w:r>
        <w:t>发文单位:湖北省</w:t>
      </w:r>
      <w:r>
        <w:rPr>
          <w:rFonts w:hint="eastAsia"/>
          <w:lang w:val="en-US" w:eastAsia="zh-CN"/>
        </w:rPr>
        <w:t>政府</w:t>
      </w:r>
    </w:p>
    <w:p w14:paraId="6C8EF736">
      <w:pPr>
        <w:rPr>
          <w:rFonts w:hint="eastAsia"/>
        </w:rPr>
      </w:pPr>
      <w:r>
        <w:t>原文链接:</w:t>
      </w:r>
      <w:r>
        <w:rPr>
          <w:rFonts w:hint="eastAsia"/>
        </w:rPr>
        <w:t>https://mp.weixin.qq.com/s/NnDPo6xYYO5WcQyvuO-aMg</w:t>
      </w:r>
    </w:p>
    <w:p w14:paraId="08594B46"/>
    <w:p w14:paraId="29666F41"/>
    <w:p w14:paraId="6A6BFBEC">
      <w:bookmarkStart w:id="17" w:name="_GoBack"/>
      <w:bookmarkEnd w:id="17"/>
    </w:p>
    <w:sectPr>
      <w:footerReference r:id="rId3" w:type="default"/>
      <w:pgSz w:w="11906" w:h="16838"/>
      <w:pgMar w:top="1440" w:right="1800" w:bottom="1440" w:left="1800"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小标宋简体">
    <w:altName w:val="微软雅黑"/>
    <w:panose1 w:val="020B0604020202020204"/>
    <w:charset w:val="86"/>
    <w:family w:val="auto"/>
    <w:pitch w:val="default"/>
    <w:sig w:usb0="00000000" w:usb1="00000000" w:usb2="00000012" w:usb3="00000000" w:csb0="00040001" w:csb1="00000000"/>
  </w:font>
  <w:font w:name="微软雅黑">
    <w:panose1 w:val="020B0503020204020204"/>
    <w:charset w:val="86"/>
    <w:family w:val="swiss"/>
    <w:pitch w:val="default"/>
    <w:sig w:usb0="80000287" w:usb1="2ACF3C50" w:usb2="00000016" w:usb3="00000000" w:csb0="0004001F" w:csb1="00000000"/>
  </w:font>
  <w:font w:name="仿宋_GB2312">
    <w:altName w:val="仿宋"/>
    <w:panose1 w:val="020B0604020202020204"/>
    <w:charset w:val="00"/>
    <w:family w:val="auto"/>
    <w:pitch w:val="default"/>
    <w:sig w:usb0="00000000" w:usb1="00000000" w:usb2="00000000" w:usb3="00000000" w:csb0="00000000" w:csb1="00000000"/>
  </w:font>
  <w:font w:name="仿宋">
    <w:panose1 w:val="02010609060101010101"/>
    <w:charset w:val="86"/>
    <w:family w:val="auto"/>
    <w:pitch w:val="default"/>
    <w:sig w:usb0="800002BF" w:usb1="38CF7CFA" w:usb2="00000016" w:usb3="00000000" w:csb0="00040001" w:csb1="00000000"/>
  </w:font>
  <w:font w:name="Calibri Light">
    <w:panose1 w:val="020F03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24CBBC">
    <w:pPr>
      <w:pStyle w:val="12"/>
      <w:ind w:firstLine="360"/>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E1DEA07">
                          <w:pPr>
                            <w:pStyle w:val="12"/>
                          </w:pPr>
                          <w:r>
                            <w:fldChar w:fldCharType="begin"/>
                          </w:r>
                          <w:r>
                            <w:instrText xml:space="preserve"> PAGE  \* MERGEFORMAT </w:instrText>
                          </w:r>
                          <w:r>
                            <w:fldChar w:fldCharType="separate"/>
                          </w:r>
                          <w:r>
                            <w:t>20</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66C/ssAgAAVQQAAA4AAABkcnMvZTJvRG9jLnhtbK1UzY7TMBC+I/EO&#10;lu80aRG7Vd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Wh1ywLG/1geYSO&#10;4nm73AcImHSNovRKnLVCt6XKnCcjtvOf+xT1+DdY/AZ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nroL+ywCAABVBAAADgAAAAAAAAABACAAAAAfAQAAZHJzL2Uyb0RvYy54bWxQSwUGAAAAAAYA&#10;BgBZAQAAvQUAAAAA&#10;">
              <v:fill on="f" focussize="0,0"/>
              <v:stroke on="f" weight="0.5pt"/>
              <v:imagedata o:title=""/>
              <o:lock v:ext="edit" aspectratio="f"/>
              <v:textbox inset="0mm,0mm,0mm,0mm" style="mso-fit-shape-to-text:t;">
                <w:txbxContent>
                  <w:p w14:paraId="4E1DEA07">
                    <w:pPr>
                      <w:pStyle w:val="12"/>
                    </w:pPr>
                    <w:r>
                      <w:fldChar w:fldCharType="begin"/>
                    </w:r>
                    <w:r>
                      <w:instrText xml:space="preserve"> PAGE  \* MERGEFORMAT </w:instrText>
                    </w:r>
                    <w:r>
                      <w:fldChar w:fldCharType="separate"/>
                    </w:r>
                    <w:r>
                      <w:t>20</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661AAF6"/>
    <w:multiLevelType w:val="singleLevel"/>
    <w:tmpl w:val="9661AAF6"/>
    <w:lvl w:ilvl="0" w:tentative="0">
      <w:start w:val="1"/>
      <w:numFmt w:val="decimal"/>
      <w:pStyle w:val="4"/>
      <w:lvlText w:val="(%1)"/>
      <w:lvlJc w:val="left"/>
      <w:pPr>
        <w:ind w:left="425" w:hanging="425"/>
      </w:pPr>
      <w:rPr>
        <w:rFonts w:hint="default"/>
      </w:rPr>
    </w:lvl>
  </w:abstractNum>
  <w:num w:numId="1">
    <w:abstractNumId w:val="0"/>
  </w:num>
  <w:num w:numId="2">
    <w:abstractNumId w:val="0"/>
    <w:lvlOverride w:ilvl="0">
      <w:startOverride w:val="1"/>
    </w:lvlOverride>
  </w:num>
  <w:num w:numId="3">
    <w:abstractNumId w:val="0"/>
    <w:lvlOverride w:ilvl="0">
      <w:startOverride w:val="1"/>
    </w:lvlOverride>
  </w:num>
  <w:num w:numId="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4"/>
  <w:embedSystemFonts/>
  <w:bordersDoNotSurroundHeader w:val="1"/>
  <w:bordersDoNotSurroundFooter w:val="1"/>
  <w:hideSpellingErrors/>
  <w:hideGrammaticalErrors/>
  <w:documentProtection w:enforcement="0"/>
  <w:defaultTabStop w:val="36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3B87749"/>
    <w:rsid w:val="00005CCC"/>
    <w:rsid w:val="00010FD5"/>
    <w:rsid w:val="00026FE8"/>
    <w:rsid w:val="000410FC"/>
    <w:rsid w:val="00047104"/>
    <w:rsid w:val="000536EC"/>
    <w:rsid w:val="000629A4"/>
    <w:rsid w:val="00072F84"/>
    <w:rsid w:val="000733D6"/>
    <w:rsid w:val="00073967"/>
    <w:rsid w:val="00075948"/>
    <w:rsid w:val="00084D11"/>
    <w:rsid w:val="00085151"/>
    <w:rsid w:val="00096DDE"/>
    <w:rsid w:val="000A4340"/>
    <w:rsid w:val="000A44D2"/>
    <w:rsid w:val="000A44FC"/>
    <w:rsid w:val="000A4642"/>
    <w:rsid w:val="000A547C"/>
    <w:rsid w:val="000A613C"/>
    <w:rsid w:val="000E632C"/>
    <w:rsid w:val="000F0F72"/>
    <w:rsid w:val="000F3299"/>
    <w:rsid w:val="001069AF"/>
    <w:rsid w:val="00116665"/>
    <w:rsid w:val="00130104"/>
    <w:rsid w:val="00142016"/>
    <w:rsid w:val="001444EC"/>
    <w:rsid w:val="00152E21"/>
    <w:rsid w:val="00170B7B"/>
    <w:rsid w:val="00174B07"/>
    <w:rsid w:val="00177F10"/>
    <w:rsid w:val="00180460"/>
    <w:rsid w:val="00181702"/>
    <w:rsid w:val="00182B8E"/>
    <w:rsid w:val="00192AD6"/>
    <w:rsid w:val="0019332D"/>
    <w:rsid w:val="00193C78"/>
    <w:rsid w:val="00196B7E"/>
    <w:rsid w:val="001A238A"/>
    <w:rsid w:val="001A4F2E"/>
    <w:rsid w:val="001B3F5C"/>
    <w:rsid w:val="001B4228"/>
    <w:rsid w:val="001B6511"/>
    <w:rsid w:val="001D2978"/>
    <w:rsid w:val="001E0014"/>
    <w:rsid w:val="001E30C9"/>
    <w:rsid w:val="001E69CA"/>
    <w:rsid w:val="001F7350"/>
    <w:rsid w:val="001F79CE"/>
    <w:rsid w:val="00203822"/>
    <w:rsid w:val="00207F33"/>
    <w:rsid w:val="0021682C"/>
    <w:rsid w:val="0021704E"/>
    <w:rsid w:val="00223274"/>
    <w:rsid w:val="0022351D"/>
    <w:rsid w:val="00226199"/>
    <w:rsid w:val="00226B79"/>
    <w:rsid w:val="002374D3"/>
    <w:rsid w:val="00237F42"/>
    <w:rsid w:val="00241E27"/>
    <w:rsid w:val="00242B16"/>
    <w:rsid w:val="00244B4D"/>
    <w:rsid w:val="00247E53"/>
    <w:rsid w:val="0025353D"/>
    <w:rsid w:val="00257943"/>
    <w:rsid w:val="002632E5"/>
    <w:rsid w:val="00266FF5"/>
    <w:rsid w:val="00270D04"/>
    <w:rsid w:val="00281DCB"/>
    <w:rsid w:val="00283AC6"/>
    <w:rsid w:val="00284BFD"/>
    <w:rsid w:val="00290211"/>
    <w:rsid w:val="002904EF"/>
    <w:rsid w:val="00291686"/>
    <w:rsid w:val="00292B47"/>
    <w:rsid w:val="002A1B62"/>
    <w:rsid w:val="002A5076"/>
    <w:rsid w:val="002A725C"/>
    <w:rsid w:val="002C0CBB"/>
    <w:rsid w:val="002C119B"/>
    <w:rsid w:val="002E0917"/>
    <w:rsid w:val="002E2F64"/>
    <w:rsid w:val="00303573"/>
    <w:rsid w:val="003247E7"/>
    <w:rsid w:val="003265BB"/>
    <w:rsid w:val="00332003"/>
    <w:rsid w:val="003326FD"/>
    <w:rsid w:val="00335212"/>
    <w:rsid w:val="00344659"/>
    <w:rsid w:val="00347B0A"/>
    <w:rsid w:val="003514D1"/>
    <w:rsid w:val="00356C86"/>
    <w:rsid w:val="00357AB7"/>
    <w:rsid w:val="00362DF4"/>
    <w:rsid w:val="003744C4"/>
    <w:rsid w:val="00374F36"/>
    <w:rsid w:val="003759AD"/>
    <w:rsid w:val="00386112"/>
    <w:rsid w:val="00392B90"/>
    <w:rsid w:val="003C20C2"/>
    <w:rsid w:val="003C222D"/>
    <w:rsid w:val="003C799E"/>
    <w:rsid w:val="003D4097"/>
    <w:rsid w:val="003D4658"/>
    <w:rsid w:val="004174BD"/>
    <w:rsid w:val="004251FF"/>
    <w:rsid w:val="00443896"/>
    <w:rsid w:val="00443EC9"/>
    <w:rsid w:val="0044715A"/>
    <w:rsid w:val="004554A4"/>
    <w:rsid w:val="004565D4"/>
    <w:rsid w:val="00460BCD"/>
    <w:rsid w:val="00467FB9"/>
    <w:rsid w:val="00471127"/>
    <w:rsid w:val="00474903"/>
    <w:rsid w:val="00480050"/>
    <w:rsid w:val="00485558"/>
    <w:rsid w:val="00486B4C"/>
    <w:rsid w:val="00491190"/>
    <w:rsid w:val="00494369"/>
    <w:rsid w:val="004A7F09"/>
    <w:rsid w:val="004C360C"/>
    <w:rsid w:val="004C4AF1"/>
    <w:rsid w:val="004C6666"/>
    <w:rsid w:val="004D4702"/>
    <w:rsid w:val="004E76D9"/>
    <w:rsid w:val="004F35B3"/>
    <w:rsid w:val="004F789F"/>
    <w:rsid w:val="00500CAF"/>
    <w:rsid w:val="00503AAE"/>
    <w:rsid w:val="00506E3E"/>
    <w:rsid w:val="00512F38"/>
    <w:rsid w:val="005163DD"/>
    <w:rsid w:val="00520E59"/>
    <w:rsid w:val="00522EBB"/>
    <w:rsid w:val="00524612"/>
    <w:rsid w:val="00530199"/>
    <w:rsid w:val="005367FB"/>
    <w:rsid w:val="00542AF1"/>
    <w:rsid w:val="00545A0F"/>
    <w:rsid w:val="005567E4"/>
    <w:rsid w:val="00575E24"/>
    <w:rsid w:val="00581AA2"/>
    <w:rsid w:val="005922C3"/>
    <w:rsid w:val="00593EF4"/>
    <w:rsid w:val="00596438"/>
    <w:rsid w:val="005A06ED"/>
    <w:rsid w:val="005A12BE"/>
    <w:rsid w:val="005A1588"/>
    <w:rsid w:val="005B1F83"/>
    <w:rsid w:val="005B51B7"/>
    <w:rsid w:val="005B72D5"/>
    <w:rsid w:val="005C2DD0"/>
    <w:rsid w:val="005D1336"/>
    <w:rsid w:val="005D44E9"/>
    <w:rsid w:val="005D5319"/>
    <w:rsid w:val="00610FA0"/>
    <w:rsid w:val="006340C8"/>
    <w:rsid w:val="00650888"/>
    <w:rsid w:val="00651258"/>
    <w:rsid w:val="00654172"/>
    <w:rsid w:val="00660798"/>
    <w:rsid w:val="00661BE7"/>
    <w:rsid w:val="00662654"/>
    <w:rsid w:val="00665176"/>
    <w:rsid w:val="00671B63"/>
    <w:rsid w:val="00671FCB"/>
    <w:rsid w:val="00674BEF"/>
    <w:rsid w:val="00682D16"/>
    <w:rsid w:val="00692F93"/>
    <w:rsid w:val="00696E0A"/>
    <w:rsid w:val="006A23AC"/>
    <w:rsid w:val="006A5042"/>
    <w:rsid w:val="006B2C3E"/>
    <w:rsid w:val="006B5123"/>
    <w:rsid w:val="006B5F46"/>
    <w:rsid w:val="006C77FE"/>
    <w:rsid w:val="006D1B29"/>
    <w:rsid w:val="006D1F86"/>
    <w:rsid w:val="006E0D01"/>
    <w:rsid w:val="006E0D45"/>
    <w:rsid w:val="006F0BC8"/>
    <w:rsid w:val="006F4974"/>
    <w:rsid w:val="00702101"/>
    <w:rsid w:val="00714E1D"/>
    <w:rsid w:val="0072325C"/>
    <w:rsid w:val="00736A16"/>
    <w:rsid w:val="00751845"/>
    <w:rsid w:val="00753A25"/>
    <w:rsid w:val="00756153"/>
    <w:rsid w:val="00774FB2"/>
    <w:rsid w:val="00777579"/>
    <w:rsid w:val="007844BB"/>
    <w:rsid w:val="007857F5"/>
    <w:rsid w:val="00785FFC"/>
    <w:rsid w:val="00787A3C"/>
    <w:rsid w:val="00796E01"/>
    <w:rsid w:val="007A04B7"/>
    <w:rsid w:val="007B35F1"/>
    <w:rsid w:val="007B5C8E"/>
    <w:rsid w:val="007B6A37"/>
    <w:rsid w:val="007C0439"/>
    <w:rsid w:val="007D4435"/>
    <w:rsid w:val="007E100E"/>
    <w:rsid w:val="007E3DA8"/>
    <w:rsid w:val="007E40C9"/>
    <w:rsid w:val="007F7649"/>
    <w:rsid w:val="00800C04"/>
    <w:rsid w:val="008079D8"/>
    <w:rsid w:val="00822DFE"/>
    <w:rsid w:val="008235E0"/>
    <w:rsid w:val="00831B9D"/>
    <w:rsid w:val="00844B88"/>
    <w:rsid w:val="00861386"/>
    <w:rsid w:val="00862697"/>
    <w:rsid w:val="00866592"/>
    <w:rsid w:val="0087419C"/>
    <w:rsid w:val="0087699F"/>
    <w:rsid w:val="00881707"/>
    <w:rsid w:val="008817BF"/>
    <w:rsid w:val="00893693"/>
    <w:rsid w:val="00894AAE"/>
    <w:rsid w:val="00895458"/>
    <w:rsid w:val="00897379"/>
    <w:rsid w:val="008A4AD6"/>
    <w:rsid w:val="008A4B13"/>
    <w:rsid w:val="008B1650"/>
    <w:rsid w:val="008B5DE9"/>
    <w:rsid w:val="008C2B23"/>
    <w:rsid w:val="008D7A71"/>
    <w:rsid w:val="008E24B7"/>
    <w:rsid w:val="008E6A6D"/>
    <w:rsid w:val="008E725F"/>
    <w:rsid w:val="008E7906"/>
    <w:rsid w:val="008F0C27"/>
    <w:rsid w:val="00902F69"/>
    <w:rsid w:val="009050E0"/>
    <w:rsid w:val="00914D24"/>
    <w:rsid w:val="00922D05"/>
    <w:rsid w:val="0092303A"/>
    <w:rsid w:val="00925B1E"/>
    <w:rsid w:val="009271A1"/>
    <w:rsid w:val="00930C1E"/>
    <w:rsid w:val="00931E3E"/>
    <w:rsid w:val="00944B94"/>
    <w:rsid w:val="00945405"/>
    <w:rsid w:val="009475C0"/>
    <w:rsid w:val="00950E2E"/>
    <w:rsid w:val="009535CB"/>
    <w:rsid w:val="00965217"/>
    <w:rsid w:val="009704D2"/>
    <w:rsid w:val="009770CC"/>
    <w:rsid w:val="00985B48"/>
    <w:rsid w:val="00993B24"/>
    <w:rsid w:val="00994908"/>
    <w:rsid w:val="009A7360"/>
    <w:rsid w:val="009C31BB"/>
    <w:rsid w:val="009C56E5"/>
    <w:rsid w:val="009D0FF5"/>
    <w:rsid w:val="009E1921"/>
    <w:rsid w:val="009E3A1D"/>
    <w:rsid w:val="00A003C5"/>
    <w:rsid w:val="00A01BB1"/>
    <w:rsid w:val="00A11B1F"/>
    <w:rsid w:val="00A154ED"/>
    <w:rsid w:val="00A15554"/>
    <w:rsid w:val="00A1581F"/>
    <w:rsid w:val="00A17A19"/>
    <w:rsid w:val="00A17D7C"/>
    <w:rsid w:val="00A262B3"/>
    <w:rsid w:val="00A27674"/>
    <w:rsid w:val="00A309B8"/>
    <w:rsid w:val="00A37825"/>
    <w:rsid w:val="00A41E1A"/>
    <w:rsid w:val="00A43255"/>
    <w:rsid w:val="00A5112A"/>
    <w:rsid w:val="00A51200"/>
    <w:rsid w:val="00A54AA9"/>
    <w:rsid w:val="00A60179"/>
    <w:rsid w:val="00A62735"/>
    <w:rsid w:val="00A64947"/>
    <w:rsid w:val="00A74BCE"/>
    <w:rsid w:val="00A74D0B"/>
    <w:rsid w:val="00A80D79"/>
    <w:rsid w:val="00A91FF5"/>
    <w:rsid w:val="00A962CD"/>
    <w:rsid w:val="00AA112B"/>
    <w:rsid w:val="00AA2D23"/>
    <w:rsid w:val="00AB768F"/>
    <w:rsid w:val="00AD192A"/>
    <w:rsid w:val="00AD1C32"/>
    <w:rsid w:val="00AE49A2"/>
    <w:rsid w:val="00AF6A69"/>
    <w:rsid w:val="00B049A3"/>
    <w:rsid w:val="00B07E19"/>
    <w:rsid w:val="00B172F3"/>
    <w:rsid w:val="00B37EC7"/>
    <w:rsid w:val="00B40DC3"/>
    <w:rsid w:val="00B40E7D"/>
    <w:rsid w:val="00B410B6"/>
    <w:rsid w:val="00B41DB6"/>
    <w:rsid w:val="00B5013F"/>
    <w:rsid w:val="00B50A3C"/>
    <w:rsid w:val="00B55677"/>
    <w:rsid w:val="00B55995"/>
    <w:rsid w:val="00B620A4"/>
    <w:rsid w:val="00B62CED"/>
    <w:rsid w:val="00B636D4"/>
    <w:rsid w:val="00B637B0"/>
    <w:rsid w:val="00B658B9"/>
    <w:rsid w:val="00B7031B"/>
    <w:rsid w:val="00B70E70"/>
    <w:rsid w:val="00B72EDD"/>
    <w:rsid w:val="00B7595B"/>
    <w:rsid w:val="00B9189B"/>
    <w:rsid w:val="00B9617D"/>
    <w:rsid w:val="00BC25F5"/>
    <w:rsid w:val="00BC6A2A"/>
    <w:rsid w:val="00BD777B"/>
    <w:rsid w:val="00BD7F06"/>
    <w:rsid w:val="00BF513F"/>
    <w:rsid w:val="00C04033"/>
    <w:rsid w:val="00C07003"/>
    <w:rsid w:val="00C2292F"/>
    <w:rsid w:val="00C26AC4"/>
    <w:rsid w:val="00C32DF0"/>
    <w:rsid w:val="00C44AF7"/>
    <w:rsid w:val="00C47FD2"/>
    <w:rsid w:val="00C56626"/>
    <w:rsid w:val="00C6252C"/>
    <w:rsid w:val="00C71565"/>
    <w:rsid w:val="00C77B17"/>
    <w:rsid w:val="00C82EED"/>
    <w:rsid w:val="00CA3DF8"/>
    <w:rsid w:val="00CA46D9"/>
    <w:rsid w:val="00CA507E"/>
    <w:rsid w:val="00CA6027"/>
    <w:rsid w:val="00CB23CC"/>
    <w:rsid w:val="00CB32F6"/>
    <w:rsid w:val="00CB4E5C"/>
    <w:rsid w:val="00CB62F7"/>
    <w:rsid w:val="00CC30F4"/>
    <w:rsid w:val="00CC416D"/>
    <w:rsid w:val="00CE5664"/>
    <w:rsid w:val="00CF5F3F"/>
    <w:rsid w:val="00D15B85"/>
    <w:rsid w:val="00D43077"/>
    <w:rsid w:val="00D50E81"/>
    <w:rsid w:val="00D57D31"/>
    <w:rsid w:val="00D61DDF"/>
    <w:rsid w:val="00D63F24"/>
    <w:rsid w:val="00D72FF6"/>
    <w:rsid w:val="00D750EF"/>
    <w:rsid w:val="00D77C0A"/>
    <w:rsid w:val="00D858EE"/>
    <w:rsid w:val="00D95B69"/>
    <w:rsid w:val="00DA5187"/>
    <w:rsid w:val="00DB4691"/>
    <w:rsid w:val="00DC421F"/>
    <w:rsid w:val="00DC693F"/>
    <w:rsid w:val="00DE0AEE"/>
    <w:rsid w:val="00DE3B08"/>
    <w:rsid w:val="00DE4A98"/>
    <w:rsid w:val="00DE5C6B"/>
    <w:rsid w:val="00DF30E6"/>
    <w:rsid w:val="00DF6839"/>
    <w:rsid w:val="00E00F2A"/>
    <w:rsid w:val="00E136C1"/>
    <w:rsid w:val="00E15105"/>
    <w:rsid w:val="00E15D98"/>
    <w:rsid w:val="00E26D62"/>
    <w:rsid w:val="00E27961"/>
    <w:rsid w:val="00E32459"/>
    <w:rsid w:val="00E32F4F"/>
    <w:rsid w:val="00E353E8"/>
    <w:rsid w:val="00E551E8"/>
    <w:rsid w:val="00E560B0"/>
    <w:rsid w:val="00E567B1"/>
    <w:rsid w:val="00E62A84"/>
    <w:rsid w:val="00E66922"/>
    <w:rsid w:val="00E67FB9"/>
    <w:rsid w:val="00E7169B"/>
    <w:rsid w:val="00E71865"/>
    <w:rsid w:val="00E94C18"/>
    <w:rsid w:val="00EA79BE"/>
    <w:rsid w:val="00EB0883"/>
    <w:rsid w:val="00EC0011"/>
    <w:rsid w:val="00EC2DD6"/>
    <w:rsid w:val="00ED283F"/>
    <w:rsid w:val="00EE54C6"/>
    <w:rsid w:val="00EF2981"/>
    <w:rsid w:val="00EF40BC"/>
    <w:rsid w:val="00F002E1"/>
    <w:rsid w:val="00F10529"/>
    <w:rsid w:val="00F16D2A"/>
    <w:rsid w:val="00F17EAE"/>
    <w:rsid w:val="00F300FA"/>
    <w:rsid w:val="00F31E2B"/>
    <w:rsid w:val="00F328C7"/>
    <w:rsid w:val="00F34E15"/>
    <w:rsid w:val="00F41973"/>
    <w:rsid w:val="00F75C8A"/>
    <w:rsid w:val="00F83D16"/>
    <w:rsid w:val="00F87A9E"/>
    <w:rsid w:val="00F90ED7"/>
    <w:rsid w:val="00F96377"/>
    <w:rsid w:val="00FA7F25"/>
    <w:rsid w:val="00FC69EA"/>
    <w:rsid w:val="00FD2E8F"/>
    <w:rsid w:val="00FD4BB5"/>
    <w:rsid w:val="00FF3D58"/>
    <w:rsid w:val="00FF3E41"/>
    <w:rsid w:val="00FF712D"/>
    <w:rsid w:val="015D5504"/>
    <w:rsid w:val="016347D7"/>
    <w:rsid w:val="01743E73"/>
    <w:rsid w:val="01C45D06"/>
    <w:rsid w:val="021D04ED"/>
    <w:rsid w:val="02313F99"/>
    <w:rsid w:val="02727A8F"/>
    <w:rsid w:val="027D7504"/>
    <w:rsid w:val="02957F4A"/>
    <w:rsid w:val="02AD29B2"/>
    <w:rsid w:val="03181066"/>
    <w:rsid w:val="03634626"/>
    <w:rsid w:val="03D352ED"/>
    <w:rsid w:val="04772A4B"/>
    <w:rsid w:val="0582467D"/>
    <w:rsid w:val="05926AFC"/>
    <w:rsid w:val="05D77E4F"/>
    <w:rsid w:val="05D84CA5"/>
    <w:rsid w:val="05E0200A"/>
    <w:rsid w:val="061B1990"/>
    <w:rsid w:val="064550D0"/>
    <w:rsid w:val="066A47CE"/>
    <w:rsid w:val="06B141BC"/>
    <w:rsid w:val="07031442"/>
    <w:rsid w:val="07A34B98"/>
    <w:rsid w:val="07AC7C25"/>
    <w:rsid w:val="07BD5E3D"/>
    <w:rsid w:val="081F17B3"/>
    <w:rsid w:val="087D09B3"/>
    <w:rsid w:val="088A7506"/>
    <w:rsid w:val="08944458"/>
    <w:rsid w:val="08D556E5"/>
    <w:rsid w:val="08DE1DFC"/>
    <w:rsid w:val="09063232"/>
    <w:rsid w:val="09362972"/>
    <w:rsid w:val="0A15616C"/>
    <w:rsid w:val="0A6C3DC0"/>
    <w:rsid w:val="0A747118"/>
    <w:rsid w:val="0AA4793D"/>
    <w:rsid w:val="0B0A42C4"/>
    <w:rsid w:val="0B2F4186"/>
    <w:rsid w:val="0B5F4794"/>
    <w:rsid w:val="0B7926DE"/>
    <w:rsid w:val="0BC85D5B"/>
    <w:rsid w:val="0BD82C59"/>
    <w:rsid w:val="0C160487"/>
    <w:rsid w:val="0C317648"/>
    <w:rsid w:val="0C7451AE"/>
    <w:rsid w:val="0C9617E4"/>
    <w:rsid w:val="0C9F6FE3"/>
    <w:rsid w:val="0D173E04"/>
    <w:rsid w:val="0D2E2D13"/>
    <w:rsid w:val="0D354ACD"/>
    <w:rsid w:val="0D492902"/>
    <w:rsid w:val="0D6F10B3"/>
    <w:rsid w:val="0D8536BD"/>
    <w:rsid w:val="0D8F4EFE"/>
    <w:rsid w:val="0E293FE3"/>
    <w:rsid w:val="0E4D5CB6"/>
    <w:rsid w:val="0EA46E2D"/>
    <w:rsid w:val="0EFF5127"/>
    <w:rsid w:val="0F210A3A"/>
    <w:rsid w:val="0F415C16"/>
    <w:rsid w:val="0F607679"/>
    <w:rsid w:val="10086D9C"/>
    <w:rsid w:val="102A466F"/>
    <w:rsid w:val="105812FF"/>
    <w:rsid w:val="111C0739"/>
    <w:rsid w:val="111E1B8C"/>
    <w:rsid w:val="11610DAE"/>
    <w:rsid w:val="116A724E"/>
    <w:rsid w:val="116D60A1"/>
    <w:rsid w:val="117A72EF"/>
    <w:rsid w:val="11FD46BF"/>
    <w:rsid w:val="120B5F4D"/>
    <w:rsid w:val="12323823"/>
    <w:rsid w:val="124F42B7"/>
    <w:rsid w:val="12834530"/>
    <w:rsid w:val="13901E1C"/>
    <w:rsid w:val="13A7230D"/>
    <w:rsid w:val="14EF1875"/>
    <w:rsid w:val="14F325C5"/>
    <w:rsid w:val="15026D53"/>
    <w:rsid w:val="15B4486D"/>
    <w:rsid w:val="15CA2F2E"/>
    <w:rsid w:val="15E74C42"/>
    <w:rsid w:val="16CB5F30"/>
    <w:rsid w:val="16F2389F"/>
    <w:rsid w:val="16F643D6"/>
    <w:rsid w:val="171C5435"/>
    <w:rsid w:val="172D2B29"/>
    <w:rsid w:val="17E217ED"/>
    <w:rsid w:val="17F00444"/>
    <w:rsid w:val="18517FB6"/>
    <w:rsid w:val="188E75F7"/>
    <w:rsid w:val="18A44462"/>
    <w:rsid w:val="18D81447"/>
    <w:rsid w:val="191E1382"/>
    <w:rsid w:val="193F7A6A"/>
    <w:rsid w:val="19600F94"/>
    <w:rsid w:val="199A28AA"/>
    <w:rsid w:val="1A650426"/>
    <w:rsid w:val="1AA03612"/>
    <w:rsid w:val="1BCB75FC"/>
    <w:rsid w:val="1BDA0F1B"/>
    <w:rsid w:val="1BFF5B23"/>
    <w:rsid w:val="1C777DA5"/>
    <w:rsid w:val="1C7E467E"/>
    <w:rsid w:val="1D0D671B"/>
    <w:rsid w:val="1D305121"/>
    <w:rsid w:val="1D36397B"/>
    <w:rsid w:val="1D4B182A"/>
    <w:rsid w:val="1D5C48CC"/>
    <w:rsid w:val="1D835251"/>
    <w:rsid w:val="1DD943FB"/>
    <w:rsid w:val="1DE87A80"/>
    <w:rsid w:val="1E194C81"/>
    <w:rsid w:val="1E3E561C"/>
    <w:rsid w:val="1E68566C"/>
    <w:rsid w:val="1E95273B"/>
    <w:rsid w:val="1EA47B74"/>
    <w:rsid w:val="1F57D780"/>
    <w:rsid w:val="1F8B4401"/>
    <w:rsid w:val="1FFF5FBA"/>
    <w:rsid w:val="21082BD0"/>
    <w:rsid w:val="21554059"/>
    <w:rsid w:val="216B2E85"/>
    <w:rsid w:val="218872DA"/>
    <w:rsid w:val="218F2E30"/>
    <w:rsid w:val="21BF16DB"/>
    <w:rsid w:val="21C443C4"/>
    <w:rsid w:val="223C67F4"/>
    <w:rsid w:val="224A458F"/>
    <w:rsid w:val="22942040"/>
    <w:rsid w:val="22DA671D"/>
    <w:rsid w:val="23050835"/>
    <w:rsid w:val="231A7D53"/>
    <w:rsid w:val="23887B38"/>
    <w:rsid w:val="238B1360"/>
    <w:rsid w:val="24013DB9"/>
    <w:rsid w:val="24441950"/>
    <w:rsid w:val="248D76DC"/>
    <w:rsid w:val="249A5A1E"/>
    <w:rsid w:val="24A36916"/>
    <w:rsid w:val="25172BDE"/>
    <w:rsid w:val="25744A0D"/>
    <w:rsid w:val="25902C01"/>
    <w:rsid w:val="259A51CD"/>
    <w:rsid w:val="25D56865"/>
    <w:rsid w:val="26082272"/>
    <w:rsid w:val="262178C9"/>
    <w:rsid w:val="264755DA"/>
    <w:rsid w:val="2661459D"/>
    <w:rsid w:val="267E0CAB"/>
    <w:rsid w:val="26A84EBA"/>
    <w:rsid w:val="26EA363F"/>
    <w:rsid w:val="27144592"/>
    <w:rsid w:val="278B23EE"/>
    <w:rsid w:val="278B7B24"/>
    <w:rsid w:val="27C03641"/>
    <w:rsid w:val="281318C7"/>
    <w:rsid w:val="28541E37"/>
    <w:rsid w:val="285F3CB1"/>
    <w:rsid w:val="286928C5"/>
    <w:rsid w:val="289C366A"/>
    <w:rsid w:val="28A2214A"/>
    <w:rsid w:val="2936694E"/>
    <w:rsid w:val="2996455E"/>
    <w:rsid w:val="29DB04A2"/>
    <w:rsid w:val="29EE50B4"/>
    <w:rsid w:val="29FE7B47"/>
    <w:rsid w:val="2A367640"/>
    <w:rsid w:val="2A48356C"/>
    <w:rsid w:val="2ABC75C8"/>
    <w:rsid w:val="2B12230A"/>
    <w:rsid w:val="2B7E1510"/>
    <w:rsid w:val="2B8051DB"/>
    <w:rsid w:val="2BAA31B3"/>
    <w:rsid w:val="2BC63FD4"/>
    <w:rsid w:val="2C0D4F8D"/>
    <w:rsid w:val="2C376A9B"/>
    <w:rsid w:val="2C3A1B18"/>
    <w:rsid w:val="2C3F0EDD"/>
    <w:rsid w:val="2C4C4F3B"/>
    <w:rsid w:val="2C60078F"/>
    <w:rsid w:val="2C646B95"/>
    <w:rsid w:val="2C7E1414"/>
    <w:rsid w:val="2C810E08"/>
    <w:rsid w:val="2C8E59C0"/>
    <w:rsid w:val="2CBA6A70"/>
    <w:rsid w:val="2CD504F2"/>
    <w:rsid w:val="2D0F4C79"/>
    <w:rsid w:val="2D1D55AF"/>
    <w:rsid w:val="2D2B1461"/>
    <w:rsid w:val="2DC147E3"/>
    <w:rsid w:val="2EA90867"/>
    <w:rsid w:val="2EAD7087"/>
    <w:rsid w:val="2F454A5C"/>
    <w:rsid w:val="2FC43258"/>
    <w:rsid w:val="2FE467A7"/>
    <w:rsid w:val="302C011A"/>
    <w:rsid w:val="302C34A7"/>
    <w:rsid w:val="303A22C6"/>
    <w:rsid w:val="304940D8"/>
    <w:rsid w:val="30517430"/>
    <w:rsid w:val="30C3032E"/>
    <w:rsid w:val="30F37EDC"/>
    <w:rsid w:val="31055CDB"/>
    <w:rsid w:val="313C17BF"/>
    <w:rsid w:val="314A714A"/>
    <w:rsid w:val="315423FA"/>
    <w:rsid w:val="324507AD"/>
    <w:rsid w:val="3344327C"/>
    <w:rsid w:val="338B4F0A"/>
    <w:rsid w:val="33CC223D"/>
    <w:rsid w:val="345179FF"/>
    <w:rsid w:val="34814F15"/>
    <w:rsid w:val="34826328"/>
    <w:rsid w:val="34984755"/>
    <w:rsid w:val="34E959C3"/>
    <w:rsid w:val="34F85D6A"/>
    <w:rsid w:val="34FC2804"/>
    <w:rsid w:val="34FF4777"/>
    <w:rsid w:val="35120222"/>
    <w:rsid w:val="3518714F"/>
    <w:rsid w:val="353D3435"/>
    <w:rsid w:val="354A6EEA"/>
    <w:rsid w:val="356B1CF3"/>
    <w:rsid w:val="35AF70D3"/>
    <w:rsid w:val="37654E9C"/>
    <w:rsid w:val="3784633D"/>
    <w:rsid w:val="38213B8C"/>
    <w:rsid w:val="382373DA"/>
    <w:rsid w:val="383B0B04"/>
    <w:rsid w:val="38591578"/>
    <w:rsid w:val="38AC16A8"/>
    <w:rsid w:val="38AF5D13"/>
    <w:rsid w:val="38CF7D58"/>
    <w:rsid w:val="38F0269B"/>
    <w:rsid w:val="3A372F4A"/>
    <w:rsid w:val="3A7C1D7A"/>
    <w:rsid w:val="3AAD7959"/>
    <w:rsid w:val="3AD068AC"/>
    <w:rsid w:val="3ADB44C6"/>
    <w:rsid w:val="3AED5FA8"/>
    <w:rsid w:val="3B285284"/>
    <w:rsid w:val="3B2C319C"/>
    <w:rsid w:val="3B2D2566"/>
    <w:rsid w:val="3B387B37"/>
    <w:rsid w:val="3B68647D"/>
    <w:rsid w:val="3BAF2C97"/>
    <w:rsid w:val="3C074E47"/>
    <w:rsid w:val="3C756255"/>
    <w:rsid w:val="3C9E39FD"/>
    <w:rsid w:val="3C9F4DD0"/>
    <w:rsid w:val="3CFA4502"/>
    <w:rsid w:val="3D0D46DF"/>
    <w:rsid w:val="3D254A9A"/>
    <w:rsid w:val="3D3C5A02"/>
    <w:rsid w:val="3D430E91"/>
    <w:rsid w:val="3D723C25"/>
    <w:rsid w:val="3D8F5CCA"/>
    <w:rsid w:val="3D910454"/>
    <w:rsid w:val="3D964F1B"/>
    <w:rsid w:val="3E0C2560"/>
    <w:rsid w:val="3EB02237"/>
    <w:rsid w:val="3EB80B41"/>
    <w:rsid w:val="3EE65C63"/>
    <w:rsid w:val="3FCF6608"/>
    <w:rsid w:val="40476BB4"/>
    <w:rsid w:val="4092377C"/>
    <w:rsid w:val="40AA78B9"/>
    <w:rsid w:val="411E6EBB"/>
    <w:rsid w:val="41B079AE"/>
    <w:rsid w:val="41FF0A9A"/>
    <w:rsid w:val="42417218"/>
    <w:rsid w:val="43B55C44"/>
    <w:rsid w:val="44A633D7"/>
    <w:rsid w:val="44EA3EAB"/>
    <w:rsid w:val="450B6BAA"/>
    <w:rsid w:val="45531639"/>
    <w:rsid w:val="45EC57D9"/>
    <w:rsid w:val="465467E3"/>
    <w:rsid w:val="466D03B6"/>
    <w:rsid w:val="467A4130"/>
    <w:rsid w:val="46ED3D62"/>
    <w:rsid w:val="46F030A7"/>
    <w:rsid w:val="46FE5A27"/>
    <w:rsid w:val="472165E1"/>
    <w:rsid w:val="472D42FC"/>
    <w:rsid w:val="472D7E58"/>
    <w:rsid w:val="474447A0"/>
    <w:rsid w:val="474B1F88"/>
    <w:rsid w:val="47B50093"/>
    <w:rsid w:val="47CE3835"/>
    <w:rsid w:val="47E938E8"/>
    <w:rsid w:val="47F548C0"/>
    <w:rsid w:val="48543A65"/>
    <w:rsid w:val="48551120"/>
    <w:rsid w:val="489A6008"/>
    <w:rsid w:val="48CE1A32"/>
    <w:rsid w:val="492B6619"/>
    <w:rsid w:val="49356079"/>
    <w:rsid w:val="4957634E"/>
    <w:rsid w:val="496F10FC"/>
    <w:rsid w:val="49881CCB"/>
    <w:rsid w:val="49975FBC"/>
    <w:rsid w:val="49D13AE4"/>
    <w:rsid w:val="49E1480A"/>
    <w:rsid w:val="49FB653F"/>
    <w:rsid w:val="4A4B3E0B"/>
    <w:rsid w:val="4A5D44B5"/>
    <w:rsid w:val="4A6437D4"/>
    <w:rsid w:val="4A8F086C"/>
    <w:rsid w:val="4AB070BD"/>
    <w:rsid w:val="4AE46E2A"/>
    <w:rsid w:val="4B086260"/>
    <w:rsid w:val="4B792C11"/>
    <w:rsid w:val="4C6C6665"/>
    <w:rsid w:val="4C993854"/>
    <w:rsid w:val="4C9D782D"/>
    <w:rsid w:val="4CBA0C3C"/>
    <w:rsid w:val="4CC773C4"/>
    <w:rsid w:val="4CE81B67"/>
    <w:rsid w:val="4CF077D9"/>
    <w:rsid w:val="4D211BA8"/>
    <w:rsid w:val="4E816CDB"/>
    <w:rsid w:val="4EC5185F"/>
    <w:rsid w:val="4F0516BA"/>
    <w:rsid w:val="4F7A2315"/>
    <w:rsid w:val="4F9273F2"/>
    <w:rsid w:val="4FB31056"/>
    <w:rsid w:val="501D04C6"/>
    <w:rsid w:val="50224539"/>
    <w:rsid w:val="50675167"/>
    <w:rsid w:val="509B115C"/>
    <w:rsid w:val="50E705D7"/>
    <w:rsid w:val="50F773EF"/>
    <w:rsid w:val="50FA6AF3"/>
    <w:rsid w:val="51040E29"/>
    <w:rsid w:val="51AC2CF6"/>
    <w:rsid w:val="51CF2789"/>
    <w:rsid w:val="51EE696A"/>
    <w:rsid w:val="52E60BBD"/>
    <w:rsid w:val="53537FC2"/>
    <w:rsid w:val="537A576C"/>
    <w:rsid w:val="538D6EF1"/>
    <w:rsid w:val="53E24E79"/>
    <w:rsid w:val="54051CBA"/>
    <w:rsid w:val="54627517"/>
    <w:rsid w:val="54C301E3"/>
    <w:rsid w:val="54CD3E95"/>
    <w:rsid w:val="54FE1085"/>
    <w:rsid w:val="5507618C"/>
    <w:rsid w:val="555313D1"/>
    <w:rsid w:val="555465EE"/>
    <w:rsid w:val="5630606F"/>
    <w:rsid w:val="56431446"/>
    <w:rsid w:val="564D2F1F"/>
    <w:rsid w:val="56601D30"/>
    <w:rsid w:val="56864980"/>
    <w:rsid w:val="56BD287A"/>
    <w:rsid w:val="57617D64"/>
    <w:rsid w:val="579023A5"/>
    <w:rsid w:val="579D2991"/>
    <w:rsid w:val="57EF105C"/>
    <w:rsid w:val="58831FCD"/>
    <w:rsid w:val="58A81A34"/>
    <w:rsid w:val="597D4298"/>
    <w:rsid w:val="59CC3500"/>
    <w:rsid w:val="5A17089F"/>
    <w:rsid w:val="5A2B78A9"/>
    <w:rsid w:val="5AC204A2"/>
    <w:rsid w:val="5ADE079F"/>
    <w:rsid w:val="5ADF2CEC"/>
    <w:rsid w:val="5B74302C"/>
    <w:rsid w:val="5B93792A"/>
    <w:rsid w:val="5B9F4190"/>
    <w:rsid w:val="5BBE44A1"/>
    <w:rsid w:val="5C0F2120"/>
    <w:rsid w:val="5CC2508E"/>
    <w:rsid w:val="5CC95CE6"/>
    <w:rsid w:val="5CF04714"/>
    <w:rsid w:val="5CF641B7"/>
    <w:rsid w:val="5CFA7B5F"/>
    <w:rsid w:val="5CFD12BC"/>
    <w:rsid w:val="5D872105"/>
    <w:rsid w:val="5DCE519B"/>
    <w:rsid w:val="5DDC2951"/>
    <w:rsid w:val="5E042794"/>
    <w:rsid w:val="5E8E75A3"/>
    <w:rsid w:val="5E9860A7"/>
    <w:rsid w:val="5EBC232F"/>
    <w:rsid w:val="5EC0678A"/>
    <w:rsid w:val="5ED877D8"/>
    <w:rsid w:val="5EE240B6"/>
    <w:rsid w:val="5F1A5C6D"/>
    <w:rsid w:val="5F2F7A39"/>
    <w:rsid w:val="5FA814DF"/>
    <w:rsid w:val="5FE82FD2"/>
    <w:rsid w:val="5FED58DF"/>
    <w:rsid w:val="6040616F"/>
    <w:rsid w:val="60B168B0"/>
    <w:rsid w:val="60C5514D"/>
    <w:rsid w:val="60D96503"/>
    <w:rsid w:val="60DD148F"/>
    <w:rsid w:val="60FF3D49"/>
    <w:rsid w:val="61305322"/>
    <w:rsid w:val="6159154D"/>
    <w:rsid w:val="61994C8C"/>
    <w:rsid w:val="61A65755"/>
    <w:rsid w:val="61BA65BF"/>
    <w:rsid w:val="628F77C1"/>
    <w:rsid w:val="62922B86"/>
    <w:rsid w:val="62B83782"/>
    <w:rsid w:val="62F67905"/>
    <w:rsid w:val="63344D9C"/>
    <w:rsid w:val="6372336A"/>
    <w:rsid w:val="63852965"/>
    <w:rsid w:val="63B719CA"/>
    <w:rsid w:val="63B87749"/>
    <w:rsid w:val="63E92F01"/>
    <w:rsid w:val="64063AB3"/>
    <w:rsid w:val="64255857"/>
    <w:rsid w:val="64371776"/>
    <w:rsid w:val="64371EBE"/>
    <w:rsid w:val="64565DD5"/>
    <w:rsid w:val="646903D7"/>
    <w:rsid w:val="647B624F"/>
    <w:rsid w:val="64B47B11"/>
    <w:rsid w:val="64E2382D"/>
    <w:rsid w:val="652C145A"/>
    <w:rsid w:val="652E3534"/>
    <w:rsid w:val="6614440A"/>
    <w:rsid w:val="678E46C4"/>
    <w:rsid w:val="6800730B"/>
    <w:rsid w:val="681B5ADF"/>
    <w:rsid w:val="685E210F"/>
    <w:rsid w:val="686065CC"/>
    <w:rsid w:val="689D00AB"/>
    <w:rsid w:val="68A94442"/>
    <w:rsid w:val="68BC5CCF"/>
    <w:rsid w:val="694B1CA9"/>
    <w:rsid w:val="696848C8"/>
    <w:rsid w:val="69D87C9F"/>
    <w:rsid w:val="69F0323B"/>
    <w:rsid w:val="6A333F49"/>
    <w:rsid w:val="6A3D7B02"/>
    <w:rsid w:val="6A6F3824"/>
    <w:rsid w:val="6AB204F0"/>
    <w:rsid w:val="6AE125CF"/>
    <w:rsid w:val="6AF97ECD"/>
    <w:rsid w:val="6B356F25"/>
    <w:rsid w:val="6C6121CE"/>
    <w:rsid w:val="6C7822A9"/>
    <w:rsid w:val="6C9B0687"/>
    <w:rsid w:val="6CCD0C34"/>
    <w:rsid w:val="6D2B360C"/>
    <w:rsid w:val="6DD94EB7"/>
    <w:rsid w:val="6ED65668"/>
    <w:rsid w:val="6F5F3C10"/>
    <w:rsid w:val="6F7D619A"/>
    <w:rsid w:val="6F9F35B4"/>
    <w:rsid w:val="6FCA71E0"/>
    <w:rsid w:val="6FD827A7"/>
    <w:rsid w:val="703145D9"/>
    <w:rsid w:val="706C1141"/>
    <w:rsid w:val="706E7C9E"/>
    <w:rsid w:val="707324D0"/>
    <w:rsid w:val="70CF5032"/>
    <w:rsid w:val="71856DEF"/>
    <w:rsid w:val="71A130D0"/>
    <w:rsid w:val="71DA004A"/>
    <w:rsid w:val="726B69B0"/>
    <w:rsid w:val="728A0291"/>
    <w:rsid w:val="729F531D"/>
    <w:rsid w:val="72CF47E7"/>
    <w:rsid w:val="72ED48AE"/>
    <w:rsid w:val="730361B9"/>
    <w:rsid w:val="734466F5"/>
    <w:rsid w:val="738D5656"/>
    <w:rsid w:val="73EA2043"/>
    <w:rsid w:val="742740AC"/>
    <w:rsid w:val="743A2B40"/>
    <w:rsid w:val="745F7336"/>
    <w:rsid w:val="74923BF4"/>
    <w:rsid w:val="74C44810"/>
    <w:rsid w:val="74CF773B"/>
    <w:rsid w:val="750202C6"/>
    <w:rsid w:val="75475CD9"/>
    <w:rsid w:val="75B354EE"/>
    <w:rsid w:val="75BC3DFE"/>
    <w:rsid w:val="76A06528"/>
    <w:rsid w:val="76DB2792"/>
    <w:rsid w:val="77091498"/>
    <w:rsid w:val="77BA7B83"/>
    <w:rsid w:val="77EA05CE"/>
    <w:rsid w:val="785D1817"/>
    <w:rsid w:val="786C5947"/>
    <w:rsid w:val="78861E4A"/>
    <w:rsid w:val="78D37FAF"/>
    <w:rsid w:val="78F57EFF"/>
    <w:rsid w:val="79BF5E05"/>
    <w:rsid w:val="79F71BE1"/>
    <w:rsid w:val="7A0D60DE"/>
    <w:rsid w:val="7A0F5025"/>
    <w:rsid w:val="7A16003B"/>
    <w:rsid w:val="7A367DDC"/>
    <w:rsid w:val="7A6A4943"/>
    <w:rsid w:val="7AE600D4"/>
    <w:rsid w:val="7AEC35AA"/>
    <w:rsid w:val="7B0A28DC"/>
    <w:rsid w:val="7B0B390C"/>
    <w:rsid w:val="7B8109A5"/>
    <w:rsid w:val="7BB75E8F"/>
    <w:rsid w:val="7BBA0FB3"/>
    <w:rsid w:val="7BF21F72"/>
    <w:rsid w:val="7C9B21DA"/>
    <w:rsid w:val="7CAC5049"/>
    <w:rsid w:val="7CE31C56"/>
    <w:rsid w:val="7D5A1A2C"/>
    <w:rsid w:val="7D686286"/>
    <w:rsid w:val="7D757A64"/>
    <w:rsid w:val="7D921F97"/>
    <w:rsid w:val="7DA34981"/>
    <w:rsid w:val="7DA83736"/>
    <w:rsid w:val="7DB9757F"/>
    <w:rsid w:val="7E104461"/>
    <w:rsid w:val="7F39186C"/>
    <w:rsid w:val="7F6E5771"/>
    <w:rsid w:val="7FCE50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semiHidden="0" w:name="caption"/>
    <w:lsdException w:qFormat="1" w:unhideWhenUsed="0" w:uiPriority="99"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qFormat="1"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宋体" w:hAnsi="宋体" w:eastAsia="宋体" w:cs="宋体"/>
      <w:sz w:val="24"/>
      <w:szCs w:val="24"/>
      <w:lang w:val="en-US" w:eastAsia="zh-CN" w:bidi="ar-SA"/>
    </w:rPr>
  </w:style>
  <w:style w:type="paragraph" w:styleId="2">
    <w:name w:val="heading 1"/>
    <w:basedOn w:val="1"/>
    <w:next w:val="1"/>
    <w:qFormat/>
    <w:uiPriority w:val="0"/>
    <w:pPr>
      <w:keepNext/>
      <w:keepLines/>
      <w:adjustRightInd w:val="0"/>
      <w:snapToGrid w:val="0"/>
      <w:spacing w:line="360" w:lineRule="auto"/>
      <w:jc w:val="center"/>
      <w:outlineLvl w:val="0"/>
    </w:pPr>
    <w:rPr>
      <w:rFonts w:ascii="方正小标宋简体" w:hAnsi="方正小标宋简体" w:eastAsia="方正小标宋简体" w:cs="方正小标宋简体"/>
      <w:b/>
      <w:kern w:val="44"/>
      <w:sz w:val="32"/>
      <w:szCs w:val="32"/>
    </w:rPr>
  </w:style>
  <w:style w:type="paragraph" w:styleId="3">
    <w:name w:val="heading 2"/>
    <w:basedOn w:val="1"/>
    <w:next w:val="1"/>
    <w:link w:val="44"/>
    <w:unhideWhenUsed/>
    <w:qFormat/>
    <w:uiPriority w:val="0"/>
    <w:pPr>
      <w:snapToGrid w:val="0"/>
      <w:jc w:val="center"/>
      <w:outlineLvl w:val="1"/>
    </w:pPr>
    <w:rPr>
      <w:rFonts w:ascii="仿宋_GB2312" w:hAnsi="仿宋_GB2312" w:eastAsia="仿宋_GB2312" w:cs="仿宋_GB2312"/>
      <w:b/>
      <w:bCs/>
      <w:sz w:val="32"/>
      <w:szCs w:val="32"/>
    </w:rPr>
  </w:style>
  <w:style w:type="paragraph" w:styleId="4">
    <w:name w:val="heading 3"/>
    <w:basedOn w:val="3"/>
    <w:next w:val="1"/>
    <w:link w:val="34"/>
    <w:unhideWhenUsed/>
    <w:qFormat/>
    <w:uiPriority w:val="0"/>
    <w:pPr>
      <w:numPr>
        <w:ilvl w:val="0"/>
        <w:numId w:val="1"/>
      </w:numPr>
      <w:jc w:val="left"/>
      <w:outlineLvl w:val="2"/>
    </w:pPr>
  </w:style>
  <w:style w:type="character" w:default="1" w:styleId="25">
    <w:name w:val="Default Paragraph Font"/>
    <w:semiHidden/>
    <w:unhideWhenUsed/>
    <w:qFormat/>
    <w:uiPriority w:val="1"/>
  </w:style>
  <w:style w:type="table" w:default="1" w:styleId="23">
    <w:name w:val="Normal Table"/>
    <w:semiHidden/>
    <w:unhideWhenUsed/>
    <w:uiPriority w:val="99"/>
    <w:tblPr>
      <w:tblCellMar>
        <w:top w:w="0" w:type="dxa"/>
        <w:left w:w="108" w:type="dxa"/>
        <w:bottom w:w="0" w:type="dxa"/>
        <w:right w:w="108" w:type="dxa"/>
      </w:tblCellMar>
    </w:tblPr>
  </w:style>
  <w:style w:type="paragraph" w:styleId="5">
    <w:name w:val="toc 7"/>
    <w:basedOn w:val="1"/>
    <w:next w:val="1"/>
    <w:qFormat/>
    <w:uiPriority w:val="0"/>
    <w:pPr>
      <w:ind w:left="1440"/>
    </w:pPr>
    <w:rPr>
      <w:rFonts w:asciiTheme="minorHAnsi" w:hAnsiTheme="minorHAnsi" w:cstheme="minorHAnsi"/>
      <w:sz w:val="18"/>
      <w:szCs w:val="18"/>
    </w:rPr>
  </w:style>
  <w:style w:type="paragraph" w:styleId="6">
    <w:name w:val="caption"/>
    <w:basedOn w:val="1"/>
    <w:next w:val="1"/>
    <w:unhideWhenUsed/>
    <w:qFormat/>
    <w:uiPriority w:val="0"/>
    <w:rPr>
      <w:rFonts w:eastAsia="黑体" w:asciiTheme="majorHAnsi" w:hAnsiTheme="majorHAnsi" w:cstheme="majorBidi"/>
      <w:sz w:val="20"/>
      <w:szCs w:val="20"/>
    </w:rPr>
  </w:style>
  <w:style w:type="paragraph" w:styleId="7">
    <w:name w:val="annotation text"/>
    <w:basedOn w:val="1"/>
    <w:link w:val="42"/>
    <w:qFormat/>
    <w:uiPriority w:val="0"/>
  </w:style>
  <w:style w:type="paragraph" w:styleId="8">
    <w:name w:val="toc 5"/>
    <w:basedOn w:val="1"/>
    <w:next w:val="1"/>
    <w:qFormat/>
    <w:uiPriority w:val="0"/>
    <w:pPr>
      <w:ind w:left="960"/>
    </w:pPr>
    <w:rPr>
      <w:rFonts w:asciiTheme="minorHAnsi" w:hAnsiTheme="minorHAnsi" w:cstheme="minorHAnsi"/>
      <w:sz w:val="18"/>
      <w:szCs w:val="18"/>
    </w:rPr>
  </w:style>
  <w:style w:type="paragraph" w:styleId="9">
    <w:name w:val="toc 3"/>
    <w:basedOn w:val="1"/>
    <w:next w:val="1"/>
    <w:qFormat/>
    <w:uiPriority w:val="39"/>
    <w:pPr>
      <w:ind w:left="480"/>
    </w:pPr>
    <w:rPr>
      <w:rFonts w:asciiTheme="minorHAnsi" w:hAnsiTheme="minorHAnsi" w:cstheme="minorHAnsi"/>
      <w:i/>
      <w:iCs/>
      <w:sz w:val="20"/>
      <w:szCs w:val="20"/>
    </w:rPr>
  </w:style>
  <w:style w:type="paragraph" w:styleId="10">
    <w:name w:val="toc 8"/>
    <w:basedOn w:val="1"/>
    <w:next w:val="1"/>
    <w:qFormat/>
    <w:uiPriority w:val="0"/>
    <w:pPr>
      <w:ind w:left="1680"/>
    </w:pPr>
    <w:rPr>
      <w:rFonts w:asciiTheme="minorHAnsi" w:hAnsiTheme="minorHAnsi" w:cstheme="minorHAnsi"/>
      <w:sz w:val="18"/>
      <w:szCs w:val="18"/>
    </w:rPr>
  </w:style>
  <w:style w:type="paragraph" w:styleId="11">
    <w:name w:val="Balloon Text"/>
    <w:basedOn w:val="1"/>
    <w:link w:val="41"/>
    <w:qFormat/>
    <w:uiPriority w:val="0"/>
    <w:rPr>
      <w:sz w:val="18"/>
      <w:szCs w:val="18"/>
    </w:rPr>
  </w:style>
  <w:style w:type="paragraph" w:styleId="12">
    <w:name w:val="footer"/>
    <w:basedOn w:val="1"/>
    <w:qFormat/>
    <w:uiPriority w:val="0"/>
    <w:pPr>
      <w:tabs>
        <w:tab w:val="center" w:pos="4153"/>
        <w:tab w:val="right" w:pos="8306"/>
      </w:tabs>
      <w:snapToGrid w:val="0"/>
    </w:pPr>
    <w:rPr>
      <w:sz w:val="18"/>
    </w:rPr>
  </w:style>
  <w:style w:type="paragraph" w:styleId="1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14">
    <w:name w:val="toc 1"/>
    <w:basedOn w:val="1"/>
    <w:next w:val="1"/>
    <w:qFormat/>
    <w:uiPriority w:val="39"/>
    <w:pPr>
      <w:tabs>
        <w:tab w:val="right" w:leader="dot" w:pos="8296"/>
      </w:tabs>
      <w:spacing w:before="120" w:after="120"/>
      <w:jc w:val="center"/>
    </w:pPr>
    <w:rPr>
      <w:rFonts w:asciiTheme="minorHAnsi" w:hAnsiTheme="minorHAnsi" w:cstheme="minorHAnsi"/>
      <w:b/>
      <w:bCs/>
      <w:caps/>
      <w:sz w:val="20"/>
      <w:szCs w:val="20"/>
    </w:rPr>
  </w:style>
  <w:style w:type="paragraph" w:styleId="15">
    <w:name w:val="toc 4"/>
    <w:basedOn w:val="1"/>
    <w:next w:val="1"/>
    <w:qFormat/>
    <w:uiPriority w:val="0"/>
    <w:pPr>
      <w:ind w:left="720"/>
    </w:pPr>
    <w:rPr>
      <w:rFonts w:asciiTheme="minorHAnsi" w:hAnsiTheme="minorHAnsi" w:cstheme="minorHAnsi"/>
      <w:sz w:val="18"/>
      <w:szCs w:val="18"/>
    </w:rPr>
  </w:style>
  <w:style w:type="paragraph" w:styleId="16">
    <w:name w:val="toc 6"/>
    <w:basedOn w:val="1"/>
    <w:next w:val="1"/>
    <w:qFormat/>
    <w:uiPriority w:val="0"/>
    <w:pPr>
      <w:ind w:left="1200"/>
    </w:pPr>
    <w:rPr>
      <w:rFonts w:asciiTheme="minorHAnsi" w:hAnsiTheme="minorHAnsi" w:cstheme="minorHAnsi"/>
      <w:sz w:val="18"/>
      <w:szCs w:val="18"/>
    </w:rPr>
  </w:style>
  <w:style w:type="paragraph" w:styleId="17">
    <w:name w:val="table of figures"/>
    <w:basedOn w:val="1"/>
    <w:next w:val="1"/>
    <w:qFormat/>
    <w:uiPriority w:val="99"/>
    <w:pPr>
      <w:ind w:left="200" w:leftChars="200" w:hanging="200" w:hangingChars="200"/>
    </w:pPr>
  </w:style>
  <w:style w:type="paragraph" w:styleId="18">
    <w:name w:val="toc 2"/>
    <w:basedOn w:val="1"/>
    <w:next w:val="1"/>
    <w:qFormat/>
    <w:uiPriority w:val="39"/>
    <w:pPr>
      <w:ind w:left="240"/>
    </w:pPr>
    <w:rPr>
      <w:rFonts w:asciiTheme="minorHAnsi" w:hAnsiTheme="minorHAnsi" w:cstheme="minorHAnsi"/>
      <w:smallCaps/>
      <w:sz w:val="20"/>
      <w:szCs w:val="20"/>
    </w:rPr>
  </w:style>
  <w:style w:type="paragraph" w:styleId="19">
    <w:name w:val="toc 9"/>
    <w:basedOn w:val="1"/>
    <w:next w:val="1"/>
    <w:qFormat/>
    <w:uiPriority w:val="0"/>
    <w:pPr>
      <w:ind w:left="1920"/>
    </w:pPr>
    <w:rPr>
      <w:rFonts w:asciiTheme="minorHAnsi" w:hAnsiTheme="minorHAnsi" w:cstheme="minorHAnsi"/>
      <w:sz w:val="18"/>
      <w:szCs w:val="18"/>
    </w:rPr>
  </w:style>
  <w:style w:type="paragraph" w:styleId="20">
    <w:name w:val="Normal (Web)"/>
    <w:basedOn w:val="1"/>
    <w:qFormat/>
    <w:uiPriority w:val="0"/>
    <w:rPr>
      <w:rFonts w:ascii="Calibri" w:hAnsi="Calibri" w:cs="Times New Roman"/>
    </w:rPr>
  </w:style>
  <w:style w:type="paragraph" w:styleId="21">
    <w:name w:val="Title"/>
    <w:basedOn w:val="1"/>
    <w:next w:val="1"/>
    <w:link w:val="36"/>
    <w:qFormat/>
    <w:uiPriority w:val="0"/>
    <w:pPr>
      <w:spacing w:before="240" w:after="60"/>
      <w:jc w:val="center"/>
      <w:outlineLvl w:val="0"/>
    </w:pPr>
    <w:rPr>
      <w:rFonts w:asciiTheme="majorHAnsi" w:hAnsiTheme="majorHAnsi" w:eastAsiaTheme="majorEastAsia" w:cstheme="majorBidi"/>
      <w:b/>
      <w:bCs/>
      <w:sz w:val="32"/>
      <w:szCs w:val="32"/>
    </w:rPr>
  </w:style>
  <w:style w:type="paragraph" w:styleId="22">
    <w:name w:val="annotation subject"/>
    <w:basedOn w:val="7"/>
    <w:next w:val="7"/>
    <w:link w:val="43"/>
    <w:qFormat/>
    <w:uiPriority w:val="0"/>
    <w:rPr>
      <w:b/>
      <w:bCs/>
    </w:rPr>
  </w:style>
  <w:style w:type="table" w:styleId="24">
    <w:name w:val="Table Grid"/>
    <w:basedOn w:val="23"/>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6">
    <w:name w:val="Strong"/>
    <w:basedOn w:val="25"/>
    <w:qFormat/>
    <w:uiPriority w:val="22"/>
    <w:rPr>
      <w:b/>
    </w:rPr>
  </w:style>
  <w:style w:type="character" w:styleId="27">
    <w:name w:val="FollowedHyperlink"/>
    <w:basedOn w:val="25"/>
    <w:qFormat/>
    <w:uiPriority w:val="0"/>
    <w:rPr>
      <w:color w:val="954F72" w:themeColor="followedHyperlink"/>
      <w:u w:val="single"/>
      <w14:textFill>
        <w14:solidFill>
          <w14:schemeClr w14:val="folHlink"/>
        </w14:solidFill>
      </w14:textFill>
    </w:rPr>
  </w:style>
  <w:style w:type="character" w:styleId="28">
    <w:name w:val="Hyperlink"/>
    <w:basedOn w:val="25"/>
    <w:qFormat/>
    <w:uiPriority w:val="99"/>
    <w:rPr>
      <w:color w:val="0000FF"/>
      <w:u w:val="single"/>
    </w:rPr>
  </w:style>
  <w:style w:type="character" w:styleId="29">
    <w:name w:val="annotation reference"/>
    <w:basedOn w:val="25"/>
    <w:qFormat/>
    <w:uiPriority w:val="0"/>
    <w:rPr>
      <w:sz w:val="21"/>
      <w:szCs w:val="21"/>
    </w:rPr>
  </w:style>
  <w:style w:type="character" w:customStyle="1" w:styleId="30">
    <w:name w:val="font91"/>
    <w:basedOn w:val="25"/>
    <w:qFormat/>
    <w:uiPriority w:val="0"/>
    <w:rPr>
      <w:rFonts w:ascii="Arial" w:hAnsi="Arial" w:cs="Arial"/>
      <w:color w:val="000000"/>
      <w:sz w:val="16"/>
      <w:szCs w:val="16"/>
      <w:u w:val="none"/>
    </w:rPr>
  </w:style>
  <w:style w:type="character" w:customStyle="1" w:styleId="31">
    <w:name w:val="font51"/>
    <w:basedOn w:val="25"/>
    <w:qFormat/>
    <w:uiPriority w:val="0"/>
    <w:rPr>
      <w:rFonts w:hint="eastAsia" w:ascii="宋体" w:hAnsi="宋体" w:eastAsia="宋体" w:cs="宋体"/>
      <w:color w:val="000000"/>
      <w:sz w:val="16"/>
      <w:szCs w:val="16"/>
      <w:u w:val="none"/>
    </w:rPr>
  </w:style>
  <w:style w:type="paragraph" w:customStyle="1" w:styleId="32">
    <w:name w:val="文字"/>
    <w:qFormat/>
    <w:uiPriority w:val="0"/>
    <w:pPr>
      <w:adjustRightInd w:val="0"/>
      <w:snapToGrid w:val="0"/>
      <w:spacing w:line="360" w:lineRule="auto"/>
      <w:ind w:firstLine="560" w:firstLineChars="200"/>
    </w:pPr>
    <w:rPr>
      <w:rFonts w:ascii="仿宋_GB2312" w:hAnsi="仿宋_GB2312" w:eastAsia="仿宋_GB2312" w:cs="仿宋_GB2312"/>
      <w:bCs/>
      <w:kern w:val="44"/>
      <w:sz w:val="28"/>
      <w:szCs w:val="28"/>
      <w:lang w:val="en-US" w:eastAsia="zh-CN" w:bidi="ar-SA"/>
    </w:rPr>
  </w:style>
  <w:style w:type="paragraph" w:styleId="33">
    <w:name w:val="List Paragraph"/>
    <w:basedOn w:val="1"/>
    <w:unhideWhenUsed/>
    <w:qFormat/>
    <w:uiPriority w:val="99"/>
    <w:pPr>
      <w:ind w:firstLine="420" w:firstLineChars="200"/>
    </w:pPr>
  </w:style>
  <w:style w:type="character" w:customStyle="1" w:styleId="34">
    <w:name w:val="标题 3 字符"/>
    <w:link w:val="4"/>
    <w:semiHidden/>
    <w:qFormat/>
    <w:uiPriority w:val="0"/>
    <w:rPr>
      <w:rFonts w:ascii="仿宋_GB2312" w:hAnsi="仿宋_GB2312" w:eastAsia="仿宋_GB2312" w:cs="仿宋_GB2312"/>
      <w:b/>
      <w:bCs/>
      <w:sz w:val="32"/>
      <w:szCs w:val="32"/>
      <w:lang w:val="en-US" w:eastAsia="zh-CN" w:bidi="ar-SA"/>
    </w:rPr>
  </w:style>
  <w:style w:type="character" w:customStyle="1" w:styleId="35">
    <w:name w:val="未处理的提及1"/>
    <w:basedOn w:val="25"/>
    <w:semiHidden/>
    <w:unhideWhenUsed/>
    <w:qFormat/>
    <w:uiPriority w:val="99"/>
    <w:rPr>
      <w:color w:val="605E5C"/>
      <w:shd w:val="clear" w:color="auto" w:fill="E1DFDD"/>
    </w:rPr>
  </w:style>
  <w:style w:type="character" w:customStyle="1" w:styleId="36">
    <w:name w:val="标题 字符"/>
    <w:basedOn w:val="25"/>
    <w:link w:val="21"/>
    <w:qFormat/>
    <w:uiPriority w:val="0"/>
    <w:rPr>
      <w:rFonts w:asciiTheme="majorHAnsi" w:hAnsiTheme="majorHAnsi" w:eastAsiaTheme="majorEastAsia" w:cstheme="majorBidi"/>
      <w:b/>
      <w:bCs/>
      <w:sz w:val="32"/>
      <w:szCs w:val="32"/>
    </w:rPr>
  </w:style>
  <w:style w:type="character" w:customStyle="1" w:styleId="37">
    <w:name w:val="不明显强调1"/>
    <w:basedOn w:val="25"/>
    <w:qFormat/>
    <w:uiPriority w:val="19"/>
    <w:rPr>
      <w:i/>
      <w:iCs/>
      <w:color w:val="404040" w:themeColor="text1" w:themeTint="BF"/>
      <w14:textFill>
        <w14:solidFill>
          <w14:schemeClr w14:val="tx1">
            <w14:lumMod w14:val="75000"/>
            <w14:lumOff w14:val="25000"/>
          </w14:schemeClr>
        </w14:solidFill>
      </w14:textFill>
    </w:rPr>
  </w:style>
  <w:style w:type="paragraph" w:customStyle="1" w:styleId="38">
    <w:name w:val="表格文字"/>
    <w:basedOn w:val="32"/>
    <w:qFormat/>
    <w:uiPriority w:val="0"/>
    <w:pPr>
      <w:ind w:left="-2" w:leftChars="-1" w:firstLine="0" w:firstLineChars="0"/>
    </w:pPr>
  </w:style>
  <w:style w:type="character" w:customStyle="1" w:styleId="39">
    <w:name w:val="未处理的提及2"/>
    <w:basedOn w:val="25"/>
    <w:semiHidden/>
    <w:unhideWhenUsed/>
    <w:qFormat/>
    <w:uiPriority w:val="99"/>
    <w:rPr>
      <w:color w:val="605E5C"/>
      <w:shd w:val="clear" w:color="auto" w:fill="E1DFDD"/>
    </w:rPr>
  </w:style>
  <w:style w:type="table" w:customStyle="1" w:styleId="40">
    <w:name w:val="无格式表格 21"/>
    <w:basedOn w:val="23"/>
    <w:qFormat/>
    <w:uiPriority w:val="42"/>
    <w:tblPr>
      <w:tblBorders>
        <w:top w:val="single" w:color="7E7E7E" w:themeColor="text1" w:themeTint="80" w:sz="4" w:space="0"/>
        <w:bottom w:val="single" w:color="7E7E7E" w:themeColor="text1" w:themeTint="80" w:sz="4" w:space="0"/>
      </w:tblBorders>
    </w:tblPr>
    <w:tblStylePr w:type="firstRow">
      <w:rPr>
        <w:b/>
        <w:bCs/>
      </w:rPr>
      <w:tcPr>
        <w:tcBorders>
          <w:bottom w:val="single" w:color="7E7E7E" w:themeColor="text1" w:themeTint="80" w:sz="4" w:space="0"/>
        </w:tcBorders>
      </w:tcPr>
    </w:tblStylePr>
    <w:tblStylePr w:type="lastRow">
      <w:rPr>
        <w:b/>
        <w:bCs/>
      </w:rPr>
      <w:tcPr>
        <w:tcBorders>
          <w:top w:val="single" w:color="7E7E7E" w:themeColor="text1" w:themeTint="80" w:sz="4" w:space="0"/>
        </w:tcBorders>
      </w:tcPr>
    </w:tblStylePr>
    <w:tblStylePr w:type="firstCol">
      <w:rPr>
        <w:b/>
        <w:bCs/>
      </w:rPr>
    </w:tblStylePr>
    <w:tblStylePr w:type="lastCol">
      <w:rPr>
        <w:b/>
        <w:bCs/>
      </w:rPr>
    </w:tblStylePr>
    <w:tblStylePr w:type="band1Vert">
      <w:tcPr>
        <w:tcBorders>
          <w:left w:val="single" w:color="7E7E7E" w:themeColor="text1" w:themeTint="80" w:sz="4" w:space="0"/>
          <w:right w:val="single" w:color="7E7E7E" w:themeColor="text1" w:themeTint="80" w:sz="4" w:space="0"/>
        </w:tcBorders>
      </w:tcPr>
    </w:tblStylePr>
    <w:tblStylePr w:type="band2Vert">
      <w:tcPr>
        <w:tcBorders>
          <w:left w:val="single" w:color="7E7E7E" w:themeColor="text1" w:themeTint="80" w:sz="4" w:space="0"/>
          <w:right w:val="single" w:color="7E7E7E" w:themeColor="text1" w:themeTint="80" w:sz="4" w:space="0"/>
        </w:tcBorders>
      </w:tcPr>
    </w:tblStylePr>
    <w:tblStylePr w:type="band1Horz">
      <w:tcPr>
        <w:tcBorders>
          <w:top w:val="single" w:color="7E7E7E" w:themeColor="text1" w:themeTint="80" w:sz="4" w:space="0"/>
          <w:bottom w:val="single" w:color="7E7E7E" w:themeColor="text1" w:themeTint="80" w:sz="4" w:space="0"/>
        </w:tcBorders>
      </w:tcPr>
    </w:tblStylePr>
  </w:style>
  <w:style w:type="character" w:customStyle="1" w:styleId="41">
    <w:name w:val="批注框文本 字符"/>
    <w:basedOn w:val="25"/>
    <w:link w:val="11"/>
    <w:qFormat/>
    <w:uiPriority w:val="0"/>
    <w:rPr>
      <w:rFonts w:ascii="宋体" w:hAnsi="宋体" w:cs="宋体"/>
      <w:sz w:val="18"/>
      <w:szCs w:val="18"/>
    </w:rPr>
  </w:style>
  <w:style w:type="character" w:customStyle="1" w:styleId="42">
    <w:name w:val="批注文字 字符"/>
    <w:basedOn w:val="25"/>
    <w:link w:val="7"/>
    <w:qFormat/>
    <w:uiPriority w:val="0"/>
    <w:rPr>
      <w:rFonts w:ascii="宋体" w:hAnsi="宋体" w:cs="宋体"/>
      <w:sz w:val="24"/>
      <w:szCs w:val="24"/>
    </w:rPr>
  </w:style>
  <w:style w:type="character" w:customStyle="1" w:styleId="43">
    <w:name w:val="批注主题 字符"/>
    <w:basedOn w:val="42"/>
    <w:link w:val="22"/>
    <w:qFormat/>
    <w:uiPriority w:val="0"/>
    <w:rPr>
      <w:rFonts w:ascii="宋体" w:hAnsi="宋体" w:cs="宋体"/>
      <w:b/>
      <w:bCs/>
      <w:sz w:val="24"/>
      <w:szCs w:val="24"/>
    </w:rPr>
  </w:style>
  <w:style w:type="character" w:customStyle="1" w:styleId="44">
    <w:name w:val="标题 2 字符"/>
    <w:link w:val="3"/>
    <w:qFormat/>
    <w:uiPriority w:val="0"/>
    <w:rPr>
      <w:rFonts w:ascii="仿宋_GB2312" w:hAnsi="仿宋_GB2312" w:eastAsia="仿宋_GB2312" w:cs="仿宋_GB2312"/>
      <w:b/>
      <w:bCs/>
      <w:sz w:val="32"/>
      <w:szCs w:val="32"/>
      <w:lang w:val="en-US" w:eastAsia="zh-CN" w:bidi="ar-SA"/>
    </w:rPr>
  </w:style>
  <w:style w:type="table" w:customStyle="1" w:styleId="45">
    <w:name w:val="清单表 3 - 着色 11"/>
    <w:basedOn w:val="23"/>
    <w:qFormat/>
    <w:uiPriority w:val="48"/>
    <w:tblPr>
      <w:tblBorders>
        <w:top w:val="single" w:color="5B9BD5" w:themeColor="accent1" w:sz="4" w:space="0"/>
        <w:left w:val="single" w:color="5B9BD5" w:themeColor="accent1" w:sz="4" w:space="0"/>
        <w:bottom w:val="single" w:color="5B9BD5" w:themeColor="accent1" w:sz="4" w:space="0"/>
        <w:right w:val="single" w:color="5B9BD5" w:themeColor="accent1" w:sz="4" w:space="0"/>
      </w:tblBorders>
    </w:tblPr>
    <w:tblStylePr w:type="firstRow">
      <w:rPr>
        <w:b/>
        <w:bCs/>
        <w:color w:val="FFFFFF" w:themeColor="background1"/>
        <w14:textFill>
          <w14:solidFill>
            <w14:schemeClr w14:val="bg1"/>
          </w14:solidFill>
        </w14:textFill>
      </w:rPr>
      <w:tcPr>
        <w:shd w:val="clear" w:color="auto" w:fill="5B9BD5" w:themeFill="accent1"/>
      </w:tcPr>
    </w:tblStylePr>
    <w:tblStylePr w:type="lastRow">
      <w:rPr>
        <w:b/>
        <w:bCs/>
      </w:rPr>
      <w:tcPr>
        <w:tcBorders>
          <w:top w:val="double" w:color="5B9BD5" w:themeColor="accent1" w:sz="4" w:space="0"/>
        </w:tcBorders>
        <w:shd w:val="clear" w:color="auto" w:fill="FFFFFF" w:themeFill="background1"/>
      </w:tcPr>
    </w:tblStylePr>
    <w:tblStylePr w:type="firstCol">
      <w:rPr>
        <w:b/>
        <w:bCs/>
      </w:rPr>
      <w:tcPr>
        <w:tcBorders>
          <w:right w:val="nil"/>
        </w:tcBorders>
        <w:shd w:val="clear" w:color="auto" w:fill="FFFFFF" w:themeFill="background1"/>
      </w:tcPr>
    </w:tblStylePr>
    <w:tblStylePr w:type="lastCol">
      <w:rPr>
        <w:b/>
        <w:bCs/>
      </w:rPr>
      <w:tcPr>
        <w:tcBorders>
          <w:left w:val="nil"/>
        </w:tcBorders>
        <w:shd w:val="clear" w:color="auto" w:fill="FFFFFF" w:themeFill="background1"/>
      </w:tcPr>
    </w:tblStylePr>
    <w:tblStylePr w:type="band1Vert">
      <w:tcPr>
        <w:tcBorders>
          <w:left w:val="single" w:color="5B9BD5" w:themeColor="accent1" w:sz="4" w:space="0"/>
          <w:right w:val="single" w:color="5B9BD5" w:themeColor="accent1" w:sz="4" w:space="0"/>
        </w:tcBorders>
      </w:tcPr>
    </w:tblStylePr>
    <w:tblStylePr w:type="band1Horz">
      <w:tcPr>
        <w:tcBorders>
          <w:top w:val="single" w:color="5B9BD5" w:themeColor="accent1" w:sz="4" w:space="0"/>
          <w:bottom w:val="single" w:color="5B9BD5" w:themeColor="accent1" w:sz="4" w:space="0"/>
          <w:insideH w:val="nil"/>
        </w:tcBorders>
      </w:tcPr>
    </w:tblStylePr>
    <w:tblStylePr w:type="neCell">
      <w:tcPr>
        <w:tcBorders>
          <w:left w:val="nil"/>
          <w:bottom w:val="nil"/>
        </w:tcBorders>
      </w:tcPr>
    </w:tblStylePr>
    <w:tblStylePr w:type="nwCell">
      <w:tcPr>
        <w:tcBorders>
          <w:bottom w:val="nil"/>
          <w:right w:val="nil"/>
        </w:tcBorders>
      </w:tcPr>
    </w:tblStylePr>
    <w:tblStylePr w:type="seCell">
      <w:tcPr>
        <w:tcBorders>
          <w:top w:val="double" w:color="5B9BD5" w:themeColor="accent1" w:sz="4" w:space="0"/>
          <w:left w:val="nil"/>
        </w:tcBorders>
      </w:tcPr>
    </w:tblStylePr>
    <w:tblStylePr w:type="swCell">
      <w:tcPr>
        <w:tcBorders>
          <w:top w:val="double" w:color="5B9BD5" w:themeColor="accent1" w:sz="4" w:space="0"/>
          <w:right w:val="nil"/>
        </w:tcBorders>
      </w:tcPr>
    </w:tblStylePr>
  </w:style>
  <w:style w:type="character" w:customStyle="1" w:styleId="46">
    <w:name w:val="未处理的提及3"/>
    <w:basedOn w:val="25"/>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2.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tyleName="APA" SelectedStyle="/APASixthEditionOfficeOnline.xsl"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F4FED26-B14D-E044-B371-C7B082571554}">
  <ds:schemaRefs/>
</ds:datastoreItem>
</file>

<file path=docProps/app.xml><?xml version="1.0" encoding="utf-8"?>
<Properties xmlns="http://schemas.openxmlformats.org/officeDocument/2006/extended-properties" xmlns:vt="http://schemas.openxmlformats.org/officeDocument/2006/docPropsVTypes">
  <Template>Normal.dotm</Template>
  <Company>集团总部</Company>
  <Pages>7</Pages>
  <Words>5278</Words>
  <Characters>7108</Characters>
  <Lines>61</Lines>
  <Paragraphs>17</Paragraphs>
  <TotalTime>6</TotalTime>
  <ScaleCrop>false</ScaleCrop>
  <LinksUpToDate>false</LinksUpToDate>
  <CharactersWithSpaces>7146</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2025-03-16T13:36:00Z</dcterms:created>
  <dc:creator>任毅</dc:creator>
  <cp:lastModifiedBy>蓝天小云</cp:lastModifiedBy>
  <dcterms:modified xsi:type="dcterms:W3CDTF">2025-10-17T04:30:21Z</dcterms:modified>
  <cp:revision>36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69B2ADB5A24B4895ACC8D6450E190A22</vt:lpwstr>
  </property>
  <property fmtid="{D5CDD505-2E9C-101B-9397-08002B2CF9AE}" pid="4" name="KSOTemplateDocerSaveRecord">
    <vt:lpwstr>eyJoZGlkIjoiYTAyYWMzNzNkNTc2NDA5ZjJhMjk3NmNmMDFlMDMyNGIiLCJ1c2VySWQiOiIzNTY3OTY0OTMifQ==</vt:lpwstr>
  </property>
</Properties>
</file>