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0334C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1D726450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189DC712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3FC599BD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00278D5D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5D9F7C82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6002290B">
      <w:pPr>
        <w:snapToGrid w:val="0"/>
        <w:spacing w:line="360" w:lineRule="auto"/>
        <w:ind w:firstLine="897"/>
        <w:jc w:val="center"/>
        <w:rPr>
          <w:rFonts w:ascii="黑体" w:hAnsi="黑体" w:eastAsia="黑体" w:cs="黑体"/>
          <w:b/>
          <w:bCs/>
          <w:sz w:val="44"/>
          <w:szCs w:val="52"/>
        </w:rPr>
      </w:pPr>
      <w:r>
        <w:rPr>
          <w:rFonts w:hint="eastAsia" w:ascii="黑体" w:hAnsi="黑体" w:eastAsia="黑体" w:cs="黑体"/>
          <w:b/>
          <w:bCs/>
          <w:sz w:val="44"/>
          <w:szCs w:val="52"/>
        </w:rPr>
        <w:t xml:space="preserve"> 每周政策速递</w:t>
      </w:r>
    </w:p>
    <w:p w14:paraId="49B54A9F">
      <w:pPr>
        <w:snapToGrid w:val="0"/>
        <w:spacing w:line="360" w:lineRule="auto"/>
        <w:ind w:firstLine="897"/>
        <w:jc w:val="center"/>
        <w:rPr>
          <w:rFonts w:ascii="黑体" w:hAnsi="黑体" w:eastAsia="黑体" w:cs="黑体"/>
          <w:b/>
          <w:bCs/>
          <w:sz w:val="44"/>
          <w:szCs w:val="52"/>
        </w:rPr>
      </w:pPr>
      <w:r>
        <w:rPr>
          <w:rFonts w:hint="eastAsia" w:ascii="黑体" w:hAnsi="黑体" w:eastAsia="黑体" w:cs="黑体"/>
          <w:b/>
          <w:bCs/>
          <w:sz w:val="44"/>
          <w:szCs w:val="52"/>
        </w:rPr>
        <w:t>（</w:t>
      </w:r>
      <w:r>
        <w:rPr>
          <w:rFonts w:hint="eastAsia" w:ascii="黑体" w:hAnsi="黑体" w:eastAsia="黑体" w:cs="黑体"/>
          <w:b/>
          <w:bCs/>
          <w:sz w:val="44"/>
          <w:szCs w:val="52"/>
          <w:lang w:val="en-US" w:eastAsia="zh-CN"/>
        </w:rPr>
        <w:t>10</w:t>
      </w:r>
      <w:r>
        <w:rPr>
          <w:rFonts w:hint="eastAsia" w:ascii="黑体" w:hAnsi="黑体" w:eastAsia="黑体" w:cs="黑体"/>
          <w:b/>
          <w:bCs/>
          <w:sz w:val="44"/>
          <w:szCs w:val="52"/>
        </w:rPr>
        <w:t>月</w:t>
      </w:r>
      <w:r>
        <w:rPr>
          <w:rFonts w:hint="eastAsia" w:ascii="黑体" w:hAnsi="黑体" w:eastAsia="黑体" w:cs="黑体"/>
          <w:b/>
          <w:bCs/>
          <w:sz w:val="44"/>
          <w:szCs w:val="52"/>
          <w:lang w:val="en-US" w:eastAsia="zh-CN"/>
        </w:rPr>
        <w:t>17</w:t>
      </w:r>
      <w:r>
        <w:rPr>
          <w:rFonts w:hint="eastAsia" w:ascii="黑体" w:hAnsi="黑体" w:eastAsia="黑体" w:cs="黑体"/>
          <w:b/>
          <w:bCs/>
          <w:sz w:val="44"/>
          <w:szCs w:val="52"/>
        </w:rPr>
        <w:t>日-</w:t>
      </w:r>
      <w:r>
        <w:rPr>
          <w:rFonts w:hint="eastAsia" w:ascii="黑体" w:hAnsi="黑体" w:eastAsia="黑体" w:cs="黑体"/>
          <w:b/>
          <w:bCs/>
          <w:sz w:val="44"/>
          <w:szCs w:val="52"/>
          <w:lang w:val="en-US" w:eastAsia="zh-CN"/>
        </w:rPr>
        <w:t>10</w:t>
      </w:r>
      <w:r>
        <w:rPr>
          <w:rFonts w:hint="eastAsia" w:ascii="黑体" w:hAnsi="黑体" w:eastAsia="黑体" w:cs="黑体"/>
          <w:b/>
          <w:bCs/>
          <w:sz w:val="44"/>
          <w:szCs w:val="52"/>
        </w:rPr>
        <w:t>月</w:t>
      </w:r>
      <w:r>
        <w:rPr>
          <w:rFonts w:hint="eastAsia" w:ascii="黑体" w:hAnsi="黑体" w:eastAsia="黑体" w:cs="黑体"/>
          <w:b/>
          <w:bCs/>
          <w:sz w:val="44"/>
          <w:szCs w:val="52"/>
          <w:lang w:val="en-US" w:eastAsia="zh-CN"/>
        </w:rPr>
        <w:t>24</w:t>
      </w:r>
      <w:r>
        <w:rPr>
          <w:rFonts w:hint="eastAsia" w:ascii="黑体" w:hAnsi="黑体" w:eastAsia="黑体" w:cs="黑体"/>
          <w:b/>
          <w:bCs/>
          <w:sz w:val="44"/>
          <w:szCs w:val="52"/>
        </w:rPr>
        <w:t>日）</w:t>
      </w:r>
    </w:p>
    <w:p w14:paraId="555F551E">
      <w:pPr>
        <w:snapToGrid w:val="0"/>
        <w:spacing w:line="360" w:lineRule="auto"/>
        <w:ind w:firstLine="720"/>
        <w:jc w:val="center"/>
        <w:rPr>
          <w:sz w:val="36"/>
          <w:szCs w:val="44"/>
        </w:rPr>
      </w:pPr>
    </w:p>
    <w:p w14:paraId="1BBA3328">
      <w:pPr>
        <w:snapToGrid w:val="0"/>
        <w:spacing w:line="360" w:lineRule="auto"/>
        <w:ind w:firstLine="720"/>
        <w:jc w:val="center"/>
        <w:rPr>
          <w:sz w:val="36"/>
          <w:szCs w:val="44"/>
        </w:rPr>
      </w:pPr>
    </w:p>
    <w:p w14:paraId="47ECA664">
      <w:pPr>
        <w:snapToGrid w:val="0"/>
        <w:spacing w:line="360" w:lineRule="auto"/>
        <w:ind w:firstLine="720"/>
        <w:jc w:val="center"/>
        <w:rPr>
          <w:sz w:val="36"/>
          <w:szCs w:val="44"/>
        </w:rPr>
      </w:pPr>
    </w:p>
    <w:p w14:paraId="621928D3">
      <w:pPr>
        <w:snapToGrid w:val="0"/>
        <w:spacing w:line="360" w:lineRule="auto"/>
        <w:ind w:firstLine="720"/>
        <w:jc w:val="center"/>
        <w:rPr>
          <w:sz w:val="36"/>
          <w:szCs w:val="44"/>
        </w:rPr>
      </w:pPr>
    </w:p>
    <w:p w14:paraId="172DDBCD">
      <w:pPr>
        <w:snapToGrid w:val="0"/>
        <w:spacing w:line="360" w:lineRule="auto"/>
        <w:jc w:val="center"/>
        <w:rPr>
          <w:sz w:val="28"/>
          <w:szCs w:val="36"/>
        </w:rPr>
      </w:pPr>
    </w:p>
    <w:p w14:paraId="4F7F58AE">
      <w:pPr>
        <w:snapToGrid w:val="0"/>
        <w:spacing w:line="360" w:lineRule="auto"/>
        <w:jc w:val="center"/>
        <w:rPr>
          <w:sz w:val="28"/>
          <w:szCs w:val="36"/>
        </w:rPr>
      </w:pPr>
    </w:p>
    <w:p w14:paraId="0B76DE71">
      <w:pPr>
        <w:snapToGrid w:val="0"/>
        <w:spacing w:line="360" w:lineRule="auto"/>
        <w:jc w:val="center"/>
        <w:rPr>
          <w:sz w:val="28"/>
          <w:szCs w:val="36"/>
        </w:rPr>
      </w:pPr>
    </w:p>
    <w:p w14:paraId="24C487AA">
      <w:pPr>
        <w:snapToGrid w:val="0"/>
        <w:spacing w:line="360" w:lineRule="auto"/>
        <w:jc w:val="center"/>
        <w:rPr>
          <w:sz w:val="28"/>
          <w:szCs w:val="36"/>
        </w:rPr>
      </w:pPr>
    </w:p>
    <w:p w14:paraId="012ECE2B">
      <w:pPr>
        <w:snapToGrid w:val="0"/>
        <w:spacing w:line="360" w:lineRule="auto"/>
        <w:jc w:val="center"/>
        <w:rPr>
          <w:sz w:val="28"/>
          <w:szCs w:val="36"/>
        </w:rPr>
      </w:pPr>
    </w:p>
    <w:p w14:paraId="50B34A26">
      <w:pPr>
        <w:snapToGrid w:val="0"/>
        <w:spacing w:line="360" w:lineRule="auto"/>
        <w:jc w:val="center"/>
        <w:rPr>
          <w:sz w:val="28"/>
          <w:szCs w:val="36"/>
        </w:rPr>
      </w:pPr>
    </w:p>
    <w:p w14:paraId="5125022F">
      <w:pPr>
        <w:snapToGrid w:val="0"/>
        <w:spacing w:line="360" w:lineRule="auto"/>
        <w:jc w:val="center"/>
        <w:rPr>
          <w:sz w:val="28"/>
          <w:szCs w:val="36"/>
        </w:rPr>
      </w:pPr>
    </w:p>
    <w:p w14:paraId="41EA7610">
      <w:pPr>
        <w:snapToGrid w:val="0"/>
        <w:spacing w:line="360" w:lineRule="auto"/>
        <w:ind w:firstLine="560"/>
        <w:jc w:val="both"/>
      </w:pPr>
    </w:p>
    <w:p w14:paraId="7E4363B5">
      <w:pPr>
        <w:pStyle w:val="2"/>
        <w:jc w:val="both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43E20BD">
      <w:pPr>
        <w:pStyle w:val="2"/>
        <w:jc w:val="both"/>
      </w:pPr>
      <w:bookmarkStart w:id="0" w:name="_Toc25798"/>
      <w:r>
        <w:rPr>
          <w:rFonts w:hint="eastAsia"/>
        </w:rPr>
        <w:t>目录</w:t>
      </w:r>
      <w:bookmarkEnd w:id="0"/>
    </w:p>
    <w:p w14:paraId="3C50A413">
      <w:pPr>
        <w:pStyle w:val="14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TOC \o "1-3" \h \z \u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ascii="微软雅黑" w:hAnsi="微软雅黑" w:eastAsia="微软雅黑"/>
          <w:szCs w:val="21"/>
        </w:rPr>
        <w:fldChar w:fldCharType="begin"/>
      </w:r>
      <w:r>
        <w:rPr>
          <w:rFonts w:ascii="微软雅黑" w:hAnsi="微软雅黑" w:eastAsia="微软雅黑"/>
          <w:szCs w:val="21"/>
        </w:rPr>
        <w:instrText xml:space="preserve"> HYPERLINK \l _Toc25798 </w:instrText>
      </w:r>
      <w:r>
        <w:rPr>
          <w:rFonts w:ascii="微软雅黑" w:hAnsi="微软雅黑" w:eastAsia="微软雅黑"/>
          <w:szCs w:val="21"/>
        </w:rPr>
        <w:fldChar w:fldCharType="separate"/>
      </w:r>
      <w:r>
        <w:rPr>
          <w:rFonts w:hint="eastAsia"/>
        </w:rPr>
        <w:t>目录</w:t>
      </w:r>
      <w:r>
        <w:tab/>
      </w:r>
      <w:r>
        <w:fldChar w:fldCharType="begin"/>
      </w:r>
      <w:r>
        <w:instrText xml:space="preserve"> PAGEREF _Toc25798 \h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hAnsi="微软雅黑" w:eastAsia="微软雅黑"/>
          <w:szCs w:val="21"/>
        </w:rPr>
        <w:fldChar w:fldCharType="end"/>
      </w:r>
    </w:p>
    <w:p w14:paraId="25712CF7">
      <w:pPr>
        <w:pStyle w:val="14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_Toc23615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eastAsia"/>
        </w:rPr>
        <w:t>重点.关注</w:t>
      </w:r>
      <w:r>
        <w:tab/>
      </w:r>
      <w:r>
        <w:fldChar w:fldCharType="begin"/>
      </w:r>
      <w:r>
        <w:instrText xml:space="preserve"> PAGEREF _Toc23615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1827468C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_Toc1478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(1) </w:t>
      </w:r>
      <w:r>
        <w:rPr>
          <w:rFonts w:hint="eastAsia"/>
        </w:rPr>
        <w:t>前三季度中国GDP同比增长5.2%</w:t>
      </w:r>
      <w:r>
        <w:tab/>
      </w:r>
      <w:r>
        <w:fldChar w:fldCharType="begin"/>
      </w:r>
      <w:r>
        <w:instrText xml:space="preserve"> PAGEREF _Toc1478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3FEE2CD4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_Toc5840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(2) </w:t>
      </w:r>
      <w:r>
        <w:rPr>
          <w:rFonts w:hint="eastAsia"/>
        </w:rPr>
        <w:t>二十届四中全会审议通过《中共中央关于制定国民经济和社会发展第十五个五年规划的建议》</w:t>
      </w:r>
      <w:r>
        <w:tab/>
      </w:r>
      <w:r>
        <w:fldChar w:fldCharType="begin"/>
      </w:r>
      <w:r>
        <w:instrText xml:space="preserve"> PAGEREF _Toc5840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0333C588">
      <w:pPr>
        <w:pStyle w:val="14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_Toc17030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eastAsia"/>
        </w:rPr>
        <w:t>政策.速递</w:t>
      </w:r>
      <w:r>
        <w:tab/>
      </w:r>
      <w:r>
        <w:fldChar w:fldCharType="begin"/>
      </w:r>
      <w:r>
        <w:instrText xml:space="preserve"> PAGEREF _Toc17030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684873F7">
      <w:pPr>
        <w:pStyle w:val="18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_Toc19411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eastAsia"/>
        </w:rPr>
        <w:t>中央</w:t>
      </w:r>
      <w:r>
        <w:tab/>
      </w:r>
      <w:r>
        <w:fldChar w:fldCharType="begin"/>
      </w:r>
      <w:r>
        <w:instrText xml:space="preserve"> PAGEREF _Toc19411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78DA35B3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_Toc20431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(1) </w:t>
      </w:r>
      <w:r>
        <w:rPr>
          <w:rFonts w:hint="eastAsia"/>
        </w:rPr>
        <w:t>《加快推进能源行业信用体系建设高质量发展行动方案》</w:t>
      </w:r>
      <w:r>
        <w:tab/>
      </w:r>
      <w:r>
        <w:fldChar w:fldCharType="begin"/>
      </w:r>
      <w:r>
        <w:instrText xml:space="preserve"> PAGEREF _Toc20431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78DC79A5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_Toc21671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(2) </w:t>
      </w:r>
      <w:r>
        <w:rPr>
          <w:rFonts w:hint="eastAsia"/>
        </w:rPr>
        <w:t>《关于加快推进煤炭洗选高质量发展的意见》</w:t>
      </w:r>
      <w:r>
        <w:tab/>
      </w:r>
      <w:r>
        <w:fldChar w:fldCharType="begin"/>
      </w:r>
      <w:r>
        <w:instrText xml:space="preserve"> PAGEREF _Toc21671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6EB2D121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_Toc619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(3) </w:t>
      </w:r>
      <w:r>
        <w:rPr>
          <w:rFonts w:hint="eastAsia"/>
        </w:rPr>
        <w:t>《个人信息出境认证办法》</w:t>
      </w:r>
      <w:r>
        <w:tab/>
      </w:r>
      <w:r>
        <w:fldChar w:fldCharType="begin"/>
      </w:r>
      <w:r>
        <w:instrText xml:space="preserve"> PAGEREF _Toc619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086832E0">
      <w:pPr>
        <w:pStyle w:val="18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_Toc14376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eastAsia"/>
        </w:rPr>
        <w:t>湖北省</w:t>
      </w:r>
      <w:r>
        <w:tab/>
      </w:r>
      <w:r>
        <w:fldChar w:fldCharType="begin"/>
      </w:r>
      <w:r>
        <w:instrText xml:space="preserve"> PAGEREF _Toc14376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7678A416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_Toc15872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(1) </w:t>
      </w:r>
      <w:r>
        <w:rPr>
          <w:rFonts w:hint="eastAsia"/>
        </w:rPr>
        <w:t>《关于公布2025年湖北省人工智能典型应用场景名单的通知》</w:t>
      </w:r>
      <w:r>
        <w:tab/>
      </w:r>
      <w:r>
        <w:fldChar w:fldCharType="begin"/>
      </w:r>
      <w:r>
        <w:instrText xml:space="preserve"> PAGEREF _Toc15872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74EF942A">
      <w:pPr>
        <w:pStyle w:val="14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_Toc19135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eastAsia"/>
        </w:rPr>
        <w:t>热点.资讯</w:t>
      </w:r>
      <w:r>
        <w:tab/>
      </w:r>
      <w:r>
        <w:fldChar w:fldCharType="begin"/>
      </w:r>
      <w:r>
        <w:instrText xml:space="preserve"> PAGEREF _Toc19135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518D0E1F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_Toc20321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(1) </w:t>
      </w:r>
      <w:r>
        <w:rPr>
          <w:rFonts w:hint="eastAsia"/>
        </w:rPr>
        <w:t>工业和信息化部科技服务业标准化技术委员会成立</w:t>
      </w:r>
      <w:r>
        <w:tab/>
      </w:r>
      <w:r>
        <w:fldChar w:fldCharType="begin"/>
      </w:r>
      <w:r>
        <w:instrText xml:space="preserve"> PAGEREF _Toc20321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53DB969C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_Toc28621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(2) </w:t>
      </w:r>
      <w:r>
        <w:rPr>
          <w:rFonts w:hint="eastAsia"/>
        </w:rPr>
        <w:t>王忠林会见中国进出口银行董事长陈怀宇</w:t>
      </w:r>
      <w:r>
        <w:tab/>
      </w:r>
      <w:r>
        <w:fldChar w:fldCharType="begin"/>
      </w:r>
      <w:r>
        <w:instrText xml:space="preserve"> PAGEREF _Toc28621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4A147BDA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_Toc14017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  <w:lang w:val="en-US" w:eastAsia="zh-CN"/>
        </w:rPr>
        <w:t xml:space="preserve">(3) </w:t>
      </w:r>
      <w:r>
        <w:rPr>
          <w:rFonts w:hint="eastAsia"/>
        </w:rPr>
        <w:t>王忠林主持召开省委常委会（扩大）会议暨市州党委书记座谈会</w:t>
      </w:r>
      <w:r>
        <w:tab/>
      </w:r>
      <w:r>
        <w:fldChar w:fldCharType="begin"/>
      </w:r>
      <w:r>
        <w:instrText xml:space="preserve"> PAGEREF _Toc14017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1C0A0989">
      <w:pPr>
        <w:snapToGrid w:val="0"/>
        <w:spacing w:line="360" w:lineRule="auto"/>
        <w:jc w:val="both"/>
      </w:pPr>
      <w:r>
        <w:rPr>
          <w:rFonts w:ascii="微软雅黑" w:hAnsi="微软雅黑" w:eastAsia="微软雅黑"/>
          <w:szCs w:val="28"/>
        </w:rPr>
        <w:fldChar w:fldCharType="end"/>
      </w:r>
    </w:p>
    <w:p w14:paraId="187ABEAE">
      <w:pPr>
        <w:snapToGrid w:val="0"/>
        <w:spacing w:line="360" w:lineRule="auto"/>
        <w:jc w:val="both"/>
        <w:rPr>
          <w:rFonts w:ascii="方正小标宋简体" w:hAnsi="方正小标宋简体" w:eastAsia="方正小标宋简体" w:cs="方正小标宋简体"/>
          <w:b/>
          <w:kern w:val="44"/>
          <w:sz w:val="32"/>
          <w:szCs w:val="32"/>
        </w:rPr>
      </w:pPr>
      <w:r>
        <w:br w:type="page"/>
      </w:r>
      <w:bookmarkStart w:id="15" w:name="_GoBack"/>
      <w:bookmarkEnd w:id="15"/>
    </w:p>
    <w:p w14:paraId="596FFC90">
      <w:pPr>
        <w:pStyle w:val="32"/>
        <w:jc w:val="both"/>
      </w:pPr>
    </w:p>
    <w:p w14:paraId="393FEC4A">
      <w:pPr>
        <w:pStyle w:val="2"/>
        <w:rPr>
          <w:rFonts w:hint="eastAsia"/>
        </w:rPr>
      </w:pPr>
      <w:bookmarkStart w:id="1" w:name="_Toc23615"/>
      <w:r>
        <w:rPr>
          <w:rFonts w:hint="eastAsia"/>
        </w:rPr>
        <w:t>重点.关注</w:t>
      </w:r>
      <w:bookmarkEnd w:id="1"/>
    </w:p>
    <w:p w14:paraId="1EC54B33">
      <w:pPr>
        <w:pStyle w:val="4"/>
        <w:bidi w:val="0"/>
        <w:rPr>
          <w:rFonts w:hint="eastAsia"/>
        </w:rPr>
      </w:pPr>
      <w:bookmarkStart w:id="2" w:name="_Toc1478"/>
      <w:r>
        <w:rPr>
          <w:rFonts w:hint="eastAsia"/>
        </w:rPr>
        <w:t>前三季度中国GDP同比增长5.2%</w:t>
      </w:r>
      <w:bookmarkEnd w:id="2"/>
    </w:p>
    <w:p w14:paraId="1AE26C0F">
      <w:pPr>
        <w:rPr>
          <w:rFonts w:hint="eastAsia"/>
        </w:rPr>
      </w:pPr>
    </w:p>
    <w:p w14:paraId="05309280">
      <w:pPr>
        <w:rPr>
          <w:rFonts w:hint="eastAsia"/>
        </w:rPr>
      </w:pPr>
      <w:r>
        <w:rPr>
          <w:rFonts w:hint="eastAsia"/>
        </w:rPr>
        <w:t>10月20日，国家统计局发布数据显示：2025年前三季度，我国GDP为1015036亿元，按不变价格计算，同比增长5.2%。 三季度，我国GDP为354500亿元，按不变价格计算，同比增长4.8%。从环比看，经季节因素调整后，三季度GDP环比增长1.1%，比二季度回升0.1个百分点。 今年以来，我国经济发展顶住压力，取得了难能可贵的发展成绩，经济运行持续保持总体平稳、稳中有进发展态势。</w:t>
      </w:r>
    </w:p>
    <w:p w14:paraId="5A977D0F">
      <w:pPr>
        <w:rPr>
          <w:rFonts w:hint="eastAsia"/>
        </w:rPr>
      </w:pPr>
    </w:p>
    <w:p w14:paraId="720E49C6">
      <w:pPr>
        <w:rPr>
          <w:rFonts w:hint="eastAsia"/>
        </w:rPr>
      </w:pPr>
      <w:r>
        <w:rPr>
          <w:rFonts w:hint="eastAsia"/>
        </w:rPr>
        <w:t>发文日期:2025年10月20日</w:t>
      </w:r>
    </w:p>
    <w:p w14:paraId="47B308D4">
      <w:pPr>
        <w:rPr>
          <w:rFonts w:hint="eastAsia"/>
        </w:rPr>
      </w:pPr>
      <w:r>
        <w:rPr>
          <w:rFonts w:hint="eastAsia"/>
        </w:rPr>
        <w:t>发文单位:国家统计局</w:t>
      </w:r>
    </w:p>
    <w:p w14:paraId="539436F6">
      <w:pPr>
        <w:rPr>
          <w:rFonts w:hint="eastAsia"/>
        </w:rPr>
      </w:pPr>
      <w:r>
        <w:rPr>
          <w:rFonts w:hint="eastAsia"/>
        </w:rPr>
        <w:t>原文链接:https://mp.weixin.qq.com/s/A3W0R0ZNSmhas1AZBu05dQ</w:t>
      </w:r>
    </w:p>
    <w:p w14:paraId="00756341">
      <w:pPr>
        <w:rPr>
          <w:rFonts w:hint="eastAsia"/>
        </w:rPr>
      </w:pPr>
    </w:p>
    <w:p w14:paraId="16B6162B">
      <w:pPr>
        <w:pStyle w:val="4"/>
        <w:bidi w:val="0"/>
        <w:rPr>
          <w:rFonts w:hint="eastAsia"/>
        </w:rPr>
      </w:pPr>
      <w:bookmarkStart w:id="3" w:name="_Toc5840"/>
      <w:r>
        <w:rPr>
          <w:rFonts w:hint="eastAsia"/>
        </w:rPr>
        <w:t>二十届四中全会审议通过《中共中央关于制定国民经济和社会发展第十五个五年规划的建议》</w:t>
      </w:r>
      <w:bookmarkEnd w:id="3"/>
    </w:p>
    <w:p w14:paraId="6C5A7346">
      <w:pPr>
        <w:rPr>
          <w:rFonts w:hint="eastAsia"/>
        </w:rPr>
      </w:pPr>
    </w:p>
    <w:p w14:paraId="74A922BD">
      <w:pPr>
        <w:rPr>
          <w:rFonts w:hint="eastAsia"/>
        </w:rPr>
      </w:pPr>
      <w:r>
        <w:rPr>
          <w:rFonts w:hint="eastAsia"/>
        </w:rPr>
        <w:t>中国共产党第二十届中央委员会第四次全体会议，于2025年10月20日至23日在北京举行。党的二十届四中全会最重要的成果，是审议通过了《中共中央关于制定国民经济和社会发展第十五个五年规划的建议》。《建议》共15个部分、61条，分为三大板块。第一板块是总论，主要阐述“十四五”时期我国发展取得的重大成就、抓好“十五五”时期经济社会发展的重大意义和总体要求。第二板块为分论，分领域部署“十五五”时期的战略任务和重大举措。第三板块主要部署坚持和加强党中央集中统一领导、推进社会主义民主法治建设等任务。《建议》的起草是在党中央领导下进行的。习近平总书记亲自担任文件起草组组长，亲自擘画、全程指导、把脉定向，发挥了决定性作用。</w:t>
      </w:r>
    </w:p>
    <w:p w14:paraId="3953B290">
      <w:pPr>
        <w:rPr>
          <w:rFonts w:hint="eastAsia"/>
        </w:rPr>
      </w:pPr>
    </w:p>
    <w:p w14:paraId="7967CD7C">
      <w:pPr>
        <w:rPr>
          <w:rFonts w:hint="eastAsia"/>
        </w:rPr>
      </w:pPr>
      <w:r>
        <w:rPr>
          <w:rFonts w:hint="eastAsia"/>
        </w:rPr>
        <w:t>发文日期:2025年10月20日</w:t>
      </w:r>
    </w:p>
    <w:p w14:paraId="6B1B778A">
      <w:pPr>
        <w:rPr>
          <w:rFonts w:hint="default" w:eastAsia="宋体"/>
          <w:lang w:val="en-US" w:eastAsia="zh-CN"/>
        </w:rPr>
      </w:pPr>
      <w:r>
        <w:rPr>
          <w:rFonts w:hint="eastAsia"/>
        </w:rPr>
        <w:t>发文单位:</w:t>
      </w:r>
      <w:r>
        <w:rPr>
          <w:rFonts w:hint="eastAsia"/>
          <w:lang w:val="en-US" w:eastAsia="zh-CN"/>
        </w:rPr>
        <w:t>中国政府网</w:t>
      </w:r>
    </w:p>
    <w:p w14:paraId="48423191">
      <w:pPr>
        <w:rPr>
          <w:rFonts w:hint="eastAsia"/>
        </w:rPr>
      </w:pPr>
      <w:r>
        <w:rPr>
          <w:rFonts w:hint="eastAsia"/>
        </w:rPr>
        <w:t>原文链接:https://mp.weixin.qq.com/s/4KYtkm4VmeCFEZmWmvQW1w</w:t>
      </w:r>
    </w:p>
    <w:p w14:paraId="193E0DE6">
      <w:pPr>
        <w:rPr>
          <w:rFonts w:hint="eastAsia"/>
        </w:rPr>
      </w:pPr>
    </w:p>
    <w:p w14:paraId="44FD0766"/>
    <w:p w14:paraId="49D1BEB6">
      <w:pPr>
        <w:pStyle w:val="2"/>
      </w:pPr>
      <w:bookmarkStart w:id="4" w:name="_Toc17030"/>
      <w:r>
        <w:rPr>
          <w:rFonts w:hint="eastAsia"/>
        </w:rPr>
        <w:t>政策.速递</w:t>
      </w:r>
      <w:bookmarkEnd w:id="4"/>
    </w:p>
    <w:p w14:paraId="43840AF2">
      <w:pPr>
        <w:pStyle w:val="3"/>
      </w:pPr>
      <w:bookmarkStart w:id="5" w:name="_Toc19411"/>
      <w:r>
        <w:rPr>
          <w:rFonts w:hint="eastAsia"/>
        </w:rPr>
        <w:t>中央</w:t>
      </w:r>
      <w:bookmarkEnd w:id="5"/>
      <w:r>
        <w:rPr>
          <w:rFonts w:hint="eastAsia"/>
        </w:rPr>
        <w:t xml:space="preserve"> </w:t>
      </w:r>
    </w:p>
    <w:p w14:paraId="28CEEA8D"/>
    <w:p w14:paraId="0B54761B">
      <w:pPr>
        <w:pStyle w:val="4"/>
        <w:numPr>
          <w:numId w:val="2"/>
        </w:numPr>
        <w:bidi w:val="0"/>
        <w:rPr>
          <w:rFonts w:hint="eastAsia"/>
        </w:rPr>
      </w:pPr>
      <w:bookmarkStart w:id="6" w:name="_Toc20431"/>
      <w:r>
        <w:rPr>
          <w:rFonts w:hint="eastAsia"/>
        </w:rPr>
        <w:t>《加快推进能源行业信用体系建设高质量发展行动方案》</w:t>
      </w:r>
      <w:bookmarkEnd w:id="6"/>
    </w:p>
    <w:p w14:paraId="2B25E31B">
      <w:pPr>
        <w:rPr>
          <w:rFonts w:hint="eastAsia"/>
        </w:rPr>
      </w:pPr>
    </w:p>
    <w:p w14:paraId="68AC9F75">
      <w:pPr>
        <w:rPr>
          <w:rFonts w:hint="eastAsia"/>
        </w:rPr>
      </w:pPr>
      <w:r>
        <w:rPr>
          <w:rFonts w:hint="eastAsia"/>
        </w:rPr>
        <w:t xml:space="preserve">国家能源局近日印发《加快推进能源行业信用体系建设高质量发展行动方案》，旨在通过顶层设计与行业信用共建，到2027年底，形成法规制度完善、信息共享高效、奖惩机制健全、服务市场健康的能源信用体系，使信用成为支撑全国统一大市场、维护竞争秩序、推动绿色低碳转型的重要力量。方案制定基于四方面必要性：落实《能源法》及国家政策要求，深化行业信用与监管融合，治理诚信缺失突出问题，统筹多方主体协同共建。主要内容涵盖八个方面，包括完善法规标准、强化信息归集共享、实施分类监管与奖惩、推动信用市场化应用等。其中明确，将建立经营主体信用记录实现精准画像，通过“信用中国”“信用能源”网站公示信息，并对守信主体在行政审批、资金支持等方面给予便利，对高频次失信行为加大惩戒力度。  </w:t>
      </w:r>
    </w:p>
    <w:p w14:paraId="5372FB75">
      <w:pPr>
        <w:rPr>
          <w:rFonts w:hint="eastAsia"/>
        </w:rPr>
      </w:pPr>
      <w:r>
        <w:rPr>
          <w:rFonts w:hint="eastAsia"/>
        </w:rPr>
        <w:t xml:space="preserve">  </w:t>
      </w:r>
    </w:p>
    <w:p w14:paraId="116F0C45">
      <w:pPr>
        <w:rPr>
          <w:rFonts w:hint="eastAsia"/>
        </w:rPr>
      </w:pPr>
    </w:p>
    <w:p w14:paraId="2C72936F">
      <w:pPr>
        <w:rPr>
          <w:rFonts w:hint="eastAsia"/>
        </w:rPr>
      </w:pPr>
      <w:r>
        <w:rPr>
          <w:rFonts w:hint="eastAsia"/>
        </w:rPr>
        <w:t>发文日期:2025年10月23日</w:t>
      </w:r>
    </w:p>
    <w:p w14:paraId="3901489A">
      <w:pPr>
        <w:rPr>
          <w:rFonts w:hint="eastAsia"/>
        </w:rPr>
      </w:pPr>
      <w:r>
        <w:rPr>
          <w:rFonts w:hint="eastAsia"/>
        </w:rPr>
        <w:t>发文单位:国家能源局</w:t>
      </w:r>
    </w:p>
    <w:p w14:paraId="71189753">
      <w:pPr>
        <w:rPr>
          <w:rFonts w:hint="eastAsia"/>
        </w:rPr>
      </w:pPr>
      <w:r>
        <w:rPr>
          <w:rFonts w:hint="eastAsia"/>
        </w:rPr>
        <w:t>原文链接:https://mp.weixin.qq.com/s/dZ7QdO2fgMyDxMKKavV6Cw</w:t>
      </w:r>
    </w:p>
    <w:p w14:paraId="41AB6077">
      <w:pPr>
        <w:rPr>
          <w:rFonts w:hint="eastAsia"/>
        </w:rPr>
      </w:pPr>
    </w:p>
    <w:p w14:paraId="2830E398">
      <w:pPr>
        <w:pStyle w:val="4"/>
        <w:numPr>
          <w:numId w:val="2"/>
        </w:numPr>
        <w:bidi w:val="0"/>
        <w:rPr>
          <w:rFonts w:hint="eastAsia"/>
        </w:rPr>
      </w:pPr>
      <w:bookmarkStart w:id="7" w:name="_Toc21671"/>
      <w:r>
        <w:rPr>
          <w:rFonts w:hint="eastAsia"/>
        </w:rPr>
        <w:t>《关于加快推进煤炭洗选高质量发展的意见》</w:t>
      </w:r>
      <w:bookmarkEnd w:id="7"/>
    </w:p>
    <w:p w14:paraId="68C4A715">
      <w:pPr>
        <w:rPr>
          <w:rFonts w:hint="eastAsia"/>
        </w:rPr>
      </w:pPr>
    </w:p>
    <w:p w14:paraId="0789FA13">
      <w:pPr>
        <w:rPr>
          <w:rFonts w:hint="eastAsia"/>
        </w:rPr>
      </w:pPr>
      <w:r>
        <w:rPr>
          <w:rFonts w:hint="eastAsia"/>
        </w:rPr>
        <w:t>为深入贯彻落实党中央、国务院决策部署，进一步加强煤炭清洁高效利用，推动煤炭产品由初级燃料向高价值产品攀升，国家能源局近日印发关于加快推进煤炭洗选高质量发展的意见。意见以习近平新时代中国特色社会主义思想为指导，完整准确全面贯彻新发展理念，深入践行“四个革命、一个合作”能源安全新战略，明确了总体要求、主要任务和保障措施。主要任务包括推进洗选产能增优汰劣，强化规划建设与标准约束，推动落后产能升级改造或关闭退出；加强洗选智能化建设，聚焦主要工艺环节智能化，提升全流程运行水平；合理选择洗选工艺，根据原煤性质等因素确定选煤方法，积极发展干法选煤工艺；提高清洁高效生产水平，减少污染物排放，加强安全生产与劳动保护；推动洗选废弃物减排增用，明确治理方案，促进资源化综合利用；提升洗选经营管理水平，推进专业化精细化运营；加强科技攻关和试点应用，研发关键设备，完善技术体系。保障措施方面，将强化组织实施与宣传引导，国家能源局统筹协调，省级管理部门细化措施，重点企业发挥引领作用。</w:t>
      </w:r>
    </w:p>
    <w:p w14:paraId="0452FE38">
      <w:pPr>
        <w:rPr>
          <w:rFonts w:hint="eastAsia"/>
        </w:rPr>
      </w:pPr>
    </w:p>
    <w:p w14:paraId="77A693F7">
      <w:pPr>
        <w:rPr>
          <w:rFonts w:hint="eastAsia"/>
        </w:rPr>
      </w:pPr>
      <w:r>
        <w:rPr>
          <w:rFonts w:hint="eastAsia"/>
        </w:rPr>
        <w:t>发文日期:2025年10月17日</w:t>
      </w:r>
    </w:p>
    <w:p w14:paraId="4613A906">
      <w:pPr>
        <w:rPr>
          <w:rFonts w:hint="eastAsia"/>
        </w:rPr>
      </w:pPr>
      <w:r>
        <w:rPr>
          <w:rFonts w:hint="eastAsia"/>
        </w:rPr>
        <w:t>发文单位:国家能源局</w:t>
      </w:r>
    </w:p>
    <w:p w14:paraId="1890CEEE">
      <w:pPr>
        <w:rPr>
          <w:rFonts w:hint="eastAsia"/>
        </w:rPr>
      </w:pPr>
      <w:r>
        <w:rPr>
          <w:rFonts w:hint="eastAsia"/>
        </w:rPr>
        <w:t>原文链接:https://mp.weixin.qq.com/s/c_EgPEfiCnvfEOTxVASIMw</w:t>
      </w:r>
    </w:p>
    <w:p w14:paraId="228BFCC2">
      <w:pPr>
        <w:rPr>
          <w:rFonts w:hint="eastAsia"/>
        </w:rPr>
      </w:pPr>
    </w:p>
    <w:p w14:paraId="010E5DF0">
      <w:pPr>
        <w:pStyle w:val="4"/>
        <w:numPr>
          <w:numId w:val="2"/>
        </w:numPr>
        <w:bidi w:val="0"/>
        <w:rPr>
          <w:rFonts w:hint="eastAsia"/>
        </w:rPr>
      </w:pPr>
      <w:bookmarkStart w:id="8" w:name="_Toc619"/>
      <w:r>
        <w:rPr>
          <w:rFonts w:hint="eastAsia"/>
        </w:rPr>
        <w:t>《个人信息出境认证办法》</w:t>
      </w:r>
      <w:bookmarkEnd w:id="8"/>
    </w:p>
    <w:p w14:paraId="5E927B4E">
      <w:pPr>
        <w:rPr>
          <w:rFonts w:hint="eastAsia"/>
        </w:rPr>
      </w:pPr>
    </w:p>
    <w:p w14:paraId="6CFA2295">
      <w:pPr>
        <w:rPr>
          <w:rFonts w:hint="eastAsia"/>
        </w:rPr>
      </w:pPr>
      <w:r>
        <w:rPr>
          <w:rFonts w:hint="eastAsia"/>
        </w:rPr>
        <w:t>近日，国家互联网信息办公室、国家市场监督管理总局联合公布《个人信息出境认证办法》，自2026年1月1日起施行。《办法》是对《个人信息保护法》中个人信息出境认证制度的细化，旨在保护个人信息权益，规范认证活动，促进个人信息高效安全跨境流动。《办法》明确了适用情形，规定个人信息处理者通过认证方式向境外提供个人信息，需同时满足非关键信息基础设施运营者，且累计出境个人信息（不含敏感信息）10万至100万人、敏感信息不满1万人，且不包括重要数据。禁止通过数量拆分等手段规避出境安全评估。《办法》还规范了申请方式与认证要求，明确个人信息处理者应向专业认证机构申请，认证证书有效期为3年。同时，要求专业认证机构履行信息报送义务，对不符合认证要求的情形可暂停或撤销证书，并及时向监管部门报告违法行为。在监督管理方面，专业认证机构需在取得资质后10个工作日内向国家网信部门备案，国家网信部门和市场监管部门将对认证活动进行监督，对存在较大风险或发生安全事件的获证处理者可依法约谈。此外，《办法》还对法律责任、适用效力等作出规定。</w:t>
      </w:r>
    </w:p>
    <w:p w14:paraId="508E8DDC">
      <w:pPr>
        <w:rPr>
          <w:rFonts w:hint="eastAsia"/>
        </w:rPr>
      </w:pPr>
    </w:p>
    <w:p w14:paraId="5F508299">
      <w:pPr>
        <w:rPr>
          <w:rFonts w:hint="eastAsia"/>
        </w:rPr>
      </w:pPr>
      <w:r>
        <w:rPr>
          <w:rFonts w:hint="eastAsia"/>
        </w:rPr>
        <w:t>发文日期:2025年10月17日</w:t>
      </w:r>
    </w:p>
    <w:p w14:paraId="3E4E9C0A">
      <w:pPr>
        <w:rPr>
          <w:rFonts w:hint="eastAsia"/>
        </w:rPr>
      </w:pPr>
      <w:r>
        <w:rPr>
          <w:rFonts w:hint="eastAsia"/>
        </w:rPr>
        <w:t>发文单位:国家互联网信息办公室、国家市场监督管理总局</w:t>
      </w:r>
    </w:p>
    <w:p w14:paraId="539F7927">
      <w:pPr>
        <w:rPr>
          <w:rFonts w:hint="eastAsia"/>
        </w:rPr>
      </w:pPr>
      <w:r>
        <w:rPr>
          <w:rFonts w:hint="eastAsia"/>
        </w:rPr>
        <w:t>原文链接:https://mp.weixin.qq.com/s/N2A41IbilKypJgEBO3GroQ</w:t>
      </w:r>
    </w:p>
    <w:p w14:paraId="6ED8360A">
      <w:pPr>
        <w:rPr>
          <w:rFonts w:hint="eastAsia"/>
        </w:rPr>
      </w:pPr>
    </w:p>
    <w:p w14:paraId="22D62F02">
      <w:pPr>
        <w:pStyle w:val="3"/>
        <w:rPr>
          <w:rFonts w:hint="eastAsia"/>
        </w:rPr>
      </w:pPr>
      <w:bookmarkStart w:id="9" w:name="_Toc14376"/>
      <w:r>
        <w:rPr>
          <w:rFonts w:hint="eastAsia"/>
        </w:rPr>
        <w:t>湖北省</w:t>
      </w:r>
      <w:bookmarkEnd w:id="9"/>
    </w:p>
    <w:p w14:paraId="1A2F2CA2">
      <w:pPr>
        <w:rPr>
          <w:rFonts w:hint="eastAsia"/>
        </w:rPr>
      </w:pPr>
    </w:p>
    <w:p w14:paraId="62B7010E">
      <w:pPr>
        <w:pStyle w:val="4"/>
        <w:numPr>
          <w:numId w:val="3"/>
        </w:numPr>
        <w:bidi w:val="0"/>
        <w:rPr>
          <w:rFonts w:hint="eastAsia"/>
        </w:rPr>
      </w:pPr>
      <w:bookmarkStart w:id="10" w:name="_Toc15872"/>
      <w:r>
        <w:rPr>
          <w:rFonts w:hint="eastAsia"/>
        </w:rPr>
        <w:t>《关于公布2025年湖北省人工智能典型应用场景名单的通知》</w:t>
      </w:r>
      <w:bookmarkEnd w:id="10"/>
    </w:p>
    <w:p w14:paraId="2EC53E7D">
      <w:pPr>
        <w:rPr>
          <w:rFonts w:hint="eastAsia"/>
        </w:rPr>
      </w:pPr>
    </w:p>
    <w:p w14:paraId="3002B6A9">
      <w:pPr>
        <w:rPr>
          <w:rFonts w:hint="eastAsia"/>
        </w:rPr>
      </w:pPr>
      <w:r>
        <w:rPr>
          <w:rFonts w:hint="eastAsia"/>
        </w:rPr>
        <w:t>10月19日，经企业申报、市州推荐、专家评审、会议研究和网上公示，湖北省经信厅确定武汉理工数字传播工程有限公司“基于BOOKSGPT大模型的AI编辑工作室”等106个场景为2025年湖北省人工智能典型应用场景，加速推动AI技术与实体经济深度融合。此次发布的应用场景覆盖智能制造、智慧医疗、智慧交通、智能网联汽车等多个重点领域。其中工业制造类场景占比近四分之一，涵盖研发、设计、生产、物流等全产业链条。</w:t>
      </w:r>
      <w:r>
        <w:rPr>
          <w:rFonts w:hint="eastAsia"/>
          <w:lang w:val="en-US" w:eastAsia="zh-CN"/>
        </w:rPr>
        <w:t>文件要求</w:t>
      </w:r>
      <w:r>
        <w:rPr>
          <w:rFonts w:hint="eastAsia"/>
        </w:rPr>
        <w:t>各市州经信局要加大政策支持，强化宣传推广，做好跟踪服务，推进人工智能场景规模化商业化应用。各企业要总结可复制可推广经验，推动人工智能赋能千行百业。</w:t>
      </w:r>
    </w:p>
    <w:p w14:paraId="4F0D3373">
      <w:pPr>
        <w:rPr>
          <w:rFonts w:hint="eastAsia"/>
        </w:rPr>
      </w:pPr>
    </w:p>
    <w:p w14:paraId="660ECE4D">
      <w:pPr>
        <w:rPr>
          <w:rFonts w:hint="eastAsia"/>
        </w:rPr>
      </w:pPr>
      <w:r>
        <w:rPr>
          <w:rFonts w:hint="eastAsia"/>
        </w:rPr>
        <w:t>发文日期:2025年10月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日</w:t>
      </w:r>
    </w:p>
    <w:p w14:paraId="252C5E40">
      <w:pPr>
        <w:rPr>
          <w:rFonts w:hint="eastAsia"/>
        </w:rPr>
      </w:pPr>
      <w:r>
        <w:rPr>
          <w:rFonts w:hint="eastAsia"/>
        </w:rPr>
        <w:t>发文单位:湖北省经济和信息化厅办公室</w:t>
      </w:r>
    </w:p>
    <w:p w14:paraId="53A05BD4">
      <w:pPr>
        <w:rPr>
          <w:rFonts w:hint="eastAsia"/>
        </w:rPr>
      </w:pPr>
      <w:r>
        <w:rPr>
          <w:rFonts w:hint="eastAsia"/>
        </w:rPr>
        <w:t>原文链接:https://mp.weixin.qq.com/s/tS6oOD6GP7w90MVuYUfeew</w:t>
      </w:r>
    </w:p>
    <w:p w14:paraId="2780DA76">
      <w:pPr>
        <w:rPr>
          <w:rFonts w:hint="eastAsia"/>
        </w:rPr>
      </w:pPr>
    </w:p>
    <w:p w14:paraId="5AA489FD">
      <w:pPr>
        <w:rPr>
          <w:rFonts w:hint="eastAsia"/>
        </w:rPr>
      </w:pPr>
    </w:p>
    <w:p w14:paraId="04C4D324">
      <w:pPr>
        <w:pStyle w:val="2"/>
        <w:rPr>
          <w:rFonts w:hint="eastAsia"/>
        </w:rPr>
      </w:pPr>
      <w:bookmarkStart w:id="11" w:name="_Toc19135"/>
      <w:r>
        <w:rPr>
          <w:rFonts w:hint="eastAsia"/>
        </w:rPr>
        <w:t>热点.资讯</w:t>
      </w:r>
      <w:bookmarkEnd w:id="11"/>
    </w:p>
    <w:p w14:paraId="06E24019">
      <w:pPr>
        <w:pStyle w:val="4"/>
        <w:numPr>
          <w:numId w:val="4"/>
        </w:numPr>
        <w:bidi w:val="0"/>
        <w:rPr>
          <w:rFonts w:hint="eastAsia"/>
        </w:rPr>
      </w:pPr>
      <w:bookmarkStart w:id="12" w:name="_Toc20321"/>
      <w:r>
        <w:rPr>
          <w:rFonts w:hint="eastAsia"/>
        </w:rPr>
        <w:t>工业和信息化部科技服务业标准化技术委员会成立</w:t>
      </w:r>
      <w:bookmarkEnd w:id="12"/>
    </w:p>
    <w:p w14:paraId="0D375E5A">
      <w:pPr>
        <w:rPr>
          <w:rFonts w:hint="eastAsia"/>
        </w:rPr>
      </w:pPr>
    </w:p>
    <w:p w14:paraId="568DA9BB">
      <w:pPr>
        <w:rPr>
          <w:rFonts w:hint="eastAsia"/>
        </w:rPr>
      </w:pPr>
      <w:r>
        <w:rPr>
          <w:rFonts w:hint="eastAsia"/>
        </w:rPr>
        <w:t>10月20日，工业和信息化部科技服务业标准化技术委员会成立会议在京召开。工业和信息化部总工程师、部科技服务业标委会主任委员谢少锋出席会议并为标委会揭牌。成立科技服务业标委会是贯彻落实《关于加快推进科技服务业高质量发展的实施意见》，发挥标准引领作用，提高科技服务业标准化水平的重要举措。该标委会主要负责技术转移转化服务、企业孵化服务、技术推广服务等领域行业标准制修订工作，秘书处设在工业和信息化部火炬高技术产业开发中心。同期召开的第一次全体会议审议通过了章程、秘书处工作细则、标准制修订工作程序等制度文件，并对科技服务业政策进行学习解读，研究部署下一阶段重点工作。</w:t>
      </w:r>
    </w:p>
    <w:p w14:paraId="74BF56F4">
      <w:pPr>
        <w:rPr>
          <w:rFonts w:hint="eastAsia"/>
        </w:rPr>
      </w:pPr>
    </w:p>
    <w:p w14:paraId="01786401">
      <w:pPr>
        <w:rPr>
          <w:rFonts w:hint="eastAsia"/>
        </w:rPr>
      </w:pPr>
      <w:r>
        <w:rPr>
          <w:rFonts w:hint="eastAsia"/>
        </w:rPr>
        <w:t>发文日期:2025年10月20日</w:t>
      </w:r>
    </w:p>
    <w:p w14:paraId="7FE9AFEE">
      <w:pPr>
        <w:rPr>
          <w:rFonts w:hint="eastAsia"/>
        </w:rPr>
      </w:pPr>
      <w:r>
        <w:rPr>
          <w:rFonts w:hint="eastAsia"/>
        </w:rPr>
        <w:t>发文单位:工业和信息化部科技服务业标准化技术委员会</w:t>
      </w:r>
    </w:p>
    <w:p w14:paraId="71405F28">
      <w:r>
        <w:rPr>
          <w:rFonts w:hint="eastAsia"/>
        </w:rPr>
        <w:t>原文链接:https://mp.weixin.qq.com/s/OJqmJhF1TyfdnFAdU5Q6IA</w:t>
      </w:r>
    </w:p>
    <w:p w14:paraId="113087A2">
      <w:pPr>
        <w:rPr>
          <w:rFonts w:hint="eastAsia"/>
        </w:rPr>
      </w:pPr>
    </w:p>
    <w:p w14:paraId="09DEAECB">
      <w:pPr>
        <w:pStyle w:val="4"/>
        <w:numPr>
          <w:numId w:val="4"/>
        </w:numPr>
        <w:bidi w:val="0"/>
        <w:rPr>
          <w:rFonts w:hint="eastAsia"/>
        </w:rPr>
      </w:pPr>
      <w:bookmarkStart w:id="13" w:name="_Toc28621"/>
      <w:r>
        <w:rPr>
          <w:rFonts w:hint="eastAsia"/>
        </w:rPr>
        <w:t>王忠林会见中国进出口银行董事长陈怀宇</w:t>
      </w:r>
      <w:bookmarkEnd w:id="13"/>
    </w:p>
    <w:p w14:paraId="220A25D2">
      <w:pPr>
        <w:rPr>
          <w:rFonts w:hint="eastAsia"/>
        </w:rPr>
      </w:pPr>
    </w:p>
    <w:p w14:paraId="06B1783E">
      <w:pPr>
        <w:rPr>
          <w:rFonts w:hint="eastAsia"/>
        </w:rPr>
      </w:pPr>
      <w:r>
        <w:rPr>
          <w:rFonts w:hint="eastAsia"/>
        </w:rPr>
        <w:t>10月16日，湖北省委书记、省人大常委会主任王忠林在武汉会见中国进出口银行党委书记、董事长陈怀宇一行。王忠林指出，近年来湖北经济总量接连跨越新台阶，对外贸易逆势突破、量质双升，中国进出口银行等金融机构提供了重要支持。当前湖北正深入学习贯彻习近平总书记考察湖北重要讲话精神，大力实施“七大战略”，希望中国进出口银行充分发挥政策性银行优势，加大对湖北外贸扩量提质、重大基础设施建设、产业创新发展、供应链金融服务等方面的支持力度，助力湖北加快打造内陆开放新高地。王忠林</w:t>
      </w:r>
      <w:r>
        <w:rPr>
          <w:rFonts w:hint="eastAsia"/>
          <w:lang w:val="en-US" w:eastAsia="zh-CN"/>
        </w:rPr>
        <w:t>表示，</w:t>
      </w:r>
      <w:r>
        <w:rPr>
          <w:rFonts w:hint="eastAsia"/>
        </w:rPr>
        <w:t xml:space="preserve">希望中国进出口银行充分发挥政策性银行优势，与湖北同向发力、同题共答，进一步加大对湖北的金融支持力度，在外贸扩量提质、重大基础设施建设、产业创新发展、供应链金融服务等方面持续深化合作，帮助湖北企业更好“走出去”，助力湖北加快打造内陆开放新高地。我们将加强工作对接，做好服务保障，为中国进出口银行在鄂发展创造良好条件。 </w:t>
      </w:r>
    </w:p>
    <w:p w14:paraId="35003717">
      <w:pPr>
        <w:rPr>
          <w:rFonts w:hint="eastAsia"/>
        </w:rPr>
      </w:pPr>
    </w:p>
    <w:p w14:paraId="6272930E">
      <w:pPr>
        <w:rPr>
          <w:rFonts w:hint="eastAsia"/>
        </w:rPr>
      </w:pPr>
      <w:r>
        <w:rPr>
          <w:rFonts w:hint="eastAsia"/>
        </w:rPr>
        <w:t>发文日期:2025年10月16日</w:t>
      </w:r>
    </w:p>
    <w:p w14:paraId="1077FA72">
      <w:pPr>
        <w:rPr>
          <w:rFonts w:hint="eastAsia"/>
        </w:rPr>
      </w:pPr>
      <w:r>
        <w:rPr>
          <w:rFonts w:hint="eastAsia"/>
        </w:rPr>
        <w:t>发文单位:湖北</w:t>
      </w:r>
      <w:r>
        <w:rPr>
          <w:rFonts w:hint="eastAsia"/>
          <w:lang w:val="en-US" w:eastAsia="zh-CN"/>
        </w:rPr>
        <w:t>省人民政府</w:t>
      </w:r>
    </w:p>
    <w:p w14:paraId="0AFA8A3F">
      <w:pPr>
        <w:rPr>
          <w:rFonts w:hint="eastAsia"/>
        </w:rPr>
      </w:pPr>
      <w:r>
        <w:rPr>
          <w:rFonts w:hint="eastAsia"/>
        </w:rPr>
        <w:t>原文链接:https://mp.weixin.qq.com/s/YEFmXbxexsM3hoWzZ4sLOg</w:t>
      </w:r>
    </w:p>
    <w:p w14:paraId="7C276F18">
      <w:pPr>
        <w:rPr>
          <w:rFonts w:hint="eastAsia"/>
        </w:rPr>
      </w:pPr>
    </w:p>
    <w:p w14:paraId="280CE4B0">
      <w:pPr>
        <w:pStyle w:val="4"/>
        <w:numPr>
          <w:numId w:val="4"/>
        </w:numPr>
        <w:bidi w:val="0"/>
        <w:rPr>
          <w:rFonts w:hint="eastAsia"/>
        </w:rPr>
      </w:pPr>
      <w:bookmarkStart w:id="14" w:name="_Toc14017"/>
      <w:r>
        <w:rPr>
          <w:rFonts w:hint="eastAsia"/>
        </w:rPr>
        <w:t>王忠林主持召开省委常委会（扩大）会议暨市州党委书记座谈会</w:t>
      </w:r>
      <w:bookmarkEnd w:id="14"/>
      <w:r>
        <w:rPr>
          <w:rFonts w:hint="eastAsia"/>
          <w:lang w:val="en-US" w:eastAsia="zh-CN"/>
        </w:rPr>
        <w:t xml:space="preserve"> </w:t>
      </w:r>
    </w:p>
    <w:p w14:paraId="3C5CF255">
      <w:pPr>
        <w:rPr>
          <w:rFonts w:hint="eastAsia"/>
        </w:rPr>
      </w:pPr>
    </w:p>
    <w:p w14:paraId="3EE24EEF">
      <w:pPr>
        <w:rPr>
          <w:rFonts w:hint="eastAsia"/>
        </w:rPr>
      </w:pPr>
      <w:r>
        <w:rPr>
          <w:rFonts w:hint="eastAsia"/>
        </w:rPr>
        <w:t>10月17日下午，湖北省委书记、省人大常委会主任王忠林主持召开省委常委会（扩大）会议暨三季度市州党委书记座谈会，强调要深入学习贯彻习近平总书记考察湖北重要讲话精神，决战四季度、决胜“十四五”，确保全面完成全年经济社会发展目标任务。会议指出，今年前三季度全省经济呈现均衡增长、持续向好、量质并进态势，发展整体性、动能转换、质效提升等方面成效显著。当前虽面临国际环境不确定性因素，但我国有制度优势、宏观政策、超大市场等确定性支撑，要以自身工作确定性推动高质量发展。王忠林强调，四季度要咬定目标，交好支点建设、经济大省挑大梁、“十四五”收官三份答卷，推进“七大战略”实施，支持“一主两副”稳定增长，推动光电子信息、汽车等重点产业突破，强化重点企业带动。要顺应消费、政策、外贸新趋势，从供需两端发力促进消费升级，抢抓政策窗口期扩大有效投资，助力企业开拓新兴市场。同时紧盯产业升级、科技创新、改革攻坚、基础设施建设等关键点，破解企业纾困、房地产稳定等难点，统筹发展和安全，确保社会大局和谐稳定。</w:t>
      </w:r>
    </w:p>
    <w:p w14:paraId="0EA9A8E5">
      <w:pPr>
        <w:rPr>
          <w:rFonts w:hint="eastAsia"/>
        </w:rPr>
      </w:pPr>
    </w:p>
    <w:p w14:paraId="238A0313">
      <w:pPr>
        <w:rPr>
          <w:rFonts w:hint="eastAsia"/>
        </w:rPr>
      </w:pPr>
    </w:p>
    <w:p w14:paraId="73CB7436">
      <w:pPr>
        <w:rPr>
          <w:rFonts w:hint="eastAsia"/>
        </w:rPr>
      </w:pPr>
      <w:r>
        <w:rPr>
          <w:rFonts w:hint="eastAsia"/>
        </w:rPr>
        <w:t>发文日期:2025年10月18日</w:t>
      </w:r>
    </w:p>
    <w:p w14:paraId="2F66CCEE">
      <w:pPr>
        <w:rPr>
          <w:rFonts w:hint="eastAsia"/>
        </w:rPr>
      </w:pPr>
      <w:r>
        <w:rPr>
          <w:rFonts w:hint="eastAsia"/>
        </w:rPr>
        <w:t>发文单位:湖北</w:t>
      </w:r>
      <w:r>
        <w:rPr>
          <w:rFonts w:hint="eastAsia"/>
          <w:lang w:val="en-US" w:eastAsia="zh-CN"/>
        </w:rPr>
        <w:t>省人民政府</w:t>
      </w:r>
    </w:p>
    <w:p w14:paraId="234AC281">
      <w:pPr>
        <w:rPr>
          <w:rFonts w:hint="eastAsia"/>
        </w:rPr>
      </w:pPr>
      <w:r>
        <w:rPr>
          <w:rFonts w:hint="eastAsia"/>
        </w:rPr>
        <w:t>原文链接:https://mp.weixin.qq.com/s/iWSG1kkcEjH-vIkyTTGqSw</w:t>
      </w:r>
    </w:p>
    <w:p w14:paraId="55EA0E8F">
      <w:pPr>
        <w:rPr>
          <w:rFonts w:hint="eastAsia"/>
        </w:rPr>
      </w:pPr>
    </w:p>
    <w:p w14:paraId="0723D620">
      <w:pPr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03CB5">
    <w:pPr>
      <w:pStyle w:val="12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F2796F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F2796F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1AAF6"/>
    <w:multiLevelType w:val="singleLevel"/>
    <w:tmpl w:val="9661AAF6"/>
    <w:lvl w:ilvl="0" w:tentative="0">
      <w:start w:val="1"/>
      <w:numFmt w:val="decimal"/>
      <w:pStyle w:val="4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hideSpellingErrors/>
  <w:hideGrammaticalErrors/>
  <w:documentProtection w:enforcement="0"/>
  <w:defaultTabStop w:val="36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B87749"/>
    <w:rsid w:val="00005CCC"/>
    <w:rsid w:val="00010FD5"/>
    <w:rsid w:val="00026FE8"/>
    <w:rsid w:val="000410FC"/>
    <w:rsid w:val="00047104"/>
    <w:rsid w:val="000536EC"/>
    <w:rsid w:val="000629A4"/>
    <w:rsid w:val="00072F84"/>
    <w:rsid w:val="000733D6"/>
    <w:rsid w:val="00073967"/>
    <w:rsid w:val="00075948"/>
    <w:rsid w:val="00084D11"/>
    <w:rsid w:val="00085151"/>
    <w:rsid w:val="00096DDE"/>
    <w:rsid w:val="000A4340"/>
    <w:rsid w:val="000A44D2"/>
    <w:rsid w:val="000A44FC"/>
    <w:rsid w:val="000A4642"/>
    <w:rsid w:val="000A547C"/>
    <w:rsid w:val="000A613C"/>
    <w:rsid w:val="000E632C"/>
    <w:rsid w:val="000F0F72"/>
    <w:rsid w:val="000F3299"/>
    <w:rsid w:val="001069AF"/>
    <w:rsid w:val="00116665"/>
    <w:rsid w:val="00130104"/>
    <w:rsid w:val="00142016"/>
    <w:rsid w:val="001444EC"/>
    <w:rsid w:val="00152E21"/>
    <w:rsid w:val="00170B7B"/>
    <w:rsid w:val="00174B07"/>
    <w:rsid w:val="00177F10"/>
    <w:rsid w:val="00180460"/>
    <w:rsid w:val="00181702"/>
    <w:rsid w:val="00182B8E"/>
    <w:rsid w:val="00192AD6"/>
    <w:rsid w:val="0019332D"/>
    <w:rsid w:val="00193C78"/>
    <w:rsid w:val="00196B7E"/>
    <w:rsid w:val="001A238A"/>
    <w:rsid w:val="001A4F2E"/>
    <w:rsid w:val="001B3F5C"/>
    <w:rsid w:val="001B4228"/>
    <w:rsid w:val="001B6511"/>
    <w:rsid w:val="001D2978"/>
    <w:rsid w:val="001E0014"/>
    <w:rsid w:val="001E30C9"/>
    <w:rsid w:val="001E69CA"/>
    <w:rsid w:val="001F7350"/>
    <w:rsid w:val="001F79CE"/>
    <w:rsid w:val="00203822"/>
    <w:rsid w:val="00207F33"/>
    <w:rsid w:val="0021682C"/>
    <w:rsid w:val="0021704E"/>
    <w:rsid w:val="00223274"/>
    <w:rsid w:val="0022351D"/>
    <w:rsid w:val="00226199"/>
    <w:rsid w:val="00226B79"/>
    <w:rsid w:val="002374D3"/>
    <w:rsid w:val="00237F42"/>
    <w:rsid w:val="00241E27"/>
    <w:rsid w:val="00242B16"/>
    <w:rsid w:val="00244B4D"/>
    <w:rsid w:val="00247E53"/>
    <w:rsid w:val="0025353D"/>
    <w:rsid w:val="00257943"/>
    <w:rsid w:val="002632E5"/>
    <w:rsid w:val="00266FF5"/>
    <w:rsid w:val="00270D04"/>
    <w:rsid w:val="00281DCB"/>
    <w:rsid w:val="00283AC6"/>
    <w:rsid w:val="00284BFD"/>
    <w:rsid w:val="00290211"/>
    <w:rsid w:val="002904EF"/>
    <w:rsid w:val="00291686"/>
    <w:rsid w:val="00292B47"/>
    <w:rsid w:val="002A1B62"/>
    <w:rsid w:val="002A5076"/>
    <w:rsid w:val="002A725C"/>
    <w:rsid w:val="002C0CBB"/>
    <w:rsid w:val="002C119B"/>
    <w:rsid w:val="002E0917"/>
    <w:rsid w:val="002E2F64"/>
    <w:rsid w:val="00303573"/>
    <w:rsid w:val="003247E7"/>
    <w:rsid w:val="003265BB"/>
    <w:rsid w:val="00332003"/>
    <w:rsid w:val="003326FD"/>
    <w:rsid w:val="00335212"/>
    <w:rsid w:val="00344659"/>
    <w:rsid w:val="00347B0A"/>
    <w:rsid w:val="003514D1"/>
    <w:rsid w:val="00356C86"/>
    <w:rsid w:val="00357AB7"/>
    <w:rsid w:val="00362DF4"/>
    <w:rsid w:val="003744C4"/>
    <w:rsid w:val="00374F36"/>
    <w:rsid w:val="003759AD"/>
    <w:rsid w:val="00386112"/>
    <w:rsid w:val="00392B90"/>
    <w:rsid w:val="003C20C2"/>
    <w:rsid w:val="003C222D"/>
    <w:rsid w:val="003C799E"/>
    <w:rsid w:val="003D4097"/>
    <w:rsid w:val="003D4658"/>
    <w:rsid w:val="004174BD"/>
    <w:rsid w:val="004251FF"/>
    <w:rsid w:val="00443896"/>
    <w:rsid w:val="00443EC9"/>
    <w:rsid w:val="0044715A"/>
    <w:rsid w:val="004554A4"/>
    <w:rsid w:val="004565D4"/>
    <w:rsid w:val="00460BCD"/>
    <w:rsid w:val="00467FB9"/>
    <w:rsid w:val="00471127"/>
    <w:rsid w:val="00474903"/>
    <w:rsid w:val="00480050"/>
    <w:rsid w:val="00485558"/>
    <w:rsid w:val="00486B4C"/>
    <w:rsid w:val="00491190"/>
    <w:rsid w:val="00494369"/>
    <w:rsid w:val="004A7F09"/>
    <w:rsid w:val="004C360C"/>
    <w:rsid w:val="004C4AF1"/>
    <w:rsid w:val="004C6666"/>
    <w:rsid w:val="004D4702"/>
    <w:rsid w:val="004E76D9"/>
    <w:rsid w:val="004F35B3"/>
    <w:rsid w:val="004F789F"/>
    <w:rsid w:val="00500CAF"/>
    <w:rsid w:val="00503AAE"/>
    <w:rsid w:val="00506E3E"/>
    <w:rsid w:val="00512F38"/>
    <w:rsid w:val="005163DD"/>
    <w:rsid w:val="00522EBB"/>
    <w:rsid w:val="00524612"/>
    <w:rsid w:val="00530199"/>
    <w:rsid w:val="005367FB"/>
    <w:rsid w:val="00542AF1"/>
    <w:rsid w:val="00545A0F"/>
    <w:rsid w:val="005567E4"/>
    <w:rsid w:val="00575E24"/>
    <w:rsid w:val="00581AA2"/>
    <w:rsid w:val="005922C3"/>
    <w:rsid w:val="00593EF4"/>
    <w:rsid w:val="00596438"/>
    <w:rsid w:val="005A06ED"/>
    <w:rsid w:val="005A12BE"/>
    <w:rsid w:val="005A1588"/>
    <w:rsid w:val="005B1F83"/>
    <w:rsid w:val="005B51B7"/>
    <w:rsid w:val="005B72D5"/>
    <w:rsid w:val="005C2DD0"/>
    <w:rsid w:val="005D1336"/>
    <w:rsid w:val="005D44E9"/>
    <w:rsid w:val="005D5319"/>
    <w:rsid w:val="00610FA0"/>
    <w:rsid w:val="006340C8"/>
    <w:rsid w:val="00650888"/>
    <w:rsid w:val="00651258"/>
    <w:rsid w:val="00654172"/>
    <w:rsid w:val="00660798"/>
    <w:rsid w:val="00661BE7"/>
    <w:rsid w:val="00662654"/>
    <w:rsid w:val="00665176"/>
    <w:rsid w:val="00671B63"/>
    <w:rsid w:val="00671FCB"/>
    <w:rsid w:val="00674BEF"/>
    <w:rsid w:val="00682D16"/>
    <w:rsid w:val="00692F93"/>
    <w:rsid w:val="00696E0A"/>
    <w:rsid w:val="006A23AC"/>
    <w:rsid w:val="006A5042"/>
    <w:rsid w:val="006B2C3E"/>
    <w:rsid w:val="006B5123"/>
    <w:rsid w:val="006B5F46"/>
    <w:rsid w:val="006C77FE"/>
    <w:rsid w:val="006D1B29"/>
    <w:rsid w:val="006D1F86"/>
    <w:rsid w:val="006E0D01"/>
    <w:rsid w:val="006E0D45"/>
    <w:rsid w:val="006F0BC8"/>
    <w:rsid w:val="006F4974"/>
    <w:rsid w:val="00702101"/>
    <w:rsid w:val="00714E1D"/>
    <w:rsid w:val="0072325C"/>
    <w:rsid w:val="00736A16"/>
    <w:rsid w:val="00751845"/>
    <w:rsid w:val="00753A25"/>
    <w:rsid w:val="00756153"/>
    <w:rsid w:val="00774FB2"/>
    <w:rsid w:val="00777579"/>
    <w:rsid w:val="007844BB"/>
    <w:rsid w:val="007857F5"/>
    <w:rsid w:val="00785FFC"/>
    <w:rsid w:val="00787A3C"/>
    <w:rsid w:val="00796E01"/>
    <w:rsid w:val="007A04B7"/>
    <w:rsid w:val="007B35F1"/>
    <w:rsid w:val="007B5C8E"/>
    <w:rsid w:val="007B6A37"/>
    <w:rsid w:val="007C0439"/>
    <w:rsid w:val="007D4435"/>
    <w:rsid w:val="007E100E"/>
    <w:rsid w:val="007E3DA8"/>
    <w:rsid w:val="007E40C9"/>
    <w:rsid w:val="007F7649"/>
    <w:rsid w:val="008079D8"/>
    <w:rsid w:val="00822DFE"/>
    <w:rsid w:val="008235E0"/>
    <w:rsid w:val="00831B9D"/>
    <w:rsid w:val="00844B88"/>
    <w:rsid w:val="00861386"/>
    <w:rsid w:val="00862697"/>
    <w:rsid w:val="00866592"/>
    <w:rsid w:val="0087419C"/>
    <w:rsid w:val="0087699F"/>
    <w:rsid w:val="00881707"/>
    <w:rsid w:val="008817BF"/>
    <w:rsid w:val="00893693"/>
    <w:rsid w:val="00894AAE"/>
    <w:rsid w:val="00895458"/>
    <w:rsid w:val="00897379"/>
    <w:rsid w:val="008A4AD6"/>
    <w:rsid w:val="008A4B13"/>
    <w:rsid w:val="008B1650"/>
    <w:rsid w:val="008B5DE9"/>
    <w:rsid w:val="008C2B23"/>
    <w:rsid w:val="008D7A71"/>
    <w:rsid w:val="008E24B7"/>
    <w:rsid w:val="008E6A6D"/>
    <w:rsid w:val="008E725F"/>
    <w:rsid w:val="008E7906"/>
    <w:rsid w:val="008F0C27"/>
    <w:rsid w:val="00902F69"/>
    <w:rsid w:val="009050E0"/>
    <w:rsid w:val="00914D24"/>
    <w:rsid w:val="00922D05"/>
    <w:rsid w:val="0092303A"/>
    <w:rsid w:val="00925B1E"/>
    <w:rsid w:val="009271A1"/>
    <w:rsid w:val="00930C1E"/>
    <w:rsid w:val="00931E3E"/>
    <w:rsid w:val="00944B94"/>
    <w:rsid w:val="00945405"/>
    <w:rsid w:val="009475C0"/>
    <w:rsid w:val="00950E2E"/>
    <w:rsid w:val="009535CB"/>
    <w:rsid w:val="00965217"/>
    <w:rsid w:val="009704D2"/>
    <w:rsid w:val="009770CC"/>
    <w:rsid w:val="00985B48"/>
    <w:rsid w:val="00993B24"/>
    <w:rsid w:val="00994908"/>
    <w:rsid w:val="009A7360"/>
    <w:rsid w:val="009C31BB"/>
    <w:rsid w:val="009C56E5"/>
    <w:rsid w:val="009D0FF5"/>
    <w:rsid w:val="009E1921"/>
    <w:rsid w:val="009E3A1D"/>
    <w:rsid w:val="00A003C5"/>
    <w:rsid w:val="00A01BB1"/>
    <w:rsid w:val="00A11B1F"/>
    <w:rsid w:val="00A154ED"/>
    <w:rsid w:val="00A15554"/>
    <w:rsid w:val="00A1581F"/>
    <w:rsid w:val="00A17A19"/>
    <w:rsid w:val="00A17D7C"/>
    <w:rsid w:val="00A262B3"/>
    <w:rsid w:val="00A27674"/>
    <w:rsid w:val="00A309B8"/>
    <w:rsid w:val="00A37825"/>
    <w:rsid w:val="00A41E1A"/>
    <w:rsid w:val="00A43255"/>
    <w:rsid w:val="00A5112A"/>
    <w:rsid w:val="00A51200"/>
    <w:rsid w:val="00A54AA9"/>
    <w:rsid w:val="00A60179"/>
    <w:rsid w:val="00A62735"/>
    <w:rsid w:val="00A64947"/>
    <w:rsid w:val="00A74BCE"/>
    <w:rsid w:val="00A74D0B"/>
    <w:rsid w:val="00A80D79"/>
    <w:rsid w:val="00A91FF5"/>
    <w:rsid w:val="00A962CD"/>
    <w:rsid w:val="00AA112B"/>
    <w:rsid w:val="00AA2D23"/>
    <w:rsid w:val="00AB768F"/>
    <w:rsid w:val="00AD192A"/>
    <w:rsid w:val="00AD1C32"/>
    <w:rsid w:val="00AE49A2"/>
    <w:rsid w:val="00AF6A69"/>
    <w:rsid w:val="00B049A3"/>
    <w:rsid w:val="00B07E19"/>
    <w:rsid w:val="00B172F3"/>
    <w:rsid w:val="00B37EC7"/>
    <w:rsid w:val="00B40DC3"/>
    <w:rsid w:val="00B40E7D"/>
    <w:rsid w:val="00B410B6"/>
    <w:rsid w:val="00B41DB6"/>
    <w:rsid w:val="00B5013F"/>
    <w:rsid w:val="00B50A3C"/>
    <w:rsid w:val="00B55677"/>
    <w:rsid w:val="00B55995"/>
    <w:rsid w:val="00B620A4"/>
    <w:rsid w:val="00B62CED"/>
    <w:rsid w:val="00B636D4"/>
    <w:rsid w:val="00B637B0"/>
    <w:rsid w:val="00B658B9"/>
    <w:rsid w:val="00B7031B"/>
    <w:rsid w:val="00B70E70"/>
    <w:rsid w:val="00B72EDD"/>
    <w:rsid w:val="00B7595B"/>
    <w:rsid w:val="00B9189B"/>
    <w:rsid w:val="00B9617D"/>
    <w:rsid w:val="00BC25F5"/>
    <w:rsid w:val="00BC6A2A"/>
    <w:rsid w:val="00BD777B"/>
    <w:rsid w:val="00BD7F06"/>
    <w:rsid w:val="00BF513F"/>
    <w:rsid w:val="00C04033"/>
    <w:rsid w:val="00C07003"/>
    <w:rsid w:val="00C2292F"/>
    <w:rsid w:val="00C26AC4"/>
    <w:rsid w:val="00C32DF0"/>
    <w:rsid w:val="00C44AF7"/>
    <w:rsid w:val="00C47FD2"/>
    <w:rsid w:val="00C56626"/>
    <w:rsid w:val="00C6252C"/>
    <w:rsid w:val="00C71565"/>
    <w:rsid w:val="00C77B17"/>
    <w:rsid w:val="00C82EED"/>
    <w:rsid w:val="00CA3DF8"/>
    <w:rsid w:val="00CA46D9"/>
    <w:rsid w:val="00CA507E"/>
    <w:rsid w:val="00CA6027"/>
    <w:rsid w:val="00CB23CC"/>
    <w:rsid w:val="00CB32F6"/>
    <w:rsid w:val="00CB4E5C"/>
    <w:rsid w:val="00CB62F7"/>
    <w:rsid w:val="00CC30F4"/>
    <w:rsid w:val="00CC416D"/>
    <w:rsid w:val="00CE5664"/>
    <w:rsid w:val="00D15B85"/>
    <w:rsid w:val="00D43077"/>
    <w:rsid w:val="00D50E81"/>
    <w:rsid w:val="00D57D31"/>
    <w:rsid w:val="00D61DDF"/>
    <w:rsid w:val="00D63F24"/>
    <w:rsid w:val="00D72FF6"/>
    <w:rsid w:val="00D750EF"/>
    <w:rsid w:val="00D77C0A"/>
    <w:rsid w:val="00D858EE"/>
    <w:rsid w:val="00D95B69"/>
    <w:rsid w:val="00DA5187"/>
    <w:rsid w:val="00DB4691"/>
    <w:rsid w:val="00DC421F"/>
    <w:rsid w:val="00DC693F"/>
    <w:rsid w:val="00DE0AEE"/>
    <w:rsid w:val="00DE3B08"/>
    <w:rsid w:val="00DE4A98"/>
    <w:rsid w:val="00DE5C6B"/>
    <w:rsid w:val="00DF30E6"/>
    <w:rsid w:val="00DF6839"/>
    <w:rsid w:val="00E00F2A"/>
    <w:rsid w:val="00E136C1"/>
    <w:rsid w:val="00E15105"/>
    <w:rsid w:val="00E15D98"/>
    <w:rsid w:val="00E26D62"/>
    <w:rsid w:val="00E27961"/>
    <w:rsid w:val="00E32459"/>
    <w:rsid w:val="00E32F4F"/>
    <w:rsid w:val="00E353E8"/>
    <w:rsid w:val="00E551E8"/>
    <w:rsid w:val="00E560B0"/>
    <w:rsid w:val="00E567B1"/>
    <w:rsid w:val="00E62A84"/>
    <w:rsid w:val="00E66922"/>
    <w:rsid w:val="00E67FB9"/>
    <w:rsid w:val="00E7169B"/>
    <w:rsid w:val="00E71865"/>
    <w:rsid w:val="00E94C18"/>
    <w:rsid w:val="00EA79BE"/>
    <w:rsid w:val="00EB0883"/>
    <w:rsid w:val="00EC0011"/>
    <w:rsid w:val="00EC2DD6"/>
    <w:rsid w:val="00ED283F"/>
    <w:rsid w:val="00EE54C6"/>
    <w:rsid w:val="00EF2981"/>
    <w:rsid w:val="00EF40BC"/>
    <w:rsid w:val="00F002E1"/>
    <w:rsid w:val="00F10529"/>
    <w:rsid w:val="00F16D2A"/>
    <w:rsid w:val="00F17EAE"/>
    <w:rsid w:val="00F300FA"/>
    <w:rsid w:val="00F31E2B"/>
    <w:rsid w:val="00F328C7"/>
    <w:rsid w:val="00F34E15"/>
    <w:rsid w:val="00F41973"/>
    <w:rsid w:val="00F75C8A"/>
    <w:rsid w:val="00F83D16"/>
    <w:rsid w:val="00F87A9E"/>
    <w:rsid w:val="00F90ED7"/>
    <w:rsid w:val="00F96377"/>
    <w:rsid w:val="00FA7F25"/>
    <w:rsid w:val="00FC69EA"/>
    <w:rsid w:val="00FD2E8F"/>
    <w:rsid w:val="00FD4BB5"/>
    <w:rsid w:val="00FF3D58"/>
    <w:rsid w:val="00FF3E41"/>
    <w:rsid w:val="015D5504"/>
    <w:rsid w:val="016347D7"/>
    <w:rsid w:val="01743E73"/>
    <w:rsid w:val="01C45D06"/>
    <w:rsid w:val="021D04ED"/>
    <w:rsid w:val="02313F99"/>
    <w:rsid w:val="02727A8F"/>
    <w:rsid w:val="027D7504"/>
    <w:rsid w:val="02957F4A"/>
    <w:rsid w:val="02AD29B2"/>
    <w:rsid w:val="02E27A02"/>
    <w:rsid w:val="03181066"/>
    <w:rsid w:val="03634626"/>
    <w:rsid w:val="03D352ED"/>
    <w:rsid w:val="04772A4B"/>
    <w:rsid w:val="0582467D"/>
    <w:rsid w:val="05926AFC"/>
    <w:rsid w:val="05D77E4F"/>
    <w:rsid w:val="05D84CA5"/>
    <w:rsid w:val="05E0200A"/>
    <w:rsid w:val="061B1990"/>
    <w:rsid w:val="064550D0"/>
    <w:rsid w:val="066A47CE"/>
    <w:rsid w:val="06B141BC"/>
    <w:rsid w:val="07031442"/>
    <w:rsid w:val="07A34B98"/>
    <w:rsid w:val="07AC7C25"/>
    <w:rsid w:val="07BD5E3D"/>
    <w:rsid w:val="081F17B3"/>
    <w:rsid w:val="087D09B3"/>
    <w:rsid w:val="088A7506"/>
    <w:rsid w:val="08944458"/>
    <w:rsid w:val="08D556E5"/>
    <w:rsid w:val="08DE1DFC"/>
    <w:rsid w:val="09063232"/>
    <w:rsid w:val="09362972"/>
    <w:rsid w:val="0A15616C"/>
    <w:rsid w:val="0A6C3DC0"/>
    <w:rsid w:val="0A747118"/>
    <w:rsid w:val="0AA4793D"/>
    <w:rsid w:val="0B0A42C4"/>
    <w:rsid w:val="0B2F4186"/>
    <w:rsid w:val="0B5F4794"/>
    <w:rsid w:val="0B7926DE"/>
    <w:rsid w:val="0BC85D5B"/>
    <w:rsid w:val="0BD82C59"/>
    <w:rsid w:val="0C160487"/>
    <w:rsid w:val="0C317648"/>
    <w:rsid w:val="0C7451AE"/>
    <w:rsid w:val="0C9617E4"/>
    <w:rsid w:val="0C9F6FE3"/>
    <w:rsid w:val="0D173E04"/>
    <w:rsid w:val="0D2E2D13"/>
    <w:rsid w:val="0D354ACD"/>
    <w:rsid w:val="0D492902"/>
    <w:rsid w:val="0D6F10B3"/>
    <w:rsid w:val="0D8536BD"/>
    <w:rsid w:val="0D8F4EFE"/>
    <w:rsid w:val="0E293FE3"/>
    <w:rsid w:val="0E4D5CB6"/>
    <w:rsid w:val="0EA46E2D"/>
    <w:rsid w:val="0EFF5127"/>
    <w:rsid w:val="0F210A3A"/>
    <w:rsid w:val="0F415C16"/>
    <w:rsid w:val="0F607679"/>
    <w:rsid w:val="10086D9C"/>
    <w:rsid w:val="102A466F"/>
    <w:rsid w:val="105812FF"/>
    <w:rsid w:val="111C0739"/>
    <w:rsid w:val="111E1B8C"/>
    <w:rsid w:val="11610DAE"/>
    <w:rsid w:val="116A724E"/>
    <w:rsid w:val="116D60A1"/>
    <w:rsid w:val="117A72EF"/>
    <w:rsid w:val="11FD46BF"/>
    <w:rsid w:val="120B5F4D"/>
    <w:rsid w:val="12323823"/>
    <w:rsid w:val="124F42B7"/>
    <w:rsid w:val="12834530"/>
    <w:rsid w:val="13901E1C"/>
    <w:rsid w:val="13A7230D"/>
    <w:rsid w:val="14EF1875"/>
    <w:rsid w:val="14F325C5"/>
    <w:rsid w:val="15026D53"/>
    <w:rsid w:val="15B4486D"/>
    <w:rsid w:val="15CA2F2E"/>
    <w:rsid w:val="15E74C42"/>
    <w:rsid w:val="161F29E0"/>
    <w:rsid w:val="16CB5F30"/>
    <w:rsid w:val="16F2389F"/>
    <w:rsid w:val="16F643D6"/>
    <w:rsid w:val="171C5435"/>
    <w:rsid w:val="172D2B29"/>
    <w:rsid w:val="17E217ED"/>
    <w:rsid w:val="17F00444"/>
    <w:rsid w:val="18517FB6"/>
    <w:rsid w:val="188E75F7"/>
    <w:rsid w:val="18A44462"/>
    <w:rsid w:val="18D81447"/>
    <w:rsid w:val="191E1382"/>
    <w:rsid w:val="193F7A6A"/>
    <w:rsid w:val="19600F94"/>
    <w:rsid w:val="199A28AA"/>
    <w:rsid w:val="1A650426"/>
    <w:rsid w:val="1AA03612"/>
    <w:rsid w:val="1BCB75FC"/>
    <w:rsid w:val="1BDA0F1B"/>
    <w:rsid w:val="1BFF5B23"/>
    <w:rsid w:val="1C777DA5"/>
    <w:rsid w:val="1C7E467E"/>
    <w:rsid w:val="1D0D671B"/>
    <w:rsid w:val="1D305121"/>
    <w:rsid w:val="1D36397B"/>
    <w:rsid w:val="1D4B182A"/>
    <w:rsid w:val="1D5C48CC"/>
    <w:rsid w:val="1D835251"/>
    <w:rsid w:val="1DD943FB"/>
    <w:rsid w:val="1DE87A80"/>
    <w:rsid w:val="1E194C81"/>
    <w:rsid w:val="1E3E561C"/>
    <w:rsid w:val="1E68566C"/>
    <w:rsid w:val="1E95273B"/>
    <w:rsid w:val="1EA47B74"/>
    <w:rsid w:val="1F8B4401"/>
    <w:rsid w:val="1FFF5FBA"/>
    <w:rsid w:val="21082BD0"/>
    <w:rsid w:val="21554059"/>
    <w:rsid w:val="216B2E85"/>
    <w:rsid w:val="218872DA"/>
    <w:rsid w:val="218F2E30"/>
    <w:rsid w:val="21BF16DB"/>
    <w:rsid w:val="21C443C4"/>
    <w:rsid w:val="223C67F4"/>
    <w:rsid w:val="224A458F"/>
    <w:rsid w:val="22942040"/>
    <w:rsid w:val="22DA671D"/>
    <w:rsid w:val="23050835"/>
    <w:rsid w:val="231A7D53"/>
    <w:rsid w:val="23887B38"/>
    <w:rsid w:val="238B1360"/>
    <w:rsid w:val="24013DB9"/>
    <w:rsid w:val="24441950"/>
    <w:rsid w:val="248D76DC"/>
    <w:rsid w:val="249A5A1E"/>
    <w:rsid w:val="24A36916"/>
    <w:rsid w:val="25172BDE"/>
    <w:rsid w:val="25744A0D"/>
    <w:rsid w:val="25902C01"/>
    <w:rsid w:val="259A51CD"/>
    <w:rsid w:val="25D56865"/>
    <w:rsid w:val="26082272"/>
    <w:rsid w:val="262178C9"/>
    <w:rsid w:val="264755DA"/>
    <w:rsid w:val="2661459D"/>
    <w:rsid w:val="267E0CAB"/>
    <w:rsid w:val="26A84EBA"/>
    <w:rsid w:val="26EA363F"/>
    <w:rsid w:val="27144592"/>
    <w:rsid w:val="278B23EE"/>
    <w:rsid w:val="278B7B24"/>
    <w:rsid w:val="27C03641"/>
    <w:rsid w:val="281318C7"/>
    <w:rsid w:val="28541E37"/>
    <w:rsid w:val="285F3CB1"/>
    <w:rsid w:val="286928C5"/>
    <w:rsid w:val="289C366A"/>
    <w:rsid w:val="28A2214A"/>
    <w:rsid w:val="2936694E"/>
    <w:rsid w:val="2996455E"/>
    <w:rsid w:val="29DB04A2"/>
    <w:rsid w:val="29EE50B4"/>
    <w:rsid w:val="29FE7B47"/>
    <w:rsid w:val="2A367640"/>
    <w:rsid w:val="2A48356C"/>
    <w:rsid w:val="2ABC75C8"/>
    <w:rsid w:val="2B12230A"/>
    <w:rsid w:val="2B7E1510"/>
    <w:rsid w:val="2B8051DB"/>
    <w:rsid w:val="2BAA31B3"/>
    <w:rsid w:val="2BC63FD4"/>
    <w:rsid w:val="2C0D4F8D"/>
    <w:rsid w:val="2C376A9B"/>
    <w:rsid w:val="2C3A1B18"/>
    <w:rsid w:val="2C3F0EDD"/>
    <w:rsid w:val="2C4C4F3B"/>
    <w:rsid w:val="2C60078F"/>
    <w:rsid w:val="2C646B95"/>
    <w:rsid w:val="2C7E1414"/>
    <w:rsid w:val="2C810E08"/>
    <w:rsid w:val="2C8E59C0"/>
    <w:rsid w:val="2CBA6A70"/>
    <w:rsid w:val="2CD504F2"/>
    <w:rsid w:val="2D0F4C79"/>
    <w:rsid w:val="2D1D55AF"/>
    <w:rsid w:val="2D2B1461"/>
    <w:rsid w:val="2DC147E3"/>
    <w:rsid w:val="2EA90867"/>
    <w:rsid w:val="2EAD7087"/>
    <w:rsid w:val="2F454A5C"/>
    <w:rsid w:val="2FC43258"/>
    <w:rsid w:val="2FE467A7"/>
    <w:rsid w:val="302C011A"/>
    <w:rsid w:val="302C34A7"/>
    <w:rsid w:val="303A22C6"/>
    <w:rsid w:val="304940D8"/>
    <w:rsid w:val="30517430"/>
    <w:rsid w:val="30C3032E"/>
    <w:rsid w:val="30F37EDC"/>
    <w:rsid w:val="31055CDB"/>
    <w:rsid w:val="313C17BF"/>
    <w:rsid w:val="314A714A"/>
    <w:rsid w:val="315423FA"/>
    <w:rsid w:val="324507AD"/>
    <w:rsid w:val="3344327C"/>
    <w:rsid w:val="338B4F0A"/>
    <w:rsid w:val="33CC223D"/>
    <w:rsid w:val="345179FF"/>
    <w:rsid w:val="34814F15"/>
    <w:rsid w:val="34826328"/>
    <w:rsid w:val="34984755"/>
    <w:rsid w:val="34E959C3"/>
    <w:rsid w:val="34F85D6A"/>
    <w:rsid w:val="34FC2804"/>
    <w:rsid w:val="34FF4777"/>
    <w:rsid w:val="35120222"/>
    <w:rsid w:val="3518714F"/>
    <w:rsid w:val="353D3435"/>
    <w:rsid w:val="354A6EEA"/>
    <w:rsid w:val="356B1CF3"/>
    <w:rsid w:val="35AF70D3"/>
    <w:rsid w:val="37654E9C"/>
    <w:rsid w:val="3784633D"/>
    <w:rsid w:val="38213B8C"/>
    <w:rsid w:val="382373DA"/>
    <w:rsid w:val="383B0B04"/>
    <w:rsid w:val="38591578"/>
    <w:rsid w:val="38AC16A8"/>
    <w:rsid w:val="38CF7D58"/>
    <w:rsid w:val="38F0269B"/>
    <w:rsid w:val="3A372F4A"/>
    <w:rsid w:val="3A7C1D7A"/>
    <w:rsid w:val="3AAD7959"/>
    <w:rsid w:val="3AD068AC"/>
    <w:rsid w:val="3ADB44C6"/>
    <w:rsid w:val="3AED5FA8"/>
    <w:rsid w:val="3B285284"/>
    <w:rsid w:val="3B2C319C"/>
    <w:rsid w:val="3B2D2566"/>
    <w:rsid w:val="3B387B37"/>
    <w:rsid w:val="3B68647D"/>
    <w:rsid w:val="3BAF2C97"/>
    <w:rsid w:val="3C074E47"/>
    <w:rsid w:val="3C756255"/>
    <w:rsid w:val="3C9E39FD"/>
    <w:rsid w:val="3C9F4DD0"/>
    <w:rsid w:val="3D0D46DF"/>
    <w:rsid w:val="3D254A9A"/>
    <w:rsid w:val="3D3C5A02"/>
    <w:rsid w:val="3D430E91"/>
    <w:rsid w:val="3D723C25"/>
    <w:rsid w:val="3D8F5CCA"/>
    <w:rsid w:val="3D910454"/>
    <w:rsid w:val="3D964F1B"/>
    <w:rsid w:val="3E0C2560"/>
    <w:rsid w:val="3EB02237"/>
    <w:rsid w:val="3EB80B41"/>
    <w:rsid w:val="3EE65C63"/>
    <w:rsid w:val="3FCF6608"/>
    <w:rsid w:val="40476BB4"/>
    <w:rsid w:val="4092377C"/>
    <w:rsid w:val="40AA78B9"/>
    <w:rsid w:val="411E6EBB"/>
    <w:rsid w:val="41B079AE"/>
    <w:rsid w:val="41FF0A9A"/>
    <w:rsid w:val="42417218"/>
    <w:rsid w:val="43B55C44"/>
    <w:rsid w:val="442774FB"/>
    <w:rsid w:val="44A633D7"/>
    <w:rsid w:val="450B6BAA"/>
    <w:rsid w:val="45531639"/>
    <w:rsid w:val="45EC57D9"/>
    <w:rsid w:val="465467E3"/>
    <w:rsid w:val="466D03B6"/>
    <w:rsid w:val="467A4130"/>
    <w:rsid w:val="46ED3D62"/>
    <w:rsid w:val="46F030A7"/>
    <w:rsid w:val="46FE5A27"/>
    <w:rsid w:val="472165E1"/>
    <w:rsid w:val="472D42FC"/>
    <w:rsid w:val="472D7E58"/>
    <w:rsid w:val="474447A0"/>
    <w:rsid w:val="474B1F88"/>
    <w:rsid w:val="47B50093"/>
    <w:rsid w:val="47CE3835"/>
    <w:rsid w:val="47E938E8"/>
    <w:rsid w:val="47F548C0"/>
    <w:rsid w:val="48543A65"/>
    <w:rsid w:val="48551120"/>
    <w:rsid w:val="489A6008"/>
    <w:rsid w:val="48CE1A32"/>
    <w:rsid w:val="492B6619"/>
    <w:rsid w:val="49356079"/>
    <w:rsid w:val="4957634E"/>
    <w:rsid w:val="496F10FC"/>
    <w:rsid w:val="49881CCB"/>
    <w:rsid w:val="49975FBC"/>
    <w:rsid w:val="49D13AE4"/>
    <w:rsid w:val="49E1480A"/>
    <w:rsid w:val="49FB653F"/>
    <w:rsid w:val="4A4B3E0B"/>
    <w:rsid w:val="4A5D44B5"/>
    <w:rsid w:val="4A6437D4"/>
    <w:rsid w:val="4A8F086C"/>
    <w:rsid w:val="4AB070BD"/>
    <w:rsid w:val="4AE46E2A"/>
    <w:rsid w:val="4B086260"/>
    <w:rsid w:val="4B792C11"/>
    <w:rsid w:val="4C6C6665"/>
    <w:rsid w:val="4C993854"/>
    <w:rsid w:val="4C9D782D"/>
    <w:rsid w:val="4CBA0C3C"/>
    <w:rsid w:val="4CC773C4"/>
    <w:rsid w:val="4CE81B67"/>
    <w:rsid w:val="4CF077D9"/>
    <w:rsid w:val="4D211BA8"/>
    <w:rsid w:val="4E816CDB"/>
    <w:rsid w:val="4E836ABC"/>
    <w:rsid w:val="4EC5185F"/>
    <w:rsid w:val="4F0516BA"/>
    <w:rsid w:val="4F7A2315"/>
    <w:rsid w:val="4F9273F2"/>
    <w:rsid w:val="4FB31056"/>
    <w:rsid w:val="501D04C6"/>
    <w:rsid w:val="50224539"/>
    <w:rsid w:val="50675167"/>
    <w:rsid w:val="509B115C"/>
    <w:rsid w:val="50E705D7"/>
    <w:rsid w:val="50F773EF"/>
    <w:rsid w:val="50FA6AF3"/>
    <w:rsid w:val="51040E29"/>
    <w:rsid w:val="51AC2CF6"/>
    <w:rsid w:val="51CF2789"/>
    <w:rsid w:val="51EE696A"/>
    <w:rsid w:val="52E60BBD"/>
    <w:rsid w:val="53537FC2"/>
    <w:rsid w:val="537A576C"/>
    <w:rsid w:val="538D6EF1"/>
    <w:rsid w:val="53E24E79"/>
    <w:rsid w:val="54051CBA"/>
    <w:rsid w:val="54627517"/>
    <w:rsid w:val="54C301E3"/>
    <w:rsid w:val="54CD3E95"/>
    <w:rsid w:val="54FE1085"/>
    <w:rsid w:val="5507618C"/>
    <w:rsid w:val="555313D1"/>
    <w:rsid w:val="555465EE"/>
    <w:rsid w:val="5630606F"/>
    <w:rsid w:val="56431446"/>
    <w:rsid w:val="564D2F1F"/>
    <w:rsid w:val="56601D30"/>
    <w:rsid w:val="56864980"/>
    <w:rsid w:val="56BD287A"/>
    <w:rsid w:val="57617D64"/>
    <w:rsid w:val="579023A5"/>
    <w:rsid w:val="579D2991"/>
    <w:rsid w:val="57EF105C"/>
    <w:rsid w:val="58831FCD"/>
    <w:rsid w:val="58A81A34"/>
    <w:rsid w:val="597D4298"/>
    <w:rsid w:val="59CC3500"/>
    <w:rsid w:val="5A17089F"/>
    <w:rsid w:val="5A2B78A9"/>
    <w:rsid w:val="5AC204A2"/>
    <w:rsid w:val="5ADE079F"/>
    <w:rsid w:val="5ADF2CEC"/>
    <w:rsid w:val="5B74302C"/>
    <w:rsid w:val="5B93792A"/>
    <w:rsid w:val="5B9F4190"/>
    <w:rsid w:val="5BBE44A1"/>
    <w:rsid w:val="5C0F2120"/>
    <w:rsid w:val="5CC2508E"/>
    <w:rsid w:val="5CC95CE6"/>
    <w:rsid w:val="5CF04714"/>
    <w:rsid w:val="5CF641B7"/>
    <w:rsid w:val="5CFA7B5F"/>
    <w:rsid w:val="5CFD12BC"/>
    <w:rsid w:val="5D872105"/>
    <w:rsid w:val="5DCE519B"/>
    <w:rsid w:val="5DDC2951"/>
    <w:rsid w:val="5E042794"/>
    <w:rsid w:val="5E8E75A3"/>
    <w:rsid w:val="5E9860A7"/>
    <w:rsid w:val="5EBC232F"/>
    <w:rsid w:val="5EC0678A"/>
    <w:rsid w:val="5ED877D8"/>
    <w:rsid w:val="5EE240B6"/>
    <w:rsid w:val="5F1A5C6D"/>
    <w:rsid w:val="5F2F7A39"/>
    <w:rsid w:val="5FA814DF"/>
    <w:rsid w:val="5FE82FD2"/>
    <w:rsid w:val="5FED58DF"/>
    <w:rsid w:val="6040616F"/>
    <w:rsid w:val="60B168B0"/>
    <w:rsid w:val="60C5514D"/>
    <w:rsid w:val="60D96503"/>
    <w:rsid w:val="60DD148F"/>
    <w:rsid w:val="60FF3D49"/>
    <w:rsid w:val="61305322"/>
    <w:rsid w:val="6159154D"/>
    <w:rsid w:val="61994C8C"/>
    <w:rsid w:val="61A65755"/>
    <w:rsid w:val="61BA65BF"/>
    <w:rsid w:val="628F77C1"/>
    <w:rsid w:val="62922B86"/>
    <w:rsid w:val="62B83782"/>
    <w:rsid w:val="62F67905"/>
    <w:rsid w:val="63344D9C"/>
    <w:rsid w:val="6372336A"/>
    <w:rsid w:val="63852965"/>
    <w:rsid w:val="63B719CA"/>
    <w:rsid w:val="63B87749"/>
    <w:rsid w:val="63E92F01"/>
    <w:rsid w:val="64063AB3"/>
    <w:rsid w:val="64255857"/>
    <w:rsid w:val="64371776"/>
    <w:rsid w:val="64371EBE"/>
    <w:rsid w:val="64565DD5"/>
    <w:rsid w:val="646903D7"/>
    <w:rsid w:val="647B624F"/>
    <w:rsid w:val="64B47B11"/>
    <w:rsid w:val="64E2382D"/>
    <w:rsid w:val="652C145A"/>
    <w:rsid w:val="652E3534"/>
    <w:rsid w:val="6614440A"/>
    <w:rsid w:val="678E46C4"/>
    <w:rsid w:val="6800730B"/>
    <w:rsid w:val="681B5ADF"/>
    <w:rsid w:val="685E210F"/>
    <w:rsid w:val="686065CC"/>
    <w:rsid w:val="689D00AB"/>
    <w:rsid w:val="68A94442"/>
    <w:rsid w:val="68BC5CCF"/>
    <w:rsid w:val="694B1CA9"/>
    <w:rsid w:val="696848C8"/>
    <w:rsid w:val="69D87C9F"/>
    <w:rsid w:val="69F0323B"/>
    <w:rsid w:val="6A333F49"/>
    <w:rsid w:val="6A3D7B02"/>
    <w:rsid w:val="6A6F3824"/>
    <w:rsid w:val="6AB204F0"/>
    <w:rsid w:val="6AE125CF"/>
    <w:rsid w:val="6AF97ECD"/>
    <w:rsid w:val="6B356F25"/>
    <w:rsid w:val="6C6121CE"/>
    <w:rsid w:val="6C7822A9"/>
    <w:rsid w:val="6C9B0687"/>
    <w:rsid w:val="6CCD0C34"/>
    <w:rsid w:val="6D2B360C"/>
    <w:rsid w:val="6DD94EB7"/>
    <w:rsid w:val="6ED65668"/>
    <w:rsid w:val="6F5F3C10"/>
    <w:rsid w:val="6F7D619A"/>
    <w:rsid w:val="6F9F35B4"/>
    <w:rsid w:val="6FCA71E0"/>
    <w:rsid w:val="6FD827A7"/>
    <w:rsid w:val="703145D9"/>
    <w:rsid w:val="706C1141"/>
    <w:rsid w:val="706E7C9E"/>
    <w:rsid w:val="707324D0"/>
    <w:rsid w:val="70CF5032"/>
    <w:rsid w:val="71856DEF"/>
    <w:rsid w:val="71A130D0"/>
    <w:rsid w:val="71DA004A"/>
    <w:rsid w:val="726B69B0"/>
    <w:rsid w:val="728A0291"/>
    <w:rsid w:val="729F531D"/>
    <w:rsid w:val="72CF47E7"/>
    <w:rsid w:val="72ED48AE"/>
    <w:rsid w:val="730361B9"/>
    <w:rsid w:val="734466F5"/>
    <w:rsid w:val="738D5656"/>
    <w:rsid w:val="73EA2043"/>
    <w:rsid w:val="742740AC"/>
    <w:rsid w:val="743A2B40"/>
    <w:rsid w:val="745F7336"/>
    <w:rsid w:val="74923BF4"/>
    <w:rsid w:val="74C44810"/>
    <w:rsid w:val="74CF773B"/>
    <w:rsid w:val="750202C6"/>
    <w:rsid w:val="75475CD9"/>
    <w:rsid w:val="75B354EE"/>
    <w:rsid w:val="75BC3DFE"/>
    <w:rsid w:val="76A06528"/>
    <w:rsid w:val="76DB2792"/>
    <w:rsid w:val="77091498"/>
    <w:rsid w:val="77BA7B83"/>
    <w:rsid w:val="77EA05CE"/>
    <w:rsid w:val="785D1817"/>
    <w:rsid w:val="786C5947"/>
    <w:rsid w:val="78861E4A"/>
    <w:rsid w:val="78D37FAF"/>
    <w:rsid w:val="78F57EFF"/>
    <w:rsid w:val="79BF5E05"/>
    <w:rsid w:val="79F71BE1"/>
    <w:rsid w:val="7A0D60DE"/>
    <w:rsid w:val="7A0F5025"/>
    <w:rsid w:val="7A16003B"/>
    <w:rsid w:val="7A367DDC"/>
    <w:rsid w:val="7A6A4943"/>
    <w:rsid w:val="7AE600D4"/>
    <w:rsid w:val="7AEC35AA"/>
    <w:rsid w:val="7B0A28DC"/>
    <w:rsid w:val="7B0B390C"/>
    <w:rsid w:val="7B8109A5"/>
    <w:rsid w:val="7BBA0FB3"/>
    <w:rsid w:val="7BF21F72"/>
    <w:rsid w:val="7C9B21DA"/>
    <w:rsid w:val="7CAC5049"/>
    <w:rsid w:val="7CE31C56"/>
    <w:rsid w:val="7D5A1A2C"/>
    <w:rsid w:val="7D686286"/>
    <w:rsid w:val="7D757A64"/>
    <w:rsid w:val="7D921F97"/>
    <w:rsid w:val="7DA34981"/>
    <w:rsid w:val="7DA83736"/>
    <w:rsid w:val="7DB9757F"/>
    <w:rsid w:val="7E104461"/>
    <w:rsid w:val="7F39186C"/>
    <w:rsid w:val="7F6E5771"/>
    <w:rsid w:val="7FCE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qFormat="1" w:unhideWhenUsed="0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line="360" w:lineRule="auto"/>
      <w:jc w:val="center"/>
      <w:outlineLvl w:val="0"/>
    </w:pPr>
    <w:rPr>
      <w:rFonts w:ascii="方正小标宋简体" w:hAnsi="方正小标宋简体" w:eastAsia="方正小标宋简体" w:cs="方正小标宋简体"/>
      <w:b/>
      <w:kern w:val="44"/>
      <w:sz w:val="32"/>
      <w:szCs w:val="32"/>
    </w:rPr>
  </w:style>
  <w:style w:type="paragraph" w:styleId="3">
    <w:name w:val="heading 2"/>
    <w:basedOn w:val="1"/>
    <w:next w:val="1"/>
    <w:link w:val="44"/>
    <w:unhideWhenUsed/>
    <w:qFormat/>
    <w:uiPriority w:val="0"/>
    <w:pPr>
      <w:snapToGrid w:val="0"/>
      <w:jc w:val="center"/>
      <w:outlineLvl w:val="1"/>
    </w:pPr>
    <w:rPr>
      <w:rFonts w:ascii="仿宋_GB2312" w:hAnsi="仿宋_GB2312" w:eastAsia="仿宋_GB2312" w:cs="仿宋_GB2312"/>
      <w:b/>
      <w:bCs/>
      <w:sz w:val="32"/>
      <w:szCs w:val="32"/>
    </w:rPr>
  </w:style>
  <w:style w:type="paragraph" w:styleId="4">
    <w:name w:val="heading 3"/>
    <w:basedOn w:val="3"/>
    <w:next w:val="1"/>
    <w:link w:val="34"/>
    <w:unhideWhenUsed/>
    <w:qFormat/>
    <w:uiPriority w:val="0"/>
    <w:pPr>
      <w:numPr>
        <w:ilvl w:val="0"/>
        <w:numId w:val="1"/>
      </w:numPr>
      <w:jc w:val="left"/>
      <w:outlineLvl w:val="2"/>
    </w:p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qFormat/>
    <w:uiPriority w:val="0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6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7">
    <w:name w:val="annotation text"/>
    <w:basedOn w:val="1"/>
    <w:link w:val="42"/>
    <w:qFormat/>
    <w:uiPriority w:val="0"/>
  </w:style>
  <w:style w:type="paragraph" w:styleId="8">
    <w:name w:val="toc 5"/>
    <w:basedOn w:val="1"/>
    <w:next w:val="1"/>
    <w:qFormat/>
    <w:uiPriority w:val="0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9">
    <w:name w:val="toc 3"/>
    <w:basedOn w:val="1"/>
    <w:next w:val="1"/>
    <w:qFormat/>
    <w:uiPriority w:val="39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10">
    <w:name w:val="toc 8"/>
    <w:basedOn w:val="1"/>
    <w:next w:val="1"/>
    <w:qFormat/>
    <w:uiPriority w:val="0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11">
    <w:name w:val="Balloon Text"/>
    <w:basedOn w:val="1"/>
    <w:link w:val="41"/>
    <w:qFormat/>
    <w:uiPriority w:val="0"/>
    <w:rPr>
      <w:sz w:val="18"/>
      <w:szCs w:val="18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toc 1"/>
    <w:basedOn w:val="1"/>
    <w:next w:val="1"/>
    <w:qFormat/>
    <w:uiPriority w:val="39"/>
    <w:pPr>
      <w:tabs>
        <w:tab w:val="right" w:leader="dot" w:pos="8296"/>
      </w:tabs>
      <w:spacing w:before="120" w:after="120"/>
      <w:jc w:val="center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5">
    <w:name w:val="toc 4"/>
    <w:basedOn w:val="1"/>
    <w:next w:val="1"/>
    <w:qFormat/>
    <w:uiPriority w:val="0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16">
    <w:name w:val="toc 6"/>
    <w:basedOn w:val="1"/>
    <w:next w:val="1"/>
    <w:qFormat/>
    <w:uiPriority w:val="0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17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18">
    <w:name w:val="toc 2"/>
    <w:basedOn w:val="1"/>
    <w:next w:val="1"/>
    <w:qFormat/>
    <w:uiPriority w:val="39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19">
    <w:name w:val="toc 9"/>
    <w:basedOn w:val="1"/>
    <w:next w:val="1"/>
    <w:qFormat/>
    <w:uiPriority w:val="0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20">
    <w:name w:val="Normal (Web)"/>
    <w:basedOn w:val="1"/>
    <w:qFormat/>
    <w:uiPriority w:val="0"/>
    <w:rPr>
      <w:rFonts w:ascii="Calibri" w:hAnsi="Calibri" w:cs="Times New Roman"/>
    </w:rPr>
  </w:style>
  <w:style w:type="paragraph" w:styleId="21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2">
    <w:name w:val="annotation subject"/>
    <w:basedOn w:val="7"/>
    <w:next w:val="7"/>
    <w:link w:val="43"/>
    <w:qFormat/>
    <w:uiPriority w:val="0"/>
    <w:rPr>
      <w:b/>
      <w:bCs/>
    </w:rPr>
  </w:style>
  <w:style w:type="table" w:styleId="24">
    <w:name w:val="Table Grid"/>
    <w:basedOn w:val="2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</w:rPr>
  </w:style>
  <w:style w:type="character" w:styleId="27">
    <w:name w:val="FollowedHyperlink"/>
    <w:basedOn w:val="25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qFormat/>
    <w:uiPriority w:val="99"/>
    <w:rPr>
      <w:color w:val="0000FF"/>
      <w:u w:val="single"/>
    </w:rPr>
  </w:style>
  <w:style w:type="character" w:styleId="29">
    <w:name w:val="annotation reference"/>
    <w:basedOn w:val="25"/>
    <w:qFormat/>
    <w:uiPriority w:val="0"/>
    <w:rPr>
      <w:sz w:val="21"/>
      <w:szCs w:val="21"/>
    </w:rPr>
  </w:style>
  <w:style w:type="character" w:customStyle="1" w:styleId="30">
    <w:name w:val="font91"/>
    <w:basedOn w:val="25"/>
    <w:qFormat/>
    <w:uiPriority w:val="0"/>
    <w:rPr>
      <w:rFonts w:ascii="Arial" w:hAnsi="Arial" w:cs="Arial"/>
      <w:color w:val="000000"/>
      <w:sz w:val="16"/>
      <w:szCs w:val="16"/>
      <w:u w:val="none"/>
    </w:rPr>
  </w:style>
  <w:style w:type="character" w:customStyle="1" w:styleId="31">
    <w:name w:val="font51"/>
    <w:basedOn w:val="25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32">
    <w:name w:val="文字"/>
    <w:qFormat/>
    <w:uiPriority w:val="0"/>
    <w:pPr>
      <w:adjustRightInd w:val="0"/>
      <w:snapToGrid w:val="0"/>
      <w:spacing w:line="360" w:lineRule="auto"/>
      <w:ind w:firstLine="560" w:firstLineChars="200"/>
    </w:pPr>
    <w:rPr>
      <w:rFonts w:ascii="仿宋_GB2312" w:hAnsi="仿宋_GB2312" w:eastAsia="仿宋_GB2312" w:cs="仿宋_GB2312"/>
      <w:bCs/>
      <w:kern w:val="44"/>
      <w:sz w:val="28"/>
      <w:szCs w:val="28"/>
      <w:lang w:val="en-US" w:eastAsia="zh-CN" w:bidi="ar-SA"/>
    </w:rPr>
  </w:style>
  <w:style w:type="paragraph" w:styleId="3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34">
    <w:name w:val="标题 3 字符"/>
    <w:link w:val="4"/>
    <w:semiHidden/>
    <w:qFormat/>
    <w:uiPriority w:val="0"/>
    <w:rPr>
      <w:rFonts w:ascii="仿宋_GB2312" w:hAnsi="仿宋_GB2312" w:eastAsia="仿宋_GB2312" w:cs="仿宋_GB2312"/>
      <w:b/>
      <w:bCs/>
      <w:sz w:val="32"/>
      <w:szCs w:val="32"/>
      <w:lang w:val="en-US" w:eastAsia="zh-CN" w:bidi="ar-SA"/>
    </w:rPr>
  </w:style>
  <w:style w:type="character" w:customStyle="1" w:styleId="35">
    <w:name w:val="未处理的提及1"/>
    <w:basedOn w:val="2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6">
    <w:name w:val="标题 字符"/>
    <w:basedOn w:val="25"/>
    <w:link w:val="21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7">
    <w:name w:val="不明显强调1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表格文字"/>
    <w:basedOn w:val="32"/>
    <w:qFormat/>
    <w:uiPriority w:val="0"/>
    <w:pPr>
      <w:ind w:left="-2" w:leftChars="-1" w:firstLine="0" w:firstLineChars="0"/>
    </w:pPr>
  </w:style>
  <w:style w:type="character" w:customStyle="1" w:styleId="39">
    <w:name w:val="未处理的提及2"/>
    <w:basedOn w:val="25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40">
    <w:name w:val="无格式表格 21"/>
    <w:basedOn w:val="23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41">
    <w:name w:val="批注框文本 字符"/>
    <w:basedOn w:val="25"/>
    <w:link w:val="11"/>
    <w:qFormat/>
    <w:uiPriority w:val="0"/>
    <w:rPr>
      <w:rFonts w:ascii="宋体" w:hAnsi="宋体" w:cs="宋体"/>
      <w:sz w:val="18"/>
      <w:szCs w:val="18"/>
    </w:rPr>
  </w:style>
  <w:style w:type="character" w:customStyle="1" w:styleId="42">
    <w:name w:val="批注文字 字符"/>
    <w:basedOn w:val="25"/>
    <w:link w:val="7"/>
    <w:qFormat/>
    <w:uiPriority w:val="0"/>
    <w:rPr>
      <w:rFonts w:ascii="宋体" w:hAnsi="宋体" w:cs="宋体"/>
      <w:sz w:val="24"/>
      <w:szCs w:val="24"/>
    </w:rPr>
  </w:style>
  <w:style w:type="character" w:customStyle="1" w:styleId="43">
    <w:name w:val="批注主题 字符"/>
    <w:basedOn w:val="42"/>
    <w:link w:val="22"/>
    <w:qFormat/>
    <w:uiPriority w:val="0"/>
    <w:rPr>
      <w:rFonts w:ascii="宋体" w:hAnsi="宋体" w:cs="宋体"/>
      <w:b/>
      <w:bCs/>
      <w:sz w:val="24"/>
      <w:szCs w:val="24"/>
    </w:rPr>
  </w:style>
  <w:style w:type="character" w:customStyle="1" w:styleId="44">
    <w:name w:val="标题 2 字符"/>
    <w:link w:val="3"/>
    <w:qFormat/>
    <w:uiPriority w:val="0"/>
    <w:rPr>
      <w:rFonts w:ascii="仿宋_GB2312" w:hAnsi="仿宋_GB2312" w:eastAsia="仿宋_GB2312" w:cs="仿宋_GB2312"/>
      <w:b/>
      <w:bCs/>
      <w:sz w:val="32"/>
      <w:szCs w:val="32"/>
      <w:lang w:val="en-US" w:eastAsia="zh-CN" w:bidi="ar-SA"/>
    </w:rPr>
  </w:style>
  <w:style w:type="table" w:customStyle="1" w:styleId="45">
    <w:name w:val="清单表 3 - 着色 11"/>
    <w:basedOn w:val="23"/>
    <w:qFormat/>
    <w:uiPriority w:val="48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B9BD5" w:themeColor="accent1" w:sz="4" w:space="0"/>
          <w:left w:val="nil"/>
        </w:tcBorders>
      </w:tcPr>
    </w:tblStylePr>
    <w:tblStylePr w:type="swCell">
      <w:tcPr>
        <w:tcBorders>
          <w:top w:val="double" w:color="5B9BD5" w:themeColor="accent1" w:sz="4" w:space="0"/>
          <w:right w:val="nil"/>
        </w:tcBorders>
      </w:tcPr>
    </w:tblStylePr>
  </w:style>
  <w:style w:type="character" w:customStyle="1" w:styleId="46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421170-282B-CB47-A1ED-672013FA72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集团总部</Company>
  <Pages>7</Pages>
  <Words>361</Words>
  <Characters>411</Characters>
  <Lines>55</Lines>
  <Paragraphs>15</Paragraphs>
  <TotalTime>5</TotalTime>
  <ScaleCrop>false</ScaleCrop>
  <LinksUpToDate>false</LinksUpToDate>
  <CharactersWithSpaces>442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2025-03-16T05:36:00Z</dcterms:created>
  <dc:creator>任毅</dc:creator>
  <cp:lastModifiedBy>蓝天小云</cp:lastModifiedBy>
  <dcterms:modified xsi:type="dcterms:W3CDTF">2025-10-24T03:51:28Z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69B2ADB5A24B4895ACC8D6450E190A22</vt:lpwstr>
  </property>
  <property fmtid="{D5CDD505-2E9C-101B-9397-08002B2CF9AE}" pid="4" name="KSOTemplateDocerSaveRecord">
    <vt:lpwstr>eyJoZGlkIjoiYTAyYWMzNzNkNTc2NDA5ZjJhMjk3NmNmMDFlMDMyNGIiLCJ1c2VySWQiOiIzNTY3OTY0OTMifQ==</vt:lpwstr>
  </property>
</Properties>
</file>