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30334C">
      <w:pPr>
        <w:snapToGrid w:val="0"/>
        <w:spacing w:line="360" w:lineRule="auto"/>
        <w:ind w:firstLine="897"/>
        <w:jc w:val="both"/>
        <w:rPr>
          <w:rFonts w:ascii="黑体" w:hAnsi="黑体" w:eastAsia="黑体" w:cs="黑体"/>
          <w:b/>
          <w:bCs/>
          <w:sz w:val="44"/>
          <w:szCs w:val="52"/>
        </w:rPr>
      </w:pPr>
    </w:p>
    <w:p w14:paraId="1D726450">
      <w:pPr>
        <w:snapToGrid w:val="0"/>
        <w:spacing w:line="360" w:lineRule="auto"/>
        <w:ind w:firstLine="897"/>
        <w:jc w:val="both"/>
        <w:rPr>
          <w:rFonts w:ascii="黑体" w:hAnsi="黑体" w:eastAsia="黑体" w:cs="黑体"/>
          <w:b/>
          <w:bCs/>
          <w:sz w:val="44"/>
          <w:szCs w:val="52"/>
        </w:rPr>
      </w:pPr>
    </w:p>
    <w:p w14:paraId="189DC712">
      <w:pPr>
        <w:snapToGrid w:val="0"/>
        <w:spacing w:line="360" w:lineRule="auto"/>
        <w:ind w:firstLine="897"/>
        <w:jc w:val="both"/>
        <w:rPr>
          <w:rFonts w:ascii="黑体" w:hAnsi="黑体" w:eastAsia="黑体" w:cs="黑体"/>
          <w:b/>
          <w:bCs/>
          <w:sz w:val="44"/>
          <w:szCs w:val="52"/>
        </w:rPr>
      </w:pPr>
    </w:p>
    <w:p w14:paraId="3FC599BD">
      <w:pPr>
        <w:snapToGrid w:val="0"/>
        <w:spacing w:line="360" w:lineRule="auto"/>
        <w:ind w:firstLine="897"/>
        <w:jc w:val="both"/>
        <w:rPr>
          <w:rFonts w:ascii="黑体" w:hAnsi="黑体" w:eastAsia="黑体" w:cs="黑体"/>
          <w:b/>
          <w:bCs/>
          <w:sz w:val="44"/>
          <w:szCs w:val="52"/>
        </w:rPr>
      </w:pPr>
    </w:p>
    <w:p w14:paraId="00278D5D">
      <w:pPr>
        <w:snapToGrid w:val="0"/>
        <w:spacing w:line="360" w:lineRule="auto"/>
        <w:ind w:firstLine="897"/>
        <w:jc w:val="both"/>
        <w:rPr>
          <w:rFonts w:ascii="黑体" w:hAnsi="黑体" w:eastAsia="黑体" w:cs="黑体"/>
          <w:b/>
          <w:bCs/>
          <w:sz w:val="44"/>
          <w:szCs w:val="52"/>
        </w:rPr>
      </w:pPr>
    </w:p>
    <w:p w14:paraId="5D9F7C82">
      <w:pPr>
        <w:snapToGrid w:val="0"/>
        <w:spacing w:line="360" w:lineRule="auto"/>
        <w:ind w:firstLine="897"/>
        <w:jc w:val="both"/>
        <w:rPr>
          <w:rFonts w:ascii="黑体" w:hAnsi="黑体" w:eastAsia="黑体" w:cs="黑体"/>
          <w:b/>
          <w:bCs/>
          <w:sz w:val="44"/>
          <w:szCs w:val="52"/>
        </w:rPr>
      </w:pPr>
    </w:p>
    <w:p w14:paraId="6002290B">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 xml:space="preserve"> 每周政策速递</w:t>
      </w:r>
    </w:p>
    <w:p w14:paraId="49B54A9F">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w:t>
      </w:r>
      <w:r>
        <w:rPr>
          <w:rFonts w:hint="eastAsia" w:ascii="黑体" w:hAnsi="黑体" w:eastAsia="黑体" w:cs="黑体"/>
          <w:b/>
          <w:bCs/>
          <w:sz w:val="44"/>
          <w:szCs w:val="52"/>
          <w:lang w:val="en-US" w:eastAsia="zh-CN"/>
        </w:rPr>
        <w:t>10</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24</w:t>
      </w:r>
      <w:r>
        <w:rPr>
          <w:rFonts w:hint="eastAsia" w:ascii="黑体" w:hAnsi="黑体" w:eastAsia="黑体" w:cs="黑体"/>
          <w:b/>
          <w:bCs/>
          <w:sz w:val="44"/>
          <w:szCs w:val="52"/>
        </w:rPr>
        <w:t>日-</w:t>
      </w:r>
      <w:r>
        <w:rPr>
          <w:rFonts w:hint="eastAsia" w:ascii="黑体" w:hAnsi="黑体" w:eastAsia="黑体" w:cs="黑体"/>
          <w:b/>
          <w:bCs/>
          <w:sz w:val="44"/>
          <w:szCs w:val="52"/>
          <w:lang w:val="en-US" w:eastAsia="zh-CN"/>
        </w:rPr>
        <w:t>10</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30</w:t>
      </w:r>
      <w:r>
        <w:rPr>
          <w:rFonts w:hint="eastAsia" w:ascii="黑体" w:hAnsi="黑体" w:eastAsia="黑体" w:cs="黑体"/>
          <w:b/>
          <w:bCs/>
          <w:sz w:val="44"/>
          <w:szCs w:val="52"/>
        </w:rPr>
        <w:t>日）</w:t>
      </w:r>
    </w:p>
    <w:p w14:paraId="555F551E">
      <w:pPr>
        <w:snapToGrid w:val="0"/>
        <w:spacing w:line="360" w:lineRule="auto"/>
        <w:ind w:firstLine="720"/>
        <w:jc w:val="center"/>
        <w:rPr>
          <w:sz w:val="36"/>
          <w:szCs w:val="44"/>
        </w:rPr>
      </w:pPr>
    </w:p>
    <w:p w14:paraId="1BBA3328">
      <w:pPr>
        <w:snapToGrid w:val="0"/>
        <w:spacing w:line="360" w:lineRule="auto"/>
        <w:ind w:firstLine="720"/>
        <w:jc w:val="center"/>
        <w:rPr>
          <w:sz w:val="36"/>
          <w:szCs w:val="44"/>
        </w:rPr>
      </w:pPr>
    </w:p>
    <w:p w14:paraId="47ECA664">
      <w:pPr>
        <w:snapToGrid w:val="0"/>
        <w:spacing w:line="360" w:lineRule="auto"/>
        <w:ind w:firstLine="720"/>
        <w:jc w:val="center"/>
        <w:rPr>
          <w:sz w:val="36"/>
          <w:szCs w:val="44"/>
        </w:rPr>
      </w:pPr>
    </w:p>
    <w:p w14:paraId="621928D3">
      <w:pPr>
        <w:snapToGrid w:val="0"/>
        <w:spacing w:line="360" w:lineRule="auto"/>
        <w:ind w:firstLine="720"/>
        <w:jc w:val="center"/>
        <w:rPr>
          <w:sz w:val="36"/>
          <w:szCs w:val="44"/>
        </w:rPr>
      </w:pPr>
    </w:p>
    <w:p w14:paraId="172DDBCD">
      <w:pPr>
        <w:snapToGrid w:val="0"/>
        <w:spacing w:line="360" w:lineRule="auto"/>
        <w:jc w:val="center"/>
        <w:rPr>
          <w:sz w:val="28"/>
          <w:szCs w:val="36"/>
        </w:rPr>
      </w:pPr>
    </w:p>
    <w:p w14:paraId="4F7F58AE">
      <w:pPr>
        <w:snapToGrid w:val="0"/>
        <w:spacing w:line="360" w:lineRule="auto"/>
        <w:jc w:val="center"/>
        <w:rPr>
          <w:sz w:val="28"/>
          <w:szCs w:val="36"/>
        </w:rPr>
      </w:pPr>
    </w:p>
    <w:p w14:paraId="0B76DE71">
      <w:pPr>
        <w:snapToGrid w:val="0"/>
        <w:spacing w:line="360" w:lineRule="auto"/>
        <w:jc w:val="center"/>
        <w:rPr>
          <w:sz w:val="28"/>
          <w:szCs w:val="36"/>
        </w:rPr>
      </w:pPr>
    </w:p>
    <w:p w14:paraId="24C487AA">
      <w:pPr>
        <w:snapToGrid w:val="0"/>
        <w:spacing w:line="360" w:lineRule="auto"/>
        <w:jc w:val="center"/>
        <w:rPr>
          <w:sz w:val="28"/>
          <w:szCs w:val="36"/>
        </w:rPr>
      </w:pPr>
    </w:p>
    <w:p w14:paraId="012ECE2B">
      <w:pPr>
        <w:snapToGrid w:val="0"/>
        <w:spacing w:line="360" w:lineRule="auto"/>
        <w:jc w:val="center"/>
        <w:rPr>
          <w:sz w:val="28"/>
          <w:szCs w:val="36"/>
        </w:rPr>
      </w:pPr>
    </w:p>
    <w:p w14:paraId="50B34A26">
      <w:pPr>
        <w:snapToGrid w:val="0"/>
        <w:spacing w:line="360" w:lineRule="auto"/>
        <w:jc w:val="center"/>
        <w:rPr>
          <w:sz w:val="28"/>
          <w:szCs w:val="36"/>
        </w:rPr>
      </w:pPr>
    </w:p>
    <w:p w14:paraId="5125022F">
      <w:pPr>
        <w:snapToGrid w:val="0"/>
        <w:spacing w:line="360" w:lineRule="auto"/>
        <w:jc w:val="center"/>
        <w:rPr>
          <w:sz w:val="28"/>
          <w:szCs w:val="36"/>
        </w:rPr>
      </w:pPr>
    </w:p>
    <w:p w14:paraId="41EA7610">
      <w:pPr>
        <w:snapToGrid w:val="0"/>
        <w:spacing w:line="360" w:lineRule="auto"/>
        <w:ind w:firstLine="560"/>
        <w:jc w:val="both"/>
      </w:pPr>
    </w:p>
    <w:p w14:paraId="7E4363B5">
      <w:pPr>
        <w:pStyle w:val="2"/>
        <w:jc w:val="both"/>
        <w:sectPr>
          <w:pgSz w:w="11906" w:h="16838"/>
          <w:pgMar w:top="1440" w:right="1800" w:bottom="1440" w:left="1800" w:header="851" w:footer="992" w:gutter="0"/>
          <w:cols w:space="425" w:num="1"/>
          <w:docGrid w:type="lines" w:linePitch="312" w:charSpace="0"/>
        </w:sectPr>
      </w:pPr>
    </w:p>
    <w:p w14:paraId="043E20BD">
      <w:pPr>
        <w:pStyle w:val="2"/>
        <w:jc w:val="both"/>
      </w:pPr>
      <w:bookmarkStart w:id="0" w:name="_Toc25144"/>
      <w:r>
        <w:rPr>
          <w:rFonts w:hint="eastAsia"/>
        </w:rPr>
        <w:t>目录</w:t>
      </w:r>
      <w:bookmarkEnd w:id="0"/>
    </w:p>
    <w:p w14:paraId="0CE0C0CB">
      <w:pPr>
        <w:pStyle w:val="14"/>
        <w:tabs>
          <w:tab w:val="right" w:leader="dot" w:pos="8306"/>
          <w:tab w:val="clear" w:pos="8296"/>
        </w:tabs>
      </w:pPr>
      <w:r>
        <w:rPr>
          <w:rFonts w:ascii="微软雅黑" w:hAnsi="微软雅黑" w:eastAsia="微软雅黑"/>
          <w:sz w:val="21"/>
          <w:szCs w:val="21"/>
        </w:rPr>
        <w:fldChar w:fldCharType="begin"/>
      </w:r>
      <w:r>
        <w:rPr>
          <w:rFonts w:ascii="微软雅黑" w:hAnsi="微软雅黑" w:eastAsia="微软雅黑"/>
          <w:sz w:val="21"/>
          <w:szCs w:val="21"/>
        </w:rPr>
        <w:instrText xml:space="preserve"> TOC \o "1-3" \h \z \u </w:instrText>
      </w:r>
      <w:r>
        <w:rPr>
          <w:rFonts w:ascii="微软雅黑" w:hAnsi="微软雅黑" w:eastAsia="微软雅黑"/>
          <w:sz w:val="21"/>
          <w:szCs w:val="21"/>
        </w:rPr>
        <w:fldChar w:fldCharType="separate"/>
      </w:r>
      <w:r>
        <w:rPr>
          <w:rFonts w:ascii="微软雅黑" w:hAnsi="微软雅黑" w:eastAsia="微软雅黑"/>
          <w:szCs w:val="21"/>
        </w:rPr>
        <w:fldChar w:fldCharType="begin"/>
      </w:r>
      <w:r>
        <w:rPr>
          <w:rFonts w:ascii="微软雅黑" w:hAnsi="微软雅黑" w:eastAsia="微软雅黑"/>
          <w:szCs w:val="21"/>
        </w:rPr>
        <w:instrText xml:space="preserve"> HYPERLINK \l _Toc25144 </w:instrText>
      </w:r>
      <w:r>
        <w:rPr>
          <w:rFonts w:ascii="微软雅黑" w:hAnsi="微软雅黑" w:eastAsia="微软雅黑"/>
          <w:szCs w:val="21"/>
        </w:rPr>
        <w:fldChar w:fldCharType="separate"/>
      </w:r>
      <w:r>
        <w:rPr>
          <w:rFonts w:hint="eastAsia"/>
        </w:rPr>
        <w:t>目录</w:t>
      </w:r>
      <w:r>
        <w:tab/>
      </w:r>
      <w:r>
        <w:fldChar w:fldCharType="begin"/>
      </w:r>
      <w:r>
        <w:instrText xml:space="preserve"> PAGEREF _Toc25144 \h </w:instrText>
      </w:r>
      <w:r>
        <w:fldChar w:fldCharType="separate"/>
      </w:r>
      <w:r>
        <w:t>1</w:t>
      </w:r>
      <w:r>
        <w:fldChar w:fldCharType="end"/>
      </w:r>
      <w:r>
        <w:rPr>
          <w:rFonts w:ascii="微软雅黑" w:hAnsi="微软雅黑" w:eastAsia="微软雅黑"/>
          <w:szCs w:val="21"/>
        </w:rPr>
        <w:fldChar w:fldCharType="end"/>
      </w:r>
    </w:p>
    <w:p w14:paraId="5E8A01DD">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_Toc31921 </w:instrText>
      </w:r>
      <w:r>
        <w:rPr>
          <w:rFonts w:ascii="微软雅黑" w:hAnsi="微软雅黑" w:eastAsia="微软雅黑"/>
          <w:szCs w:val="28"/>
        </w:rPr>
        <w:fldChar w:fldCharType="separate"/>
      </w:r>
      <w:r>
        <w:rPr>
          <w:rFonts w:hint="eastAsia"/>
        </w:rPr>
        <w:t>重点.关注</w:t>
      </w:r>
      <w:r>
        <w:tab/>
      </w:r>
      <w:r>
        <w:fldChar w:fldCharType="begin"/>
      </w:r>
      <w:r>
        <w:instrText xml:space="preserve"> PAGEREF _Toc31921 \h </w:instrText>
      </w:r>
      <w:r>
        <w:fldChar w:fldCharType="separate"/>
      </w:r>
      <w:r>
        <w:t>2</w:t>
      </w:r>
      <w:r>
        <w:fldChar w:fldCharType="end"/>
      </w:r>
      <w:r>
        <w:rPr>
          <w:rFonts w:ascii="微软雅黑" w:hAnsi="微软雅黑" w:eastAsia="微软雅黑"/>
          <w:szCs w:val="28"/>
        </w:rPr>
        <w:fldChar w:fldCharType="end"/>
      </w:r>
    </w:p>
    <w:p w14:paraId="4E48A677">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_Toc28569 </w:instrText>
      </w:r>
      <w:r>
        <w:rPr>
          <w:rFonts w:ascii="微软雅黑" w:hAnsi="微软雅黑" w:eastAsia="微软雅黑"/>
          <w:szCs w:val="28"/>
        </w:rPr>
        <w:fldChar w:fldCharType="separate"/>
      </w:r>
      <w:r>
        <w:rPr>
          <w:rFonts w:hint="default"/>
        </w:rPr>
        <w:t xml:space="preserve">(1) </w:t>
      </w:r>
      <w:r>
        <w:rPr>
          <w:rFonts w:hint="eastAsia"/>
        </w:rPr>
        <w:t>《中共中央关于制定国民经济和社会发展第十五个五年规划的建议》</w:t>
      </w:r>
      <w:r>
        <w:tab/>
      </w:r>
      <w:r>
        <w:fldChar w:fldCharType="begin"/>
      </w:r>
      <w:r>
        <w:instrText xml:space="preserve"> PAGEREF _Toc28569 \h </w:instrText>
      </w:r>
      <w:r>
        <w:fldChar w:fldCharType="separate"/>
      </w:r>
      <w:r>
        <w:t>2</w:t>
      </w:r>
      <w:r>
        <w:fldChar w:fldCharType="end"/>
      </w:r>
      <w:r>
        <w:rPr>
          <w:rFonts w:ascii="微软雅黑" w:hAnsi="微软雅黑" w:eastAsia="微软雅黑"/>
          <w:szCs w:val="28"/>
        </w:rPr>
        <w:fldChar w:fldCharType="end"/>
      </w:r>
    </w:p>
    <w:p w14:paraId="351037CA">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_Toc14167 </w:instrText>
      </w:r>
      <w:r>
        <w:rPr>
          <w:rFonts w:ascii="微软雅黑" w:hAnsi="微软雅黑" w:eastAsia="微软雅黑"/>
          <w:szCs w:val="28"/>
        </w:rPr>
        <w:fldChar w:fldCharType="separate"/>
      </w:r>
      <w:r>
        <w:rPr>
          <w:rFonts w:hint="eastAsia"/>
        </w:rPr>
        <w:t>政策.速递</w:t>
      </w:r>
      <w:r>
        <w:tab/>
      </w:r>
      <w:r>
        <w:fldChar w:fldCharType="begin"/>
      </w:r>
      <w:r>
        <w:instrText xml:space="preserve"> PAGEREF _Toc14167 \h </w:instrText>
      </w:r>
      <w:r>
        <w:fldChar w:fldCharType="separate"/>
      </w:r>
      <w:r>
        <w:t>2</w:t>
      </w:r>
      <w:r>
        <w:fldChar w:fldCharType="end"/>
      </w:r>
      <w:r>
        <w:rPr>
          <w:rFonts w:ascii="微软雅黑" w:hAnsi="微软雅黑" w:eastAsia="微软雅黑"/>
          <w:szCs w:val="28"/>
        </w:rPr>
        <w:fldChar w:fldCharType="end"/>
      </w:r>
    </w:p>
    <w:p w14:paraId="041DFFC1">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_Toc2155 </w:instrText>
      </w:r>
      <w:r>
        <w:rPr>
          <w:rFonts w:ascii="微软雅黑" w:hAnsi="微软雅黑" w:eastAsia="微软雅黑"/>
          <w:szCs w:val="28"/>
        </w:rPr>
        <w:fldChar w:fldCharType="separate"/>
      </w:r>
      <w:r>
        <w:rPr>
          <w:rFonts w:hint="eastAsia"/>
        </w:rPr>
        <w:t>中央</w:t>
      </w:r>
      <w:r>
        <w:tab/>
      </w:r>
      <w:r>
        <w:fldChar w:fldCharType="begin"/>
      </w:r>
      <w:r>
        <w:instrText xml:space="preserve"> PAGEREF _Toc2155 \h </w:instrText>
      </w:r>
      <w:r>
        <w:fldChar w:fldCharType="separate"/>
      </w:r>
      <w:r>
        <w:t>2</w:t>
      </w:r>
      <w:r>
        <w:fldChar w:fldCharType="end"/>
      </w:r>
      <w:r>
        <w:rPr>
          <w:rFonts w:ascii="微软雅黑" w:hAnsi="微软雅黑" w:eastAsia="微软雅黑"/>
          <w:szCs w:val="28"/>
        </w:rPr>
        <w:fldChar w:fldCharType="end"/>
      </w:r>
    </w:p>
    <w:p w14:paraId="75396732">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_Toc16187 </w:instrText>
      </w:r>
      <w:r>
        <w:rPr>
          <w:rFonts w:ascii="微软雅黑" w:hAnsi="微软雅黑" w:eastAsia="微软雅黑"/>
          <w:szCs w:val="28"/>
        </w:rPr>
        <w:fldChar w:fldCharType="separate"/>
      </w:r>
      <w:r>
        <w:rPr>
          <w:rFonts w:hint="default"/>
        </w:rPr>
        <w:t xml:space="preserve">(1) </w:t>
      </w:r>
      <w:r>
        <w:rPr>
          <w:rFonts w:hint="eastAsia"/>
        </w:rPr>
        <w:t>《关于印发第一批高质量户外运动目的地建设地区名单的通知》</w:t>
      </w:r>
      <w:r>
        <w:tab/>
      </w:r>
      <w:r>
        <w:fldChar w:fldCharType="begin"/>
      </w:r>
      <w:r>
        <w:instrText xml:space="preserve"> PAGEREF _Toc16187 \h </w:instrText>
      </w:r>
      <w:r>
        <w:fldChar w:fldCharType="separate"/>
      </w:r>
      <w:r>
        <w:t>2</w:t>
      </w:r>
      <w:r>
        <w:fldChar w:fldCharType="end"/>
      </w:r>
      <w:r>
        <w:rPr>
          <w:rFonts w:ascii="微软雅黑" w:hAnsi="微软雅黑" w:eastAsia="微软雅黑"/>
          <w:szCs w:val="28"/>
        </w:rPr>
        <w:fldChar w:fldCharType="end"/>
      </w:r>
    </w:p>
    <w:p w14:paraId="0BDBD258">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_Toc29655 </w:instrText>
      </w:r>
      <w:r>
        <w:rPr>
          <w:rFonts w:ascii="微软雅黑" w:hAnsi="微软雅黑" w:eastAsia="微软雅黑"/>
          <w:szCs w:val="28"/>
        </w:rPr>
        <w:fldChar w:fldCharType="separate"/>
      </w:r>
      <w:r>
        <w:rPr>
          <w:rFonts w:hint="default"/>
        </w:rPr>
        <w:t xml:space="preserve">(2) </w:t>
      </w:r>
      <w:r>
        <w:rPr>
          <w:rFonts w:hint="eastAsia"/>
        </w:rPr>
        <w:t>《城市商业提质行动方案》</w:t>
      </w:r>
      <w:r>
        <w:tab/>
      </w:r>
      <w:r>
        <w:fldChar w:fldCharType="begin"/>
      </w:r>
      <w:r>
        <w:instrText xml:space="preserve"> PAGEREF _Toc29655 \h </w:instrText>
      </w:r>
      <w:r>
        <w:fldChar w:fldCharType="separate"/>
      </w:r>
      <w:r>
        <w:t>3</w:t>
      </w:r>
      <w:r>
        <w:fldChar w:fldCharType="end"/>
      </w:r>
      <w:r>
        <w:rPr>
          <w:rFonts w:ascii="微软雅黑" w:hAnsi="微软雅黑" w:eastAsia="微软雅黑"/>
          <w:szCs w:val="28"/>
        </w:rPr>
        <w:fldChar w:fldCharType="end"/>
      </w:r>
    </w:p>
    <w:p w14:paraId="1E02D65D">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_Toc1358 </w:instrText>
      </w:r>
      <w:r>
        <w:rPr>
          <w:rFonts w:ascii="微软雅黑" w:hAnsi="微软雅黑" w:eastAsia="微软雅黑"/>
          <w:szCs w:val="28"/>
        </w:rPr>
        <w:fldChar w:fldCharType="separate"/>
      </w:r>
      <w:r>
        <w:rPr>
          <w:rFonts w:hint="default"/>
        </w:rPr>
        <w:t xml:space="preserve">(3) </w:t>
      </w:r>
      <w:r>
        <w:rPr>
          <w:rFonts w:hint="eastAsia"/>
        </w:rPr>
        <w:t>《国家中小企业公共服务示范平台（基地）创建管理办法》</w:t>
      </w:r>
      <w:r>
        <w:tab/>
      </w:r>
      <w:r>
        <w:fldChar w:fldCharType="begin"/>
      </w:r>
      <w:r>
        <w:instrText xml:space="preserve"> PAGEREF _Toc1358 \h </w:instrText>
      </w:r>
      <w:r>
        <w:fldChar w:fldCharType="separate"/>
      </w:r>
      <w:r>
        <w:t>3</w:t>
      </w:r>
      <w:r>
        <w:fldChar w:fldCharType="end"/>
      </w:r>
      <w:r>
        <w:rPr>
          <w:rFonts w:ascii="微软雅黑" w:hAnsi="微软雅黑" w:eastAsia="微软雅黑"/>
          <w:szCs w:val="28"/>
        </w:rPr>
        <w:fldChar w:fldCharType="end"/>
      </w:r>
    </w:p>
    <w:p w14:paraId="0D938AFD">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_Toc21429 </w:instrText>
      </w:r>
      <w:r>
        <w:rPr>
          <w:rFonts w:ascii="微软雅黑" w:hAnsi="微软雅黑" w:eastAsia="微软雅黑"/>
          <w:szCs w:val="28"/>
        </w:rPr>
        <w:fldChar w:fldCharType="separate"/>
      </w:r>
      <w:r>
        <w:rPr>
          <w:rFonts w:hint="default"/>
        </w:rPr>
        <w:t xml:space="preserve">(4) </w:t>
      </w:r>
      <w:r>
        <w:rPr>
          <w:rFonts w:hint="eastAsia"/>
        </w:rPr>
        <w:t>《关于开展创新积分制“揭榜挂帅”的通知》</w:t>
      </w:r>
      <w:r>
        <w:tab/>
      </w:r>
      <w:r>
        <w:fldChar w:fldCharType="begin"/>
      </w:r>
      <w:r>
        <w:instrText xml:space="preserve"> PAGEREF _Toc21429 \h </w:instrText>
      </w:r>
      <w:r>
        <w:fldChar w:fldCharType="separate"/>
      </w:r>
      <w:r>
        <w:t>3</w:t>
      </w:r>
      <w:r>
        <w:fldChar w:fldCharType="end"/>
      </w:r>
      <w:r>
        <w:rPr>
          <w:rFonts w:ascii="微软雅黑" w:hAnsi="微软雅黑" w:eastAsia="微软雅黑"/>
          <w:szCs w:val="28"/>
        </w:rPr>
        <w:fldChar w:fldCharType="end"/>
      </w:r>
    </w:p>
    <w:p w14:paraId="1B728BC4">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_Toc28174 </w:instrText>
      </w:r>
      <w:r>
        <w:rPr>
          <w:rFonts w:ascii="微软雅黑" w:hAnsi="微软雅黑" w:eastAsia="微软雅黑"/>
          <w:szCs w:val="28"/>
        </w:rPr>
        <w:fldChar w:fldCharType="separate"/>
      </w:r>
      <w:r>
        <w:rPr>
          <w:rFonts w:hint="default"/>
        </w:rPr>
        <w:t xml:space="preserve">(5) </w:t>
      </w:r>
      <w:r>
        <w:rPr>
          <w:rFonts w:hint="eastAsia"/>
        </w:rPr>
        <w:t>《“创新积分制”工作指引（2.0版）（全国试行版）》</w:t>
      </w:r>
      <w:r>
        <w:tab/>
      </w:r>
      <w:r>
        <w:fldChar w:fldCharType="begin"/>
      </w:r>
      <w:r>
        <w:instrText xml:space="preserve"> PAGEREF _Toc28174 \h </w:instrText>
      </w:r>
      <w:r>
        <w:fldChar w:fldCharType="separate"/>
      </w:r>
      <w:r>
        <w:t>4</w:t>
      </w:r>
      <w:r>
        <w:fldChar w:fldCharType="end"/>
      </w:r>
      <w:r>
        <w:rPr>
          <w:rFonts w:ascii="微软雅黑" w:hAnsi="微软雅黑" w:eastAsia="微软雅黑"/>
          <w:szCs w:val="28"/>
        </w:rPr>
        <w:fldChar w:fldCharType="end"/>
      </w:r>
    </w:p>
    <w:p w14:paraId="4BFFE3CE">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_Toc9348 </w:instrText>
      </w:r>
      <w:r>
        <w:rPr>
          <w:rFonts w:ascii="微软雅黑" w:hAnsi="微软雅黑" w:eastAsia="微软雅黑"/>
          <w:szCs w:val="28"/>
        </w:rPr>
        <w:fldChar w:fldCharType="separate"/>
      </w:r>
      <w:r>
        <w:rPr>
          <w:rFonts w:hint="eastAsia"/>
        </w:rPr>
        <w:t>湖北省</w:t>
      </w:r>
      <w:r>
        <w:tab/>
      </w:r>
      <w:r>
        <w:fldChar w:fldCharType="begin"/>
      </w:r>
      <w:r>
        <w:instrText xml:space="preserve"> PAGEREF _Toc9348 \h </w:instrText>
      </w:r>
      <w:r>
        <w:fldChar w:fldCharType="separate"/>
      </w:r>
      <w:r>
        <w:t>4</w:t>
      </w:r>
      <w:r>
        <w:fldChar w:fldCharType="end"/>
      </w:r>
      <w:r>
        <w:rPr>
          <w:rFonts w:ascii="微软雅黑" w:hAnsi="微软雅黑" w:eastAsia="微软雅黑"/>
          <w:szCs w:val="28"/>
        </w:rPr>
        <w:fldChar w:fldCharType="end"/>
      </w:r>
    </w:p>
    <w:p w14:paraId="6C50FBD2">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_Toc28176 </w:instrText>
      </w:r>
      <w:r>
        <w:rPr>
          <w:rFonts w:ascii="微软雅黑" w:hAnsi="微软雅黑" w:eastAsia="微软雅黑"/>
          <w:szCs w:val="28"/>
        </w:rPr>
        <w:fldChar w:fldCharType="separate"/>
      </w:r>
      <w:r>
        <w:rPr>
          <w:rFonts w:hint="default"/>
        </w:rPr>
        <w:t xml:space="preserve">(1) </w:t>
      </w:r>
      <w:r>
        <w:rPr>
          <w:rFonts w:hint="eastAsia"/>
        </w:rPr>
        <w:t>《湖北省公共数据资源授权运营实施办法（试行）》</w:t>
      </w:r>
      <w:r>
        <w:tab/>
      </w:r>
      <w:r>
        <w:fldChar w:fldCharType="begin"/>
      </w:r>
      <w:r>
        <w:instrText xml:space="preserve"> PAGEREF _Toc28176 \h </w:instrText>
      </w:r>
      <w:r>
        <w:fldChar w:fldCharType="separate"/>
      </w:r>
      <w:r>
        <w:t>4</w:t>
      </w:r>
      <w:r>
        <w:fldChar w:fldCharType="end"/>
      </w:r>
      <w:r>
        <w:rPr>
          <w:rFonts w:ascii="微软雅黑" w:hAnsi="微软雅黑" w:eastAsia="微软雅黑"/>
          <w:szCs w:val="28"/>
        </w:rPr>
        <w:fldChar w:fldCharType="end"/>
      </w:r>
    </w:p>
    <w:p w14:paraId="21590699">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_Toc4690 </w:instrText>
      </w:r>
      <w:r>
        <w:rPr>
          <w:rFonts w:ascii="微软雅黑" w:hAnsi="微软雅黑" w:eastAsia="微软雅黑"/>
          <w:szCs w:val="28"/>
        </w:rPr>
        <w:fldChar w:fldCharType="separate"/>
      </w:r>
      <w:r>
        <w:rPr>
          <w:rFonts w:hint="default"/>
        </w:rPr>
        <w:t xml:space="preserve">(2) </w:t>
      </w:r>
      <w:r>
        <w:rPr>
          <w:rFonts w:hint="eastAsia"/>
        </w:rPr>
        <w:t>《关于开展2025年度省级制造业高质量发展专项“揭榜挂帅”项目申报工作的通知》</w:t>
      </w:r>
      <w:r>
        <w:tab/>
      </w:r>
      <w:r>
        <w:fldChar w:fldCharType="begin"/>
      </w:r>
      <w:r>
        <w:instrText xml:space="preserve"> PAGEREF _Toc4690 \h </w:instrText>
      </w:r>
      <w:r>
        <w:fldChar w:fldCharType="separate"/>
      </w:r>
      <w:r>
        <w:t>5</w:t>
      </w:r>
      <w:r>
        <w:fldChar w:fldCharType="end"/>
      </w:r>
      <w:r>
        <w:rPr>
          <w:rFonts w:ascii="微软雅黑" w:hAnsi="微软雅黑" w:eastAsia="微软雅黑"/>
          <w:szCs w:val="28"/>
        </w:rPr>
        <w:fldChar w:fldCharType="end"/>
      </w:r>
      <w:bookmarkStart w:id="16" w:name="_GoBack"/>
      <w:bookmarkEnd w:id="16"/>
    </w:p>
    <w:p w14:paraId="4409F8D0">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_Toc3018 </w:instrText>
      </w:r>
      <w:r>
        <w:rPr>
          <w:rFonts w:ascii="微软雅黑" w:hAnsi="微软雅黑" w:eastAsia="微软雅黑"/>
          <w:szCs w:val="28"/>
        </w:rPr>
        <w:fldChar w:fldCharType="separate"/>
      </w:r>
      <w:r>
        <w:rPr>
          <w:rFonts w:hint="eastAsia"/>
        </w:rPr>
        <w:t>热点.资讯</w:t>
      </w:r>
      <w:r>
        <w:tab/>
      </w:r>
      <w:r>
        <w:fldChar w:fldCharType="begin"/>
      </w:r>
      <w:r>
        <w:instrText xml:space="preserve"> PAGEREF _Toc3018 \h </w:instrText>
      </w:r>
      <w:r>
        <w:fldChar w:fldCharType="separate"/>
      </w:r>
      <w:r>
        <w:t>5</w:t>
      </w:r>
      <w:r>
        <w:fldChar w:fldCharType="end"/>
      </w:r>
      <w:r>
        <w:rPr>
          <w:rFonts w:ascii="微软雅黑" w:hAnsi="微软雅黑" w:eastAsia="微软雅黑"/>
          <w:szCs w:val="28"/>
        </w:rPr>
        <w:fldChar w:fldCharType="end"/>
      </w:r>
    </w:p>
    <w:p w14:paraId="7171EB90">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_Toc29140 </w:instrText>
      </w:r>
      <w:r>
        <w:rPr>
          <w:rFonts w:ascii="微软雅黑" w:hAnsi="微软雅黑" w:eastAsia="微软雅黑"/>
          <w:szCs w:val="28"/>
        </w:rPr>
        <w:fldChar w:fldCharType="separate"/>
      </w:r>
      <w:r>
        <w:rPr>
          <w:rFonts w:hint="default"/>
        </w:rPr>
        <w:t xml:space="preserve">(1) </w:t>
      </w:r>
      <w:r>
        <w:rPr>
          <w:rFonts w:hint="eastAsia"/>
        </w:rPr>
        <w:t>湖北省自主安全计算产业联盟在光谷成立</w:t>
      </w:r>
      <w:r>
        <w:tab/>
      </w:r>
      <w:r>
        <w:fldChar w:fldCharType="begin"/>
      </w:r>
      <w:r>
        <w:instrText xml:space="preserve"> PAGEREF _Toc29140 \h </w:instrText>
      </w:r>
      <w:r>
        <w:fldChar w:fldCharType="separate"/>
      </w:r>
      <w:r>
        <w:t>5</w:t>
      </w:r>
      <w:r>
        <w:fldChar w:fldCharType="end"/>
      </w:r>
      <w:r>
        <w:rPr>
          <w:rFonts w:ascii="微软雅黑" w:hAnsi="微软雅黑" w:eastAsia="微软雅黑"/>
          <w:szCs w:val="28"/>
        </w:rPr>
        <w:fldChar w:fldCharType="end"/>
      </w:r>
    </w:p>
    <w:p w14:paraId="443897F5">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_Toc30930 </w:instrText>
      </w:r>
      <w:r>
        <w:rPr>
          <w:rFonts w:ascii="微软雅黑" w:hAnsi="微软雅黑" w:eastAsia="微软雅黑"/>
          <w:szCs w:val="28"/>
        </w:rPr>
        <w:fldChar w:fldCharType="separate"/>
      </w:r>
      <w:r>
        <w:rPr>
          <w:rFonts w:hint="default"/>
        </w:rPr>
        <w:t xml:space="preserve">(2) </w:t>
      </w:r>
      <w:r>
        <w:rPr>
          <w:rFonts w:hint="eastAsia"/>
        </w:rPr>
        <w:t>王忠林主持研究“十五五”规划建议起草工作</w:t>
      </w:r>
      <w:r>
        <w:tab/>
      </w:r>
      <w:r>
        <w:fldChar w:fldCharType="begin"/>
      </w:r>
      <w:r>
        <w:instrText xml:space="preserve"> PAGEREF _Toc30930 \h </w:instrText>
      </w:r>
      <w:r>
        <w:fldChar w:fldCharType="separate"/>
      </w:r>
      <w:r>
        <w:t>6</w:t>
      </w:r>
      <w:r>
        <w:fldChar w:fldCharType="end"/>
      </w:r>
      <w:r>
        <w:rPr>
          <w:rFonts w:ascii="微软雅黑" w:hAnsi="微软雅黑" w:eastAsia="微软雅黑"/>
          <w:szCs w:val="28"/>
        </w:rPr>
        <w:fldChar w:fldCharType="end"/>
      </w:r>
    </w:p>
    <w:p w14:paraId="1C0A0989">
      <w:pPr>
        <w:snapToGrid w:val="0"/>
        <w:spacing w:line="360" w:lineRule="auto"/>
        <w:jc w:val="both"/>
      </w:pPr>
      <w:r>
        <w:rPr>
          <w:rFonts w:ascii="微软雅黑" w:hAnsi="微软雅黑" w:eastAsia="微软雅黑"/>
          <w:szCs w:val="28"/>
        </w:rPr>
        <w:fldChar w:fldCharType="end"/>
      </w:r>
    </w:p>
    <w:p w14:paraId="187ABEAE">
      <w:pPr>
        <w:snapToGrid w:val="0"/>
        <w:spacing w:line="360" w:lineRule="auto"/>
        <w:jc w:val="both"/>
        <w:rPr>
          <w:rFonts w:ascii="方正小标宋简体" w:hAnsi="方正小标宋简体" w:eastAsia="方正小标宋简体" w:cs="方正小标宋简体"/>
          <w:b/>
          <w:kern w:val="44"/>
          <w:sz w:val="32"/>
          <w:szCs w:val="32"/>
        </w:rPr>
      </w:pPr>
      <w:r>
        <w:br w:type="page"/>
      </w:r>
    </w:p>
    <w:p w14:paraId="596FFC90">
      <w:pPr>
        <w:pStyle w:val="32"/>
        <w:jc w:val="both"/>
      </w:pPr>
    </w:p>
    <w:p w14:paraId="393FEC4A">
      <w:pPr>
        <w:pStyle w:val="2"/>
        <w:rPr>
          <w:rFonts w:hint="eastAsia"/>
        </w:rPr>
      </w:pPr>
      <w:bookmarkStart w:id="1" w:name="_Toc31921"/>
      <w:r>
        <w:rPr>
          <w:rFonts w:hint="eastAsia"/>
        </w:rPr>
        <w:t>重点.关注</w:t>
      </w:r>
      <w:bookmarkEnd w:id="1"/>
    </w:p>
    <w:p w14:paraId="4B34079A">
      <w:pPr>
        <w:pStyle w:val="4"/>
        <w:bidi w:val="0"/>
        <w:rPr>
          <w:rFonts w:hint="eastAsia"/>
        </w:rPr>
      </w:pPr>
      <w:bookmarkStart w:id="2" w:name="_Toc28569"/>
      <w:r>
        <w:rPr>
          <w:rFonts w:hint="eastAsia"/>
        </w:rPr>
        <w:t>《中共中央关于制定国民经济和社会发展第十五个五年规划的建议》</w:t>
      </w:r>
      <w:bookmarkEnd w:id="2"/>
    </w:p>
    <w:p w14:paraId="299A88B2">
      <w:pPr>
        <w:rPr>
          <w:rFonts w:hint="eastAsia"/>
        </w:rPr>
      </w:pPr>
    </w:p>
    <w:p w14:paraId="680F7602">
      <w:pPr>
        <w:rPr>
          <w:rFonts w:hint="eastAsia"/>
        </w:rPr>
      </w:pPr>
      <w:r>
        <w:rPr>
          <w:rFonts w:hint="eastAsia"/>
        </w:rPr>
        <w:t>10月28日，《中共中央关于制定国民经济和社会发展第十五个五年规划的建议》公布</w:t>
      </w:r>
      <w:r>
        <w:rPr>
          <w:rFonts w:hint="eastAsia"/>
          <w:lang w:eastAsia="zh-CN"/>
        </w:rPr>
        <w:t>。《建议》稿由15个部分构成，分为三大板块。第一板块包括第一、第二2个部分，为总论，主要阐述“十四五”时期我国发展取得重大成就、“十五五”时期在基本实现社会主义现代化进程中具有承前启后的重要地位、“十五五”时期我国发展环境面临深刻复杂变化、“十五五”时期经济社会发展的指导思想、遵循的原则和主要目标等内容。第二板块包括第三至第十四12个部分，为分论，主要瞄准关系全局和长远的重点问题，分领域部署“十五五”时期的战略任务和重大举措，明确从产业发展、科技创新、国内市场、经济体制、对外开放、乡村振兴、区域发展，到文化建设、民生保障、绿色发展、安全发展、国防建设等重点领域的思路和重点工作。第三板块包括第十五部分和结束语，主要部署坚持和加强党中央集中统一领导、推进社会主义民主法治建设、港澳台工作、推动构建人类命运共同体、充分调动全社会积极性主动性创造性等任务。</w:t>
      </w:r>
    </w:p>
    <w:p w14:paraId="5F1E16D0">
      <w:pPr>
        <w:rPr>
          <w:rFonts w:hint="eastAsia"/>
        </w:rPr>
      </w:pPr>
    </w:p>
    <w:p w14:paraId="792CB9C0">
      <w:pPr>
        <w:rPr>
          <w:rFonts w:hint="eastAsia"/>
        </w:rPr>
      </w:pPr>
      <w:r>
        <w:rPr>
          <w:rFonts w:hint="eastAsia"/>
        </w:rPr>
        <w:t>发文日期:2025年10月29日</w:t>
      </w:r>
    </w:p>
    <w:p w14:paraId="689AD4E7">
      <w:pPr>
        <w:rPr>
          <w:rFonts w:hint="eastAsia"/>
        </w:rPr>
      </w:pPr>
      <w:r>
        <w:rPr>
          <w:rFonts w:hint="eastAsia"/>
        </w:rPr>
        <w:t>发文单位:中国政府网</w:t>
      </w:r>
    </w:p>
    <w:p w14:paraId="0DE763A0">
      <w:pPr>
        <w:rPr>
          <w:rFonts w:hint="eastAsia"/>
        </w:rPr>
      </w:pPr>
      <w:r>
        <w:rPr>
          <w:rFonts w:hint="eastAsia"/>
        </w:rPr>
        <w:t>原文链接:https://mp.weixin.qq.com/s/zFEEp6BftzDHbAagSsUL8A</w:t>
      </w:r>
    </w:p>
    <w:p w14:paraId="193E0DE6">
      <w:pPr>
        <w:rPr>
          <w:rFonts w:hint="eastAsia"/>
        </w:rPr>
      </w:pPr>
    </w:p>
    <w:p w14:paraId="44FD0766"/>
    <w:p w14:paraId="49D1BEB6">
      <w:pPr>
        <w:pStyle w:val="2"/>
      </w:pPr>
      <w:bookmarkStart w:id="3" w:name="_Toc14167"/>
      <w:r>
        <w:rPr>
          <w:rFonts w:hint="eastAsia"/>
        </w:rPr>
        <w:t>政策.速递</w:t>
      </w:r>
      <w:bookmarkEnd w:id="3"/>
    </w:p>
    <w:p w14:paraId="28CEEA8D">
      <w:pPr>
        <w:pStyle w:val="3"/>
      </w:pPr>
      <w:bookmarkStart w:id="4" w:name="_Toc2155"/>
      <w:r>
        <w:rPr>
          <w:rFonts w:hint="eastAsia"/>
        </w:rPr>
        <w:t>中央</w:t>
      </w:r>
      <w:bookmarkEnd w:id="4"/>
      <w:r>
        <w:rPr>
          <w:rFonts w:hint="eastAsia"/>
        </w:rPr>
        <w:t xml:space="preserve"> </w:t>
      </w:r>
    </w:p>
    <w:p w14:paraId="7538CBD9">
      <w:pPr>
        <w:rPr>
          <w:rFonts w:hint="eastAsia"/>
        </w:rPr>
      </w:pPr>
    </w:p>
    <w:p w14:paraId="34E8EC17">
      <w:pPr>
        <w:pStyle w:val="4"/>
        <w:numPr>
          <w:ilvl w:val="0"/>
          <w:numId w:val="2"/>
        </w:numPr>
        <w:bidi w:val="0"/>
        <w:rPr>
          <w:rFonts w:hint="eastAsia"/>
        </w:rPr>
      </w:pPr>
      <w:bookmarkStart w:id="5" w:name="_Toc16187"/>
      <w:r>
        <w:rPr>
          <w:rFonts w:hint="eastAsia"/>
        </w:rPr>
        <w:t>《关于印发第一批高质量户外运动目的地建设地区名单的通知》</w:t>
      </w:r>
      <w:bookmarkEnd w:id="5"/>
    </w:p>
    <w:p w14:paraId="29C7A773">
      <w:pPr>
        <w:rPr>
          <w:rFonts w:hint="eastAsia"/>
        </w:rPr>
      </w:pPr>
    </w:p>
    <w:p w14:paraId="0555309E">
      <w:pPr>
        <w:rPr>
          <w:rFonts w:hint="eastAsia"/>
        </w:rPr>
      </w:pPr>
      <w:r>
        <w:rPr>
          <w:rFonts w:hint="eastAsia"/>
        </w:rPr>
        <w:t>近日，国家发展改革委、体育总局等多部门联合印发《通知》，确定49个地区纳入第一批高质量户外运动目的地建设名单，予以重点支持。《通知》强调，建设地区需坚持“先规划后建设”和生态优先原则，严守生态红线及法律法规，实现发展与自然环境和谐共生。同时，要提升配套公共服务水平，增强安全保障与应急救援能力，并结合项目指南开展储备工作。目的地所在体育部门应丰富赛事活动，积极引入社会力量参与管理运营。下一步，国家发展改革委、体育总局等部门将在资金、赛事培育、宣传推广等方面加大支持力度，并适时启动后续批次建设，以高质量户外运动目的地为抓手，促进产业高质量发展。</w:t>
      </w:r>
    </w:p>
    <w:p w14:paraId="037BF324">
      <w:pPr>
        <w:rPr>
          <w:rFonts w:hint="eastAsia"/>
        </w:rPr>
      </w:pPr>
    </w:p>
    <w:p w14:paraId="69CE2310">
      <w:pPr>
        <w:rPr>
          <w:rFonts w:hint="eastAsia"/>
        </w:rPr>
      </w:pPr>
      <w:r>
        <w:rPr>
          <w:rFonts w:hint="eastAsia"/>
        </w:rPr>
        <w:t>发文日期:2025年10月24日</w:t>
      </w:r>
    </w:p>
    <w:p w14:paraId="0D936B87">
      <w:pPr>
        <w:rPr>
          <w:rFonts w:hint="eastAsia"/>
        </w:rPr>
      </w:pPr>
      <w:r>
        <w:rPr>
          <w:rFonts w:hint="eastAsia"/>
        </w:rPr>
        <w:t>发文单位:国家发展改革委、体育总局、自然资源部、住房城乡建设部、水利部、国家林草局</w:t>
      </w:r>
    </w:p>
    <w:p w14:paraId="170D1087">
      <w:pPr>
        <w:rPr>
          <w:rFonts w:hint="eastAsia"/>
        </w:rPr>
      </w:pPr>
      <w:r>
        <w:rPr>
          <w:rFonts w:hint="eastAsia"/>
        </w:rPr>
        <w:t>原文链接:https://mp.weixin.qq.com/s/5ipjeQk-3U4ZtE7RVa0e6g</w:t>
      </w:r>
    </w:p>
    <w:p w14:paraId="2372767B">
      <w:pPr>
        <w:rPr>
          <w:rFonts w:hint="eastAsia"/>
        </w:rPr>
      </w:pPr>
    </w:p>
    <w:p w14:paraId="0CD346C4">
      <w:pPr>
        <w:pStyle w:val="4"/>
        <w:numPr>
          <w:ilvl w:val="0"/>
          <w:numId w:val="2"/>
        </w:numPr>
        <w:bidi w:val="0"/>
        <w:rPr>
          <w:rFonts w:hint="eastAsia"/>
        </w:rPr>
      </w:pPr>
      <w:bookmarkStart w:id="6" w:name="_Toc29655"/>
      <w:r>
        <w:rPr>
          <w:rFonts w:hint="eastAsia"/>
        </w:rPr>
        <w:t>《城市商业提质行动方案》</w:t>
      </w:r>
      <w:bookmarkEnd w:id="6"/>
    </w:p>
    <w:p w14:paraId="4C073E9C">
      <w:pPr>
        <w:rPr>
          <w:rFonts w:hint="eastAsia"/>
        </w:rPr>
      </w:pPr>
    </w:p>
    <w:p w14:paraId="2CD5CB7A">
      <w:pPr>
        <w:rPr>
          <w:rFonts w:hint="eastAsia"/>
        </w:rPr>
      </w:pPr>
      <w:r>
        <w:rPr>
          <w:rFonts w:hint="eastAsia"/>
        </w:rPr>
        <w:t>城市商业是城市经济高质量发展的重要引擎，也是提振消费、扩大内需的重要载体。为推动城市商业转型提质，</w:t>
      </w:r>
      <w:r>
        <w:rPr>
          <w:rFonts w:hint="eastAsia"/>
          <w:lang w:val="en-US" w:eastAsia="zh-CN"/>
        </w:rPr>
        <w:t>10</w:t>
      </w:r>
      <w:r>
        <w:rPr>
          <w:rFonts w:hint="eastAsia"/>
        </w:rPr>
        <w:t>月29日，商务部等五部门发布《城市商业提质行动方案》，提出21项主要任务，部署城市商业体系建设工作。方案从五方面提出要求：完善城市商业布局体系，开展全国示范步行街（商圈）创建，“一街一策”“一圈一策”推进改造升级，打造全国示范步行街（商圈）；引导特色商业街区创新发展，推进一刻钟便民生活圈建设。推动城市商业业态升级，培育大型商业综合体，支持离境退税商店发展，发展仓储会员店等业态，培育奥特莱斯等品牌聚集地，鼓励快闪店等新业态及服务消费新场景，支持传统商场向邻里中心转型。丰富优质商品服务供给，促进国货“潮品”消费，拓展外贸优品消费，保障农产品消费，支持“商业+旅游”“商业+文化”“商业+体育”“商业+健康”融合发展，支持非遗相关产品和服务进入城市商业设施。优化城市商业空间利用，加强新技术集成应用，完善商圈大数据平台功能，推广智慧商业新模式。健全城市商业管理体制，提高政务服务效率，探索步行街（商圈）共管共治模式，整治“内卷式”竞争，支持现代商贸流通体系试点城市统筹使用中央财政资金，落实小微企业税费优惠政策。</w:t>
      </w:r>
    </w:p>
    <w:p w14:paraId="1B85BBFC">
      <w:pPr>
        <w:rPr>
          <w:rFonts w:hint="eastAsia"/>
        </w:rPr>
      </w:pPr>
    </w:p>
    <w:p w14:paraId="42DF5E4C">
      <w:pPr>
        <w:rPr>
          <w:rFonts w:hint="eastAsia"/>
        </w:rPr>
      </w:pPr>
      <w:r>
        <w:rPr>
          <w:rFonts w:hint="eastAsia"/>
        </w:rPr>
        <w:t>发文日期:2025年</w:t>
      </w:r>
      <w:r>
        <w:rPr>
          <w:rFonts w:hint="eastAsia"/>
          <w:lang w:val="en-US" w:eastAsia="zh-CN"/>
        </w:rPr>
        <w:t>10</w:t>
      </w:r>
      <w:r>
        <w:rPr>
          <w:rFonts w:hint="eastAsia"/>
        </w:rPr>
        <w:t>月29日</w:t>
      </w:r>
    </w:p>
    <w:p w14:paraId="5EB142F0">
      <w:pPr>
        <w:rPr>
          <w:rFonts w:hint="eastAsia" w:eastAsia="宋体"/>
          <w:lang w:eastAsia="zh-CN"/>
        </w:rPr>
      </w:pPr>
      <w:r>
        <w:rPr>
          <w:rFonts w:hint="eastAsia"/>
        </w:rPr>
        <w:t>发文单位:商务部</w:t>
      </w:r>
      <w:r>
        <w:rPr>
          <w:rFonts w:hint="eastAsia"/>
          <w:lang w:eastAsia="zh-CN"/>
        </w:rPr>
        <w:t>、自然资源部、住房城乡建设部、文化和旅游部、市场监管总局</w:t>
      </w:r>
    </w:p>
    <w:p w14:paraId="17A01F08">
      <w:pPr>
        <w:rPr>
          <w:rFonts w:hint="eastAsia"/>
        </w:rPr>
      </w:pPr>
      <w:r>
        <w:rPr>
          <w:rFonts w:hint="eastAsia"/>
        </w:rPr>
        <w:t>原文链接:https://mp.weixin.qq.com/s/RzwRsPZkN3rpymhxAE3Y6w</w:t>
      </w:r>
    </w:p>
    <w:p w14:paraId="659E2354">
      <w:pPr>
        <w:rPr>
          <w:rFonts w:hint="eastAsia"/>
        </w:rPr>
      </w:pPr>
    </w:p>
    <w:p w14:paraId="4E25E862">
      <w:pPr>
        <w:pStyle w:val="4"/>
        <w:numPr>
          <w:ilvl w:val="0"/>
          <w:numId w:val="2"/>
        </w:numPr>
        <w:bidi w:val="0"/>
        <w:rPr>
          <w:rFonts w:hint="eastAsia"/>
        </w:rPr>
      </w:pPr>
      <w:bookmarkStart w:id="7" w:name="_Toc1358"/>
      <w:r>
        <w:rPr>
          <w:rFonts w:hint="eastAsia"/>
        </w:rPr>
        <w:t>《国家中小企业公共服务示范平台（基地）创建管理办法》</w:t>
      </w:r>
      <w:bookmarkEnd w:id="7"/>
    </w:p>
    <w:p w14:paraId="1D5573F9">
      <w:pPr>
        <w:rPr>
          <w:rFonts w:hint="eastAsia"/>
        </w:rPr>
      </w:pPr>
    </w:p>
    <w:p w14:paraId="2993D96B">
      <w:pPr>
        <w:rPr>
          <w:rFonts w:hint="eastAsia"/>
        </w:rPr>
      </w:pPr>
      <w:r>
        <w:rPr>
          <w:rFonts w:hint="eastAsia"/>
        </w:rPr>
        <w:t>为贯彻落实党中央、国务院决策部署，促进中小企业健康发展，工业和信息化部近日印发《国家中小企业公共服务示范平台（基地）创建管理办法》。该办法共5章19项条款，坚持面向需求、择优培育、差异发展、动态管理原则，鼓励平台（基地）自愿参与创建。该办法的实施将进一步健全中小企业公共服务体系，推动示范平台（基地）集聚资源、创新模式，为中小企业提供更便利精准的服务，助力产业高质量发展。</w:t>
      </w:r>
    </w:p>
    <w:p w14:paraId="5B4DDFD4">
      <w:pPr>
        <w:rPr>
          <w:rFonts w:hint="eastAsia"/>
        </w:rPr>
      </w:pPr>
    </w:p>
    <w:p w14:paraId="3C286412">
      <w:pPr>
        <w:rPr>
          <w:rFonts w:hint="eastAsia"/>
        </w:rPr>
      </w:pPr>
      <w:r>
        <w:rPr>
          <w:rFonts w:hint="eastAsia"/>
        </w:rPr>
        <w:t>发文日期:2025年10月2</w:t>
      </w:r>
      <w:r>
        <w:rPr>
          <w:rFonts w:hint="eastAsia"/>
          <w:lang w:val="en-US" w:eastAsia="zh-CN"/>
        </w:rPr>
        <w:t>7</w:t>
      </w:r>
      <w:r>
        <w:rPr>
          <w:rFonts w:hint="eastAsia"/>
        </w:rPr>
        <w:t>日</w:t>
      </w:r>
    </w:p>
    <w:p w14:paraId="674C8A5F">
      <w:pPr>
        <w:rPr>
          <w:rFonts w:hint="eastAsia"/>
        </w:rPr>
      </w:pPr>
      <w:r>
        <w:rPr>
          <w:rFonts w:hint="eastAsia"/>
        </w:rPr>
        <w:t>发文单位:工业和信息化部</w:t>
      </w:r>
    </w:p>
    <w:p w14:paraId="76A62E1B">
      <w:pPr>
        <w:rPr>
          <w:rFonts w:hint="eastAsia"/>
        </w:rPr>
      </w:pPr>
      <w:r>
        <w:rPr>
          <w:rFonts w:hint="eastAsia"/>
        </w:rPr>
        <w:t>原文链接:https://mp.weixin.qq.com/s/9NSH9dxbhq3MJ-V6nDutwg</w:t>
      </w:r>
    </w:p>
    <w:p w14:paraId="4AEB91EB">
      <w:pPr>
        <w:rPr>
          <w:rFonts w:hint="eastAsia"/>
        </w:rPr>
      </w:pPr>
    </w:p>
    <w:p w14:paraId="597668A2">
      <w:pPr>
        <w:pStyle w:val="4"/>
        <w:numPr>
          <w:ilvl w:val="0"/>
          <w:numId w:val="2"/>
        </w:numPr>
        <w:bidi w:val="0"/>
        <w:rPr>
          <w:rFonts w:hint="eastAsia"/>
        </w:rPr>
      </w:pPr>
      <w:bookmarkStart w:id="8" w:name="_Toc21429"/>
      <w:r>
        <w:rPr>
          <w:rFonts w:hint="eastAsia"/>
        </w:rPr>
        <w:t>《关于开展创新积分制“揭榜挂帅”的通知》</w:t>
      </w:r>
      <w:bookmarkEnd w:id="8"/>
    </w:p>
    <w:p w14:paraId="79EE16FD">
      <w:pPr>
        <w:rPr>
          <w:rFonts w:hint="eastAsia"/>
        </w:rPr>
      </w:pPr>
    </w:p>
    <w:p w14:paraId="7564F86A">
      <w:pPr>
        <w:rPr>
          <w:rFonts w:hint="eastAsia"/>
        </w:rPr>
      </w:pPr>
      <w:r>
        <w:rPr>
          <w:rFonts w:hint="eastAsia"/>
        </w:rPr>
        <w:t>为推动《加快构建科技金融体制有力支撑高水平科技自立自强的若干政策举措》落实，科技部组织开展创新积分制“揭榜挂帅”工作。总体目标是借鉴科技计划“揭榜挂帅”形式，由科技部细化形成“榜单”，地方因地制宜“揭榜”，央地联动、科金协同推动政策落地，加快形成可复制、可推广的经验。榜单内容包括“构建创新积分制区域特色指标体系”“搭建创新积分制数智底座平台”等4项任务。组织方式分为省市揭榜、评估论证、发榜实践、跟踪评估四个环节，地方科技管理部门需形成揭榜方案报送科技部，通过评估后原则上在2年内完成任务。科技部将定期评估实施成效，对成效优秀的举措总结推广，并对高质量完成任务的地方给予表扬激励和试点政策倾斜。</w:t>
      </w:r>
    </w:p>
    <w:p w14:paraId="43742D4D">
      <w:pPr>
        <w:rPr>
          <w:rFonts w:hint="eastAsia"/>
        </w:rPr>
      </w:pPr>
    </w:p>
    <w:p w14:paraId="083A5803">
      <w:pPr>
        <w:rPr>
          <w:rFonts w:hint="eastAsia"/>
        </w:rPr>
      </w:pPr>
      <w:r>
        <w:rPr>
          <w:rFonts w:hint="eastAsia"/>
        </w:rPr>
        <w:t>发文日期:2025年10月2</w:t>
      </w:r>
      <w:r>
        <w:rPr>
          <w:rFonts w:hint="eastAsia"/>
          <w:lang w:val="en-US" w:eastAsia="zh-CN"/>
        </w:rPr>
        <w:t>9</w:t>
      </w:r>
      <w:r>
        <w:rPr>
          <w:rFonts w:hint="eastAsia"/>
        </w:rPr>
        <w:t>日</w:t>
      </w:r>
    </w:p>
    <w:p w14:paraId="02E4C0BA">
      <w:pPr>
        <w:rPr>
          <w:rFonts w:hint="eastAsia"/>
        </w:rPr>
      </w:pPr>
      <w:r>
        <w:rPr>
          <w:rFonts w:hint="eastAsia"/>
        </w:rPr>
        <w:t>发文单位:科技部</w:t>
      </w:r>
    </w:p>
    <w:p w14:paraId="32F1654A">
      <w:pPr>
        <w:rPr>
          <w:rFonts w:hint="eastAsia"/>
        </w:rPr>
      </w:pPr>
      <w:r>
        <w:rPr>
          <w:rFonts w:hint="eastAsia"/>
        </w:rPr>
        <w:t>原文链接:https://mp.weixin.qq.com/s/5LpoL_d7mlhg4cTxL8vz4w</w:t>
      </w:r>
    </w:p>
    <w:p w14:paraId="6901FF41">
      <w:pPr>
        <w:rPr>
          <w:rFonts w:hint="eastAsia"/>
        </w:rPr>
      </w:pPr>
    </w:p>
    <w:p w14:paraId="2F81F812">
      <w:pPr>
        <w:pStyle w:val="4"/>
        <w:numPr>
          <w:ilvl w:val="0"/>
          <w:numId w:val="2"/>
        </w:numPr>
        <w:bidi w:val="0"/>
        <w:rPr>
          <w:rFonts w:hint="eastAsia"/>
        </w:rPr>
      </w:pPr>
      <w:bookmarkStart w:id="9" w:name="_Toc28174"/>
      <w:r>
        <w:rPr>
          <w:rFonts w:hint="eastAsia"/>
        </w:rPr>
        <w:t>《“创新积分制”工作指引（2.0版）（全国试行版）》</w:t>
      </w:r>
      <w:bookmarkEnd w:id="9"/>
    </w:p>
    <w:p w14:paraId="506F40FA">
      <w:pPr>
        <w:rPr>
          <w:rFonts w:hint="eastAsia"/>
        </w:rPr>
      </w:pPr>
    </w:p>
    <w:p w14:paraId="16EAC162">
      <w:pPr>
        <w:rPr>
          <w:rFonts w:hint="eastAsia"/>
        </w:rPr>
      </w:pPr>
      <w:r>
        <w:rPr>
          <w:rFonts w:hint="eastAsia"/>
        </w:rPr>
        <w:t>经过一年多试点实践并优化核心指标后，10月29日，科技部官网发布《“创新积分制”工作指引（2.0版）（全国试行版）》，旨在发挥“创新积分制”作为新型科技金融政策工具的赋能效能，推动其在全国范围内广泛实施。依据《指引》，升级后的“创新积分制”主要实现“找得到、评得准、用得好”三大目标：聚焦科技创新价值属性筛选企业，依据成长能力精准评价分类分级，建立积分与科技金融政策联动机制，拓展“积分贷”“积分投”等金融服务场景。指标体系遵循“科学性、共识性、可比性、可采集性”原则，由4项一级指标、12项二级指标构成，包括9个定量指标和3个加分项指标，其中创新投入、产出、发展基础评价指标100分，创新影响加分项30分。《指引》建议通过深化金融精准对接、强化政策联动与资源倾斜、推动地方精准施策与服务能力提升等方式，实现对科技型中小企业的精准赋能。</w:t>
      </w:r>
    </w:p>
    <w:p w14:paraId="516DE3DA">
      <w:pPr>
        <w:rPr>
          <w:rFonts w:hint="eastAsia"/>
        </w:rPr>
      </w:pPr>
    </w:p>
    <w:p w14:paraId="4229A0BB">
      <w:pPr>
        <w:rPr>
          <w:rFonts w:hint="eastAsia"/>
        </w:rPr>
      </w:pPr>
      <w:r>
        <w:rPr>
          <w:rFonts w:hint="eastAsia"/>
        </w:rPr>
        <w:t>发文日期:2025年10月29日</w:t>
      </w:r>
    </w:p>
    <w:p w14:paraId="5E0F8A3C">
      <w:pPr>
        <w:rPr>
          <w:rFonts w:hint="eastAsia"/>
        </w:rPr>
      </w:pPr>
      <w:r>
        <w:rPr>
          <w:rFonts w:hint="eastAsia"/>
        </w:rPr>
        <w:t>发文单位:科学技术部</w:t>
      </w:r>
    </w:p>
    <w:p w14:paraId="666D55AF">
      <w:pPr>
        <w:rPr>
          <w:rFonts w:hint="eastAsia"/>
        </w:rPr>
      </w:pPr>
      <w:r>
        <w:rPr>
          <w:rFonts w:hint="eastAsia"/>
        </w:rPr>
        <w:t>原文链接:https://mp.weixin.qq.com/s/IcVfDi7Lz8gmTz62Lccc6g</w:t>
      </w:r>
    </w:p>
    <w:p w14:paraId="6ED8360A">
      <w:pPr>
        <w:rPr>
          <w:rFonts w:hint="eastAsia"/>
        </w:rPr>
      </w:pPr>
    </w:p>
    <w:p w14:paraId="7F27F86D">
      <w:pPr>
        <w:pStyle w:val="3"/>
      </w:pPr>
      <w:bookmarkStart w:id="10" w:name="_Toc9348"/>
      <w:r>
        <w:rPr>
          <w:rFonts w:hint="eastAsia"/>
        </w:rPr>
        <w:t>湖北省</w:t>
      </w:r>
      <w:bookmarkEnd w:id="10"/>
    </w:p>
    <w:p w14:paraId="3082F73A">
      <w:pPr>
        <w:rPr>
          <w:rFonts w:hint="eastAsia"/>
        </w:rPr>
      </w:pPr>
    </w:p>
    <w:p w14:paraId="7CFA5175">
      <w:pPr>
        <w:pStyle w:val="4"/>
        <w:numPr>
          <w:ilvl w:val="0"/>
          <w:numId w:val="3"/>
        </w:numPr>
        <w:bidi w:val="0"/>
        <w:rPr>
          <w:rFonts w:hint="eastAsia"/>
        </w:rPr>
      </w:pPr>
      <w:bookmarkStart w:id="11" w:name="_Toc28176"/>
      <w:r>
        <w:rPr>
          <w:rFonts w:hint="eastAsia"/>
        </w:rPr>
        <w:t>《湖北省公共数据资源授权运营实施办法（试行）》</w:t>
      </w:r>
      <w:bookmarkEnd w:id="11"/>
    </w:p>
    <w:p w14:paraId="763F1FDA">
      <w:pPr>
        <w:rPr>
          <w:rFonts w:hint="eastAsia"/>
        </w:rPr>
      </w:pPr>
    </w:p>
    <w:p w14:paraId="391D3282">
      <w:pPr>
        <w:rPr>
          <w:rFonts w:hint="eastAsia"/>
        </w:rPr>
      </w:pPr>
      <w:r>
        <w:rPr>
          <w:rFonts w:hint="eastAsia"/>
        </w:rPr>
        <w:t>近日，湖北省人民政府办公厅印发《湖北省公共数据资源授权运营实施办法（试行）》，旨在规范和促进公共数据开发利用，充分释放公共数据要素价值，为经济发展赋能、社会治理增效、人民生活添彩。该办法根据相关中央意见及法律法规，结合湖北省实际制定，适用于该省行政区域内公共数据资源授权运营工作。</w:t>
      </w:r>
    </w:p>
    <w:p w14:paraId="1548E6A2">
      <w:pPr>
        <w:rPr>
          <w:rFonts w:hint="eastAsia"/>
        </w:rPr>
      </w:pPr>
      <w:r>
        <w:rPr>
          <w:rFonts w:hint="eastAsia"/>
        </w:rPr>
        <w:t>办法明确了公共数据、授权运营、实施机构、运营机构等核心概念，规定了公共数据主管部门、公共管理和服务机构、实施机构等的职责分工。在授权管理方面，采用整体授权模式，逐步探索分领域或依场景授权，要求授权运营平台集约建设、统一管理，并对授权运营实施方案编制、运营机构确定方式及基本条件、终止授权情形等作出详细规定。运营管理上，对授权数据资源管理、应用场景建设、数据申请使用、数据加工处理、公共数据产品和服务要求及再开发要求等进行了规范。此外，办法还强调了合规安全与监督管理，要求按照“原始数据不出域、数据可用不可见”原则开展工作，明确了各方的数据安全管理责任，建立了监督管理机制、动态备案和年度报告制等。</w:t>
      </w:r>
    </w:p>
    <w:p w14:paraId="1A882159">
      <w:pPr>
        <w:rPr>
          <w:rFonts w:hint="eastAsia"/>
        </w:rPr>
      </w:pPr>
    </w:p>
    <w:p w14:paraId="0FDB1F08">
      <w:pPr>
        <w:rPr>
          <w:rFonts w:hint="eastAsia"/>
        </w:rPr>
      </w:pPr>
      <w:r>
        <w:rPr>
          <w:rFonts w:hint="eastAsia"/>
        </w:rPr>
        <w:t>发文日期:2025年10月</w:t>
      </w:r>
      <w:r>
        <w:rPr>
          <w:rFonts w:hint="eastAsia"/>
          <w:lang w:val="en-US" w:eastAsia="zh-CN"/>
        </w:rPr>
        <w:t>27</w:t>
      </w:r>
      <w:r>
        <w:rPr>
          <w:rFonts w:hint="eastAsia"/>
        </w:rPr>
        <w:t>日</w:t>
      </w:r>
    </w:p>
    <w:p w14:paraId="51F2D76B">
      <w:pPr>
        <w:rPr>
          <w:rFonts w:hint="eastAsia"/>
        </w:rPr>
      </w:pPr>
      <w:r>
        <w:rPr>
          <w:rFonts w:hint="eastAsia"/>
        </w:rPr>
        <w:t>发文单位:湖北省人民政府</w:t>
      </w:r>
    </w:p>
    <w:p w14:paraId="7EA1EFD3">
      <w:pPr>
        <w:rPr>
          <w:rFonts w:hint="eastAsia"/>
        </w:rPr>
      </w:pPr>
      <w:r>
        <w:rPr>
          <w:rFonts w:hint="eastAsia"/>
        </w:rPr>
        <w:t>原文链接:https://mp.weixin.qq.com/s/PWJYarnKxWLYDsJOrd8qwg</w:t>
      </w:r>
    </w:p>
    <w:p w14:paraId="05F0F70D">
      <w:pPr>
        <w:rPr>
          <w:rFonts w:hint="eastAsia"/>
        </w:rPr>
      </w:pPr>
    </w:p>
    <w:p w14:paraId="65C6ED23">
      <w:pPr>
        <w:pStyle w:val="4"/>
        <w:numPr>
          <w:ilvl w:val="0"/>
          <w:numId w:val="3"/>
        </w:numPr>
        <w:bidi w:val="0"/>
        <w:rPr>
          <w:rFonts w:hint="eastAsia"/>
        </w:rPr>
      </w:pPr>
      <w:bookmarkStart w:id="12" w:name="_Toc4690"/>
      <w:r>
        <w:rPr>
          <w:rFonts w:hint="eastAsia"/>
        </w:rPr>
        <w:t>《关于开展2025年度省级制造业高质量发展专项“揭榜挂帅”项目申报工作的通知》</w:t>
      </w:r>
      <w:bookmarkEnd w:id="12"/>
    </w:p>
    <w:p w14:paraId="2E509598">
      <w:pPr>
        <w:rPr>
          <w:rFonts w:hint="eastAsia"/>
        </w:rPr>
      </w:pPr>
    </w:p>
    <w:p w14:paraId="3F389213">
      <w:pPr>
        <w:rPr>
          <w:rFonts w:hint="eastAsia"/>
        </w:rPr>
      </w:pPr>
      <w:r>
        <w:rPr>
          <w:rFonts w:hint="eastAsia"/>
        </w:rPr>
        <w:t>为引导企业整合创新资源，推进科技创新与产业创新深度融合，</w:t>
      </w:r>
      <w:r>
        <w:rPr>
          <w:rFonts w:hint="eastAsia"/>
          <w:lang w:val="en-US" w:eastAsia="zh-CN"/>
        </w:rPr>
        <w:t>湖北</w:t>
      </w:r>
      <w:r>
        <w:rPr>
          <w:rFonts w:hint="eastAsia"/>
        </w:rPr>
        <w:t>省经信厅根据相关工作指引，遴选发布2025年度第一批58个“揭榜挂帅”任务。该专项聚焦打造中部地区崛起的产业战略支点，围绕5个万亿级、10个5000亿级、20个千亿级先进制造业产业集群需求，支持重要设备、关键零部件、原材料等方向的技术攻关与产品开发。对符合要求的项目，按总投资10%予以补助，单个项目原则上不超过500万元，特别重大项目可放宽至1000万元。申报工作由市州经信局动员企业自愿揭榜并初审推荐，承担后续管理主责。通知明确，已获国家及省级同类政策支持或专项资金未验收的项目及企业不得申报，同时需核查企业近三年知识产权纠纷、安全事故、行政处罚及失信情况。市州经信局需于11月2日前报送推荐文件及相关材料。</w:t>
      </w:r>
    </w:p>
    <w:p w14:paraId="34AEC126">
      <w:pPr>
        <w:rPr>
          <w:rFonts w:hint="eastAsia"/>
        </w:rPr>
      </w:pPr>
    </w:p>
    <w:p w14:paraId="23B7408B">
      <w:pPr>
        <w:rPr>
          <w:rFonts w:hint="eastAsia"/>
        </w:rPr>
      </w:pPr>
      <w:r>
        <w:rPr>
          <w:rFonts w:hint="eastAsia"/>
        </w:rPr>
        <w:t>发文日期:2025年10月27日</w:t>
      </w:r>
    </w:p>
    <w:p w14:paraId="2F9358F3">
      <w:pPr>
        <w:rPr>
          <w:rFonts w:hint="eastAsia"/>
        </w:rPr>
      </w:pPr>
      <w:r>
        <w:rPr>
          <w:rFonts w:hint="eastAsia"/>
        </w:rPr>
        <w:t>发文单位:湖北省经济和信息化厅</w:t>
      </w:r>
    </w:p>
    <w:p w14:paraId="2C0CA42B">
      <w:pPr>
        <w:rPr>
          <w:rFonts w:hint="eastAsia"/>
        </w:rPr>
      </w:pPr>
      <w:r>
        <w:rPr>
          <w:rFonts w:hint="eastAsia"/>
        </w:rPr>
        <w:t>原文链接:https://mp.weixin.qq.com/s/mIoywV8bafNZaVwaYyne0Q</w:t>
      </w:r>
    </w:p>
    <w:p w14:paraId="265AFAF3">
      <w:pPr>
        <w:rPr>
          <w:rFonts w:hint="eastAsia"/>
        </w:rPr>
      </w:pPr>
    </w:p>
    <w:p w14:paraId="3A662251">
      <w:pPr>
        <w:rPr>
          <w:rFonts w:hint="eastAsia"/>
        </w:rPr>
      </w:pPr>
    </w:p>
    <w:p w14:paraId="4A8D30FF">
      <w:pPr>
        <w:pStyle w:val="2"/>
        <w:rPr>
          <w:rFonts w:hint="eastAsia"/>
        </w:rPr>
      </w:pPr>
      <w:bookmarkStart w:id="13" w:name="_Toc3018"/>
      <w:r>
        <w:rPr>
          <w:rFonts w:hint="eastAsia"/>
        </w:rPr>
        <w:t>热点.资讯</w:t>
      </w:r>
      <w:bookmarkEnd w:id="13"/>
    </w:p>
    <w:p w14:paraId="3C5CAAC7">
      <w:pPr>
        <w:rPr>
          <w:rFonts w:hint="eastAsia"/>
        </w:rPr>
      </w:pPr>
    </w:p>
    <w:p w14:paraId="66D1F453">
      <w:pPr>
        <w:pStyle w:val="4"/>
        <w:numPr>
          <w:ilvl w:val="0"/>
          <w:numId w:val="4"/>
        </w:numPr>
        <w:bidi w:val="0"/>
        <w:rPr>
          <w:rFonts w:hint="eastAsia"/>
        </w:rPr>
      </w:pPr>
      <w:bookmarkStart w:id="14" w:name="_Toc29140"/>
      <w:r>
        <w:rPr>
          <w:rFonts w:hint="eastAsia"/>
        </w:rPr>
        <w:t>湖北省自主安全计算产业联盟在光谷成立</w:t>
      </w:r>
      <w:bookmarkEnd w:id="14"/>
    </w:p>
    <w:p w14:paraId="05CF5A56">
      <w:pPr>
        <w:rPr>
          <w:rFonts w:hint="eastAsia"/>
        </w:rPr>
      </w:pPr>
    </w:p>
    <w:p w14:paraId="27ED4A4B">
      <w:pPr>
        <w:rPr>
          <w:rFonts w:hint="eastAsia"/>
        </w:rPr>
      </w:pPr>
      <w:r>
        <w:rPr>
          <w:rFonts w:hint="eastAsia"/>
        </w:rPr>
        <w:t>近日，湖北省自主安全计算产业联盟在光谷正式揭牌成立。该联盟由湖北省经信厅指导，达梦数据库、长江计算等企业联合发起，汇聚了196家产业链上下游企业，涵盖芯片、整机、软件、密码安全等领域，包括湖北大数据集团、深之度、金山办公、龙芯中科、海光信息等骨干单位。自主安全计算作为数字经济安全发展的核心领域，在当前全球科技创新版图重构背景下迎来新发展机遇。湖北依托光谷等产业集聚区，已在芯片、操作系统、数据库等核心领域形成产业集群，聚集了一批技术创新企业。联盟成立后，将进一步整合省内产业优势，联动产业链企业、科研机构与市场力量，提升关键信息基础设施自主创新能力和安全水平，助力构建安全可控的现代信息技术产业体系。</w:t>
      </w:r>
    </w:p>
    <w:p w14:paraId="1F32613C">
      <w:pPr>
        <w:rPr>
          <w:rFonts w:hint="eastAsia"/>
        </w:rPr>
      </w:pPr>
    </w:p>
    <w:p w14:paraId="5D9826C9">
      <w:pPr>
        <w:rPr>
          <w:rFonts w:hint="eastAsia"/>
        </w:rPr>
      </w:pPr>
      <w:r>
        <w:rPr>
          <w:rFonts w:hint="eastAsia"/>
        </w:rPr>
        <w:t>发文日期:2025年10月29日</w:t>
      </w:r>
    </w:p>
    <w:p w14:paraId="1AF33313">
      <w:pPr>
        <w:rPr>
          <w:rFonts w:hint="eastAsia"/>
        </w:rPr>
      </w:pPr>
      <w:r>
        <w:rPr>
          <w:rFonts w:hint="eastAsia"/>
        </w:rPr>
        <w:t>发文单位:湖北省经信厅</w:t>
      </w:r>
    </w:p>
    <w:p w14:paraId="383813B0">
      <w:pPr>
        <w:rPr>
          <w:rFonts w:hint="eastAsia"/>
        </w:rPr>
      </w:pPr>
      <w:r>
        <w:rPr>
          <w:rFonts w:hint="eastAsia"/>
        </w:rPr>
        <w:t>原文链接:https://mp.weixin.qq.com/s/S6NpjLNtvPcFlRBlerqXBA</w:t>
      </w:r>
    </w:p>
    <w:p w14:paraId="735F1E35">
      <w:pPr>
        <w:rPr>
          <w:rFonts w:hint="eastAsia"/>
        </w:rPr>
      </w:pPr>
    </w:p>
    <w:p w14:paraId="002303BD">
      <w:pPr>
        <w:rPr>
          <w:rFonts w:hint="eastAsia"/>
        </w:rPr>
      </w:pPr>
    </w:p>
    <w:p w14:paraId="5DCDD152">
      <w:pPr>
        <w:pStyle w:val="4"/>
        <w:numPr>
          <w:ilvl w:val="0"/>
          <w:numId w:val="4"/>
        </w:numPr>
        <w:bidi w:val="0"/>
        <w:rPr>
          <w:rFonts w:hint="eastAsia"/>
        </w:rPr>
      </w:pPr>
      <w:bookmarkStart w:id="15" w:name="_Toc30930"/>
      <w:r>
        <w:rPr>
          <w:rFonts w:hint="eastAsia"/>
        </w:rPr>
        <w:t>王忠林主持研究“十五五”规划建议起草工作</w:t>
      </w:r>
      <w:bookmarkEnd w:id="15"/>
    </w:p>
    <w:p w14:paraId="436CAA68">
      <w:pPr>
        <w:rPr>
          <w:rFonts w:hint="eastAsia"/>
        </w:rPr>
      </w:pPr>
    </w:p>
    <w:p w14:paraId="27AA71B4">
      <w:pPr>
        <w:rPr>
          <w:rFonts w:hint="eastAsia"/>
        </w:rPr>
      </w:pPr>
      <w:r>
        <w:rPr>
          <w:rFonts w:hint="eastAsia"/>
        </w:rPr>
        <w:t>10月28日下午，省委书记、省人大常委会主任、省“十五五”规划起草组组长王忠林主持召开会议，听取我省“十五五”规划建议起草工作情况汇报，研究部署下一步重点任务。王忠林强调，要紧扣湖北实际，确保我省规划建议科学可行。要全面总结我省“十四五”时期取得的发展成绩，深化对发展阶段性、规律性的认识，坚定“十五五”发展信心。要坚持问题导向，找准短板弱项，有的放矢地对“十五五”进行谋篇布局。要科学分析我省“十五五”面临的发展形势，加强对宏观环境、科技革命、产业变革、人口结构变化等重大问题的深度研判，明确“十五五”我省战略重点和发力点。</w:t>
      </w:r>
    </w:p>
    <w:p w14:paraId="455E7DD6">
      <w:pPr>
        <w:rPr>
          <w:rFonts w:hint="eastAsia"/>
        </w:rPr>
      </w:pPr>
    </w:p>
    <w:p w14:paraId="38B3212C">
      <w:pPr>
        <w:rPr>
          <w:rFonts w:hint="eastAsia"/>
        </w:rPr>
      </w:pPr>
      <w:r>
        <w:rPr>
          <w:rFonts w:hint="eastAsia"/>
        </w:rPr>
        <w:t>发文日期:2025年10月28日</w:t>
      </w:r>
    </w:p>
    <w:p w14:paraId="122D5304">
      <w:pPr>
        <w:rPr>
          <w:rFonts w:hint="default" w:eastAsia="宋体"/>
          <w:lang w:val="en-US" w:eastAsia="zh-CN"/>
        </w:rPr>
      </w:pPr>
      <w:r>
        <w:rPr>
          <w:rFonts w:hint="eastAsia"/>
        </w:rPr>
        <w:t>发文单位:</w:t>
      </w:r>
      <w:r>
        <w:rPr>
          <w:rFonts w:hint="eastAsia"/>
          <w:lang w:val="en-US" w:eastAsia="zh-CN"/>
        </w:rPr>
        <w:t>湖北省人民政府</w:t>
      </w:r>
    </w:p>
    <w:p w14:paraId="10F085C8">
      <w:r>
        <w:rPr>
          <w:rFonts w:hint="eastAsia"/>
        </w:rPr>
        <w:t>原文链接:https://mp.weixin.qq.com/s/6QieNzu2TaHkI1IoxK-saQ</w:t>
      </w:r>
    </w:p>
    <w:p w14:paraId="113087A2">
      <w:pPr>
        <w:rPr>
          <w:rFonts w:hint="eastAsia"/>
        </w:rPr>
      </w:pPr>
    </w:p>
    <w:p w14:paraId="0723D620">
      <w:pPr>
        <w:rPr>
          <w:rFonts w:hint="eastAsia"/>
          <w:lang w:val="en-US" w:eastAsia="zh-CN"/>
        </w:rPr>
      </w:pP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微软雅黑"/>
    <w:panose1 w:val="020B0604020202020204"/>
    <w:charset w:val="86"/>
    <w:family w:val="auto"/>
    <w:pitch w:val="default"/>
    <w:sig w:usb0="00000000" w:usb1="00000000"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B0604020202020204"/>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03CB5">
    <w:pPr>
      <w:pStyle w:val="12"/>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F2796F">
                          <w:pPr>
                            <w:pStyle w:val="12"/>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35F2796F">
                    <w:pPr>
                      <w:pStyle w:val="12"/>
                    </w:pPr>
                    <w:r>
                      <w:fldChar w:fldCharType="begin"/>
                    </w:r>
                    <w:r>
                      <w:instrText xml:space="preserve"> PAGE  \* MERGEFORMAT </w:instrText>
                    </w:r>
                    <w:r>
                      <w:fldChar w:fldCharType="separate"/>
                    </w:r>
                    <w:r>
                      <w:t>20</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61AAF6"/>
    <w:multiLevelType w:val="singleLevel"/>
    <w:tmpl w:val="9661AAF6"/>
    <w:lvl w:ilvl="0" w:tentative="0">
      <w:start w:val="1"/>
      <w:numFmt w:val="decimal"/>
      <w:pStyle w:val="4"/>
      <w:lvlText w:val="(%1)"/>
      <w:lvlJc w:val="left"/>
      <w:pPr>
        <w:ind w:left="425" w:hanging="425"/>
      </w:pPr>
      <w:rPr>
        <w:rFonts w:hint="default"/>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hideSpellingErrors/>
  <w:hideGrammaticalErrors/>
  <w:documentProtection w:enforcement="0"/>
  <w:defaultTabStop w:val="36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B87749"/>
    <w:rsid w:val="00005CCC"/>
    <w:rsid w:val="00010FD5"/>
    <w:rsid w:val="00026FE8"/>
    <w:rsid w:val="000410FC"/>
    <w:rsid w:val="00047104"/>
    <w:rsid w:val="000536EC"/>
    <w:rsid w:val="000629A4"/>
    <w:rsid w:val="00072F84"/>
    <w:rsid w:val="000733D6"/>
    <w:rsid w:val="00073967"/>
    <w:rsid w:val="00075948"/>
    <w:rsid w:val="00084D11"/>
    <w:rsid w:val="00085151"/>
    <w:rsid w:val="00096DDE"/>
    <w:rsid w:val="000A4340"/>
    <w:rsid w:val="000A44D2"/>
    <w:rsid w:val="000A44FC"/>
    <w:rsid w:val="000A4642"/>
    <w:rsid w:val="000A547C"/>
    <w:rsid w:val="000A613C"/>
    <w:rsid w:val="000E632C"/>
    <w:rsid w:val="000F0F72"/>
    <w:rsid w:val="000F3299"/>
    <w:rsid w:val="001069AF"/>
    <w:rsid w:val="00116665"/>
    <w:rsid w:val="00130104"/>
    <w:rsid w:val="00142016"/>
    <w:rsid w:val="001444EC"/>
    <w:rsid w:val="00152E21"/>
    <w:rsid w:val="00170B7B"/>
    <w:rsid w:val="00174B07"/>
    <w:rsid w:val="00177F10"/>
    <w:rsid w:val="00180460"/>
    <w:rsid w:val="00181702"/>
    <w:rsid w:val="00182B8E"/>
    <w:rsid w:val="00192AD6"/>
    <w:rsid w:val="0019332D"/>
    <w:rsid w:val="00193C78"/>
    <w:rsid w:val="00196B7E"/>
    <w:rsid w:val="001A238A"/>
    <w:rsid w:val="001A4F2E"/>
    <w:rsid w:val="001B3F5C"/>
    <w:rsid w:val="001B4228"/>
    <w:rsid w:val="001B6511"/>
    <w:rsid w:val="001D2978"/>
    <w:rsid w:val="001E0014"/>
    <w:rsid w:val="001E30C9"/>
    <w:rsid w:val="001E69CA"/>
    <w:rsid w:val="001F7350"/>
    <w:rsid w:val="001F79CE"/>
    <w:rsid w:val="00203822"/>
    <w:rsid w:val="00207F33"/>
    <w:rsid w:val="0021682C"/>
    <w:rsid w:val="0021704E"/>
    <w:rsid w:val="00223274"/>
    <w:rsid w:val="0022351D"/>
    <w:rsid w:val="00226199"/>
    <w:rsid w:val="00226B79"/>
    <w:rsid w:val="002374D3"/>
    <w:rsid w:val="00237F42"/>
    <w:rsid w:val="00241E27"/>
    <w:rsid w:val="00242B16"/>
    <w:rsid w:val="00244B4D"/>
    <w:rsid w:val="00247E53"/>
    <w:rsid w:val="0025353D"/>
    <w:rsid w:val="00257943"/>
    <w:rsid w:val="002632E5"/>
    <w:rsid w:val="00266FF5"/>
    <w:rsid w:val="00270D04"/>
    <w:rsid w:val="00281DCB"/>
    <w:rsid w:val="00283AC6"/>
    <w:rsid w:val="00284BFD"/>
    <w:rsid w:val="00290211"/>
    <w:rsid w:val="002904EF"/>
    <w:rsid w:val="00291686"/>
    <w:rsid w:val="00292B47"/>
    <w:rsid w:val="002A1B62"/>
    <w:rsid w:val="002A5076"/>
    <w:rsid w:val="002A725C"/>
    <w:rsid w:val="002C0CBB"/>
    <w:rsid w:val="002C119B"/>
    <w:rsid w:val="002E0917"/>
    <w:rsid w:val="002E2F64"/>
    <w:rsid w:val="00303573"/>
    <w:rsid w:val="003247E7"/>
    <w:rsid w:val="003265BB"/>
    <w:rsid w:val="00332003"/>
    <w:rsid w:val="003326FD"/>
    <w:rsid w:val="00335212"/>
    <w:rsid w:val="00344659"/>
    <w:rsid w:val="00347B0A"/>
    <w:rsid w:val="003514D1"/>
    <w:rsid w:val="00356C86"/>
    <w:rsid w:val="00357AB7"/>
    <w:rsid w:val="00362DF4"/>
    <w:rsid w:val="003744C4"/>
    <w:rsid w:val="00374F36"/>
    <w:rsid w:val="003759AD"/>
    <w:rsid w:val="00386112"/>
    <w:rsid w:val="00392B90"/>
    <w:rsid w:val="003C20C2"/>
    <w:rsid w:val="003C222D"/>
    <w:rsid w:val="003C799E"/>
    <w:rsid w:val="003D4097"/>
    <w:rsid w:val="003D4658"/>
    <w:rsid w:val="004174BD"/>
    <w:rsid w:val="004251FF"/>
    <w:rsid w:val="00443896"/>
    <w:rsid w:val="00443EC9"/>
    <w:rsid w:val="0044715A"/>
    <w:rsid w:val="004554A4"/>
    <w:rsid w:val="004565D4"/>
    <w:rsid w:val="00460BCD"/>
    <w:rsid w:val="00467FB9"/>
    <w:rsid w:val="00471127"/>
    <w:rsid w:val="00474903"/>
    <w:rsid w:val="00480050"/>
    <w:rsid w:val="00485558"/>
    <w:rsid w:val="00486B4C"/>
    <w:rsid w:val="00491190"/>
    <w:rsid w:val="00494369"/>
    <w:rsid w:val="004A7F09"/>
    <w:rsid w:val="004C360C"/>
    <w:rsid w:val="004C4AF1"/>
    <w:rsid w:val="004C6666"/>
    <w:rsid w:val="004D4702"/>
    <w:rsid w:val="004E76D9"/>
    <w:rsid w:val="004F35B3"/>
    <w:rsid w:val="004F789F"/>
    <w:rsid w:val="00500CAF"/>
    <w:rsid w:val="00503AAE"/>
    <w:rsid w:val="00506E3E"/>
    <w:rsid w:val="00512F38"/>
    <w:rsid w:val="005163DD"/>
    <w:rsid w:val="00522EBB"/>
    <w:rsid w:val="00524612"/>
    <w:rsid w:val="00530199"/>
    <w:rsid w:val="005367FB"/>
    <w:rsid w:val="00542AF1"/>
    <w:rsid w:val="00545A0F"/>
    <w:rsid w:val="005567E4"/>
    <w:rsid w:val="00575E24"/>
    <w:rsid w:val="00581AA2"/>
    <w:rsid w:val="005922C3"/>
    <w:rsid w:val="00593EF4"/>
    <w:rsid w:val="00596438"/>
    <w:rsid w:val="005A06ED"/>
    <w:rsid w:val="005A12BE"/>
    <w:rsid w:val="005A1588"/>
    <w:rsid w:val="005B1F83"/>
    <w:rsid w:val="005B51B7"/>
    <w:rsid w:val="005B72D5"/>
    <w:rsid w:val="005C2DD0"/>
    <w:rsid w:val="005D1336"/>
    <w:rsid w:val="005D44E9"/>
    <w:rsid w:val="005D5319"/>
    <w:rsid w:val="00610FA0"/>
    <w:rsid w:val="006340C8"/>
    <w:rsid w:val="00650888"/>
    <w:rsid w:val="00651258"/>
    <w:rsid w:val="00654172"/>
    <w:rsid w:val="00660798"/>
    <w:rsid w:val="00661BE7"/>
    <w:rsid w:val="00662654"/>
    <w:rsid w:val="00665176"/>
    <w:rsid w:val="00671B63"/>
    <w:rsid w:val="00671FCB"/>
    <w:rsid w:val="00674BEF"/>
    <w:rsid w:val="00682D16"/>
    <w:rsid w:val="00692F93"/>
    <w:rsid w:val="00696E0A"/>
    <w:rsid w:val="006A23AC"/>
    <w:rsid w:val="006A5042"/>
    <w:rsid w:val="006B2C3E"/>
    <w:rsid w:val="006B5123"/>
    <w:rsid w:val="006B5F46"/>
    <w:rsid w:val="006C77FE"/>
    <w:rsid w:val="006D1B29"/>
    <w:rsid w:val="006D1F86"/>
    <w:rsid w:val="006E0D01"/>
    <w:rsid w:val="006E0D45"/>
    <w:rsid w:val="006F0BC8"/>
    <w:rsid w:val="006F4974"/>
    <w:rsid w:val="00702101"/>
    <w:rsid w:val="00714E1D"/>
    <w:rsid w:val="0072325C"/>
    <w:rsid w:val="00736A16"/>
    <w:rsid w:val="00751845"/>
    <w:rsid w:val="00753A25"/>
    <w:rsid w:val="00756153"/>
    <w:rsid w:val="00774FB2"/>
    <w:rsid w:val="00777579"/>
    <w:rsid w:val="007844BB"/>
    <w:rsid w:val="007857F5"/>
    <w:rsid w:val="00785FFC"/>
    <w:rsid w:val="00787A3C"/>
    <w:rsid w:val="00796E01"/>
    <w:rsid w:val="007A04B7"/>
    <w:rsid w:val="007B35F1"/>
    <w:rsid w:val="007B5C8E"/>
    <w:rsid w:val="007B6A37"/>
    <w:rsid w:val="007C0439"/>
    <w:rsid w:val="007D4435"/>
    <w:rsid w:val="007E100E"/>
    <w:rsid w:val="007E3DA8"/>
    <w:rsid w:val="007E40C9"/>
    <w:rsid w:val="007F7649"/>
    <w:rsid w:val="008079D8"/>
    <w:rsid w:val="00822DFE"/>
    <w:rsid w:val="008235E0"/>
    <w:rsid w:val="00831B9D"/>
    <w:rsid w:val="00844B88"/>
    <w:rsid w:val="00861386"/>
    <w:rsid w:val="00862697"/>
    <w:rsid w:val="00866592"/>
    <w:rsid w:val="0087419C"/>
    <w:rsid w:val="0087699F"/>
    <w:rsid w:val="00881707"/>
    <w:rsid w:val="008817BF"/>
    <w:rsid w:val="00893693"/>
    <w:rsid w:val="00894AAE"/>
    <w:rsid w:val="00895458"/>
    <w:rsid w:val="00897379"/>
    <w:rsid w:val="008A4AD6"/>
    <w:rsid w:val="008A4B13"/>
    <w:rsid w:val="008B1650"/>
    <w:rsid w:val="008B5DE9"/>
    <w:rsid w:val="008C2B23"/>
    <w:rsid w:val="008D7A71"/>
    <w:rsid w:val="008E24B7"/>
    <w:rsid w:val="008E6A6D"/>
    <w:rsid w:val="008E725F"/>
    <w:rsid w:val="008E7906"/>
    <w:rsid w:val="008F0C27"/>
    <w:rsid w:val="00902F69"/>
    <w:rsid w:val="009050E0"/>
    <w:rsid w:val="00914D24"/>
    <w:rsid w:val="00922D05"/>
    <w:rsid w:val="0092303A"/>
    <w:rsid w:val="00925B1E"/>
    <w:rsid w:val="009271A1"/>
    <w:rsid w:val="00930C1E"/>
    <w:rsid w:val="00931E3E"/>
    <w:rsid w:val="00944B94"/>
    <w:rsid w:val="00945405"/>
    <w:rsid w:val="009475C0"/>
    <w:rsid w:val="00950E2E"/>
    <w:rsid w:val="009535CB"/>
    <w:rsid w:val="00965217"/>
    <w:rsid w:val="009704D2"/>
    <w:rsid w:val="009770CC"/>
    <w:rsid w:val="00985B48"/>
    <w:rsid w:val="00993B24"/>
    <w:rsid w:val="00994908"/>
    <w:rsid w:val="009A7360"/>
    <w:rsid w:val="009C31BB"/>
    <w:rsid w:val="009C56E5"/>
    <w:rsid w:val="009D0FF5"/>
    <w:rsid w:val="009E1921"/>
    <w:rsid w:val="009E3A1D"/>
    <w:rsid w:val="00A003C5"/>
    <w:rsid w:val="00A01BB1"/>
    <w:rsid w:val="00A11B1F"/>
    <w:rsid w:val="00A154ED"/>
    <w:rsid w:val="00A15554"/>
    <w:rsid w:val="00A1581F"/>
    <w:rsid w:val="00A17A19"/>
    <w:rsid w:val="00A17D7C"/>
    <w:rsid w:val="00A262B3"/>
    <w:rsid w:val="00A27674"/>
    <w:rsid w:val="00A309B8"/>
    <w:rsid w:val="00A37825"/>
    <w:rsid w:val="00A41E1A"/>
    <w:rsid w:val="00A43255"/>
    <w:rsid w:val="00A5112A"/>
    <w:rsid w:val="00A51200"/>
    <w:rsid w:val="00A54AA9"/>
    <w:rsid w:val="00A60179"/>
    <w:rsid w:val="00A62735"/>
    <w:rsid w:val="00A64947"/>
    <w:rsid w:val="00A74BCE"/>
    <w:rsid w:val="00A74D0B"/>
    <w:rsid w:val="00A80D79"/>
    <w:rsid w:val="00A91FF5"/>
    <w:rsid w:val="00A962CD"/>
    <w:rsid w:val="00AA112B"/>
    <w:rsid w:val="00AA2D23"/>
    <w:rsid w:val="00AB768F"/>
    <w:rsid w:val="00AD192A"/>
    <w:rsid w:val="00AD1C32"/>
    <w:rsid w:val="00AE49A2"/>
    <w:rsid w:val="00AF6A69"/>
    <w:rsid w:val="00B049A3"/>
    <w:rsid w:val="00B07E19"/>
    <w:rsid w:val="00B172F3"/>
    <w:rsid w:val="00B37EC7"/>
    <w:rsid w:val="00B40DC3"/>
    <w:rsid w:val="00B40E7D"/>
    <w:rsid w:val="00B410B6"/>
    <w:rsid w:val="00B41DB6"/>
    <w:rsid w:val="00B5013F"/>
    <w:rsid w:val="00B50A3C"/>
    <w:rsid w:val="00B55677"/>
    <w:rsid w:val="00B55995"/>
    <w:rsid w:val="00B620A4"/>
    <w:rsid w:val="00B62CED"/>
    <w:rsid w:val="00B636D4"/>
    <w:rsid w:val="00B637B0"/>
    <w:rsid w:val="00B658B9"/>
    <w:rsid w:val="00B7031B"/>
    <w:rsid w:val="00B70E70"/>
    <w:rsid w:val="00B72EDD"/>
    <w:rsid w:val="00B7595B"/>
    <w:rsid w:val="00B9189B"/>
    <w:rsid w:val="00B9617D"/>
    <w:rsid w:val="00BC25F5"/>
    <w:rsid w:val="00BC6A2A"/>
    <w:rsid w:val="00BD777B"/>
    <w:rsid w:val="00BD7F06"/>
    <w:rsid w:val="00BF513F"/>
    <w:rsid w:val="00C04033"/>
    <w:rsid w:val="00C07003"/>
    <w:rsid w:val="00C2292F"/>
    <w:rsid w:val="00C26AC4"/>
    <w:rsid w:val="00C32DF0"/>
    <w:rsid w:val="00C44AF7"/>
    <w:rsid w:val="00C47FD2"/>
    <w:rsid w:val="00C56626"/>
    <w:rsid w:val="00C6252C"/>
    <w:rsid w:val="00C71565"/>
    <w:rsid w:val="00C77B17"/>
    <w:rsid w:val="00C82EED"/>
    <w:rsid w:val="00CA3DF8"/>
    <w:rsid w:val="00CA46D9"/>
    <w:rsid w:val="00CA507E"/>
    <w:rsid w:val="00CA6027"/>
    <w:rsid w:val="00CB23CC"/>
    <w:rsid w:val="00CB32F6"/>
    <w:rsid w:val="00CB4E5C"/>
    <w:rsid w:val="00CB62F7"/>
    <w:rsid w:val="00CC30F4"/>
    <w:rsid w:val="00CC416D"/>
    <w:rsid w:val="00CE5664"/>
    <w:rsid w:val="00D15B85"/>
    <w:rsid w:val="00D43077"/>
    <w:rsid w:val="00D50E81"/>
    <w:rsid w:val="00D57D31"/>
    <w:rsid w:val="00D61DDF"/>
    <w:rsid w:val="00D63F24"/>
    <w:rsid w:val="00D72FF6"/>
    <w:rsid w:val="00D750EF"/>
    <w:rsid w:val="00D77C0A"/>
    <w:rsid w:val="00D858EE"/>
    <w:rsid w:val="00D95B69"/>
    <w:rsid w:val="00DA5187"/>
    <w:rsid w:val="00DB4691"/>
    <w:rsid w:val="00DC421F"/>
    <w:rsid w:val="00DC693F"/>
    <w:rsid w:val="00DE0AEE"/>
    <w:rsid w:val="00DE3B08"/>
    <w:rsid w:val="00DE4A98"/>
    <w:rsid w:val="00DE5C6B"/>
    <w:rsid w:val="00DF30E6"/>
    <w:rsid w:val="00DF6839"/>
    <w:rsid w:val="00E00F2A"/>
    <w:rsid w:val="00E136C1"/>
    <w:rsid w:val="00E15105"/>
    <w:rsid w:val="00E15D98"/>
    <w:rsid w:val="00E26D62"/>
    <w:rsid w:val="00E27961"/>
    <w:rsid w:val="00E32459"/>
    <w:rsid w:val="00E32F4F"/>
    <w:rsid w:val="00E353E8"/>
    <w:rsid w:val="00E551E8"/>
    <w:rsid w:val="00E560B0"/>
    <w:rsid w:val="00E567B1"/>
    <w:rsid w:val="00E62A84"/>
    <w:rsid w:val="00E66922"/>
    <w:rsid w:val="00E67FB9"/>
    <w:rsid w:val="00E7169B"/>
    <w:rsid w:val="00E71865"/>
    <w:rsid w:val="00E94C18"/>
    <w:rsid w:val="00EA79BE"/>
    <w:rsid w:val="00EB0883"/>
    <w:rsid w:val="00EC0011"/>
    <w:rsid w:val="00EC2DD6"/>
    <w:rsid w:val="00ED283F"/>
    <w:rsid w:val="00EE54C6"/>
    <w:rsid w:val="00EF2981"/>
    <w:rsid w:val="00EF40BC"/>
    <w:rsid w:val="00F002E1"/>
    <w:rsid w:val="00F10529"/>
    <w:rsid w:val="00F16D2A"/>
    <w:rsid w:val="00F17EAE"/>
    <w:rsid w:val="00F300FA"/>
    <w:rsid w:val="00F31E2B"/>
    <w:rsid w:val="00F328C7"/>
    <w:rsid w:val="00F34E15"/>
    <w:rsid w:val="00F41973"/>
    <w:rsid w:val="00F75C8A"/>
    <w:rsid w:val="00F83D16"/>
    <w:rsid w:val="00F87A9E"/>
    <w:rsid w:val="00F90ED7"/>
    <w:rsid w:val="00F96377"/>
    <w:rsid w:val="00FA7F25"/>
    <w:rsid w:val="00FC69EA"/>
    <w:rsid w:val="00FD2E8F"/>
    <w:rsid w:val="00FD4BB5"/>
    <w:rsid w:val="00FF3D58"/>
    <w:rsid w:val="00FF3E41"/>
    <w:rsid w:val="015D5504"/>
    <w:rsid w:val="016347D7"/>
    <w:rsid w:val="01743E73"/>
    <w:rsid w:val="01C45D06"/>
    <w:rsid w:val="021D04ED"/>
    <w:rsid w:val="02313F99"/>
    <w:rsid w:val="02727A8F"/>
    <w:rsid w:val="027D7504"/>
    <w:rsid w:val="02957F4A"/>
    <w:rsid w:val="02AD29B2"/>
    <w:rsid w:val="03181066"/>
    <w:rsid w:val="03634626"/>
    <w:rsid w:val="03D352ED"/>
    <w:rsid w:val="04772A4B"/>
    <w:rsid w:val="051060E7"/>
    <w:rsid w:val="0582467D"/>
    <w:rsid w:val="05926AFC"/>
    <w:rsid w:val="05D77E4F"/>
    <w:rsid w:val="05D84CA5"/>
    <w:rsid w:val="05E0200A"/>
    <w:rsid w:val="061B1990"/>
    <w:rsid w:val="064550D0"/>
    <w:rsid w:val="066A47CE"/>
    <w:rsid w:val="06B141BC"/>
    <w:rsid w:val="07031442"/>
    <w:rsid w:val="07A34B98"/>
    <w:rsid w:val="07AC7C25"/>
    <w:rsid w:val="07BD5E3D"/>
    <w:rsid w:val="081F17B3"/>
    <w:rsid w:val="087D09B3"/>
    <w:rsid w:val="088A7506"/>
    <w:rsid w:val="08944458"/>
    <w:rsid w:val="08D556E5"/>
    <w:rsid w:val="08DE1DFC"/>
    <w:rsid w:val="09063232"/>
    <w:rsid w:val="09362972"/>
    <w:rsid w:val="09FB55B8"/>
    <w:rsid w:val="0A15616C"/>
    <w:rsid w:val="0A6C3DC0"/>
    <w:rsid w:val="0A747118"/>
    <w:rsid w:val="0AA4793D"/>
    <w:rsid w:val="0B0A42C4"/>
    <w:rsid w:val="0B2F4186"/>
    <w:rsid w:val="0B5F4794"/>
    <w:rsid w:val="0B7926DE"/>
    <w:rsid w:val="0BC85D5B"/>
    <w:rsid w:val="0BD82C59"/>
    <w:rsid w:val="0C160487"/>
    <w:rsid w:val="0C317648"/>
    <w:rsid w:val="0C7451AE"/>
    <w:rsid w:val="0C9617E4"/>
    <w:rsid w:val="0C9F6FE3"/>
    <w:rsid w:val="0D173E04"/>
    <w:rsid w:val="0D2E2D13"/>
    <w:rsid w:val="0D354ACD"/>
    <w:rsid w:val="0D492902"/>
    <w:rsid w:val="0D6F10B3"/>
    <w:rsid w:val="0D8536BD"/>
    <w:rsid w:val="0D8F4EFE"/>
    <w:rsid w:val="0E293FE3"/>
    <w:rsid w:val="0E4D5CB6"/>
    <w:rsid w:val="0EA46E2D"/>
    <w:rsid w:val="0EFF5127"/>
    <w:rsid w:val="0F210A3A"/>
    <w:rsid w:val="0F415C16"/>
    <w:rsid w:val="0F607679"/>
    <w:rsid w:val="0FB13239"/>
    <w:rsid w:val="10086D9C"/>
    <w:rsid w:val="102A466F"/>
    <w:rsid w:val="105812FF"/>
    <w:rsid w:val="111C0739"/>
    <w:rsid w:val="111E1B8C"/>
    <w:rsid w:val="11610DAE"/>
    <w:rsid w:val="116A724E"/>
    <w:rsid w:val="116D60A1"/>
    <w:rsid w:val="117A72EF"/>
    <w:rsid w:val="11FD46BF"/>
    <w:rsid w:val="120B5F4D"/>
    <w:rsid w:val="12323823"/>
    <w:rsid w:val="124F42B7"/>
    <w:rsid w:val="12834530"/>
    <w:rsid w:val="13901E1C"/>
    <w:rsid w:val="13A7230D"/>
    <w:rsid w:val="14EF1875"/>
    <w:rsid w:val="14F325C5"/>
    <w:rsid w:val="15026D53"/>
    <w:rsid w:val="15B4486D"/>
    <w:rsid w:val="15CA2F2E"/>
    <w:rsid w:val="15E74C42"/>
    <w:rsid w:val="167B6EAB"/>
    <w:rsid w:val="16CB5F30"/>
    <w:rsid w:val="16F2389F"/>
    <w:rsid w:val="16F643D6"/>
    <w:rsid w:val="171C5435"/>
    <w:rsid w:val="172D2B29"/>
    <w:rsid w:val="17E217ED"/>
    <w:rsid w:val="17F00444"/>
    <w:rsid w:val="18517FB6"/>
    <w:rsid w:val="188E75F7"/>
    <w:rsid w:val="18A44462"/>
    <w:rsid w:val="18D81447"/>
    <w:rsid w:val="191E1382"/>
    <w:rsid w:val="193F7A6A"/>
    <w:rsid w:val="19600F94"/>
    <w:rsid w:val="19677D10"/>
    <w:rsid w:val="199A28AA"/>
    <w:rsid w:val="1A650426"/>
    <w:rsid w:val="1AA03612"/>
    <w:rsid w:val="1ABE4027"/>
    <w:rsid w:val="1BCB75FC"/>
    <w:rsid w:val="1BDA0F1B"/>
    <w:rsid w:val="1BFF5B23"/>
    <w:rsid w:val="1C777DA5"/>
    <w:rsid w:val="1C7E467E"/>
    <w:rsid w:val="1D0D671B"/>
    <w:rsid w:val="1D305121"/>
    <w:rsid w:val="1D36397B"/>
    <w:rsid w:val="1D4B182A"/>
    <w:rsid w:val="1D5C48CC"/>
    <w:rsid w:val="1D835251"/>
    <w:rsid w:val="1DD943FB"/>
    <w:rsid w:val="1DE87A80"/>
    <w:rsid w:val="1E194C81"/>
    <w:rsid w:val="1E3E561C"/>
    <w:rsid w:val="1E68566C"/>
    <w:rsid w:val="1E95273B"/>
    <w:rsid w:val="1EA47B74"/>
    <w:rsid w:val="1F8B4401"/>
    <w:rsid w:val="1FFF5FBA"/>
    <w:rsid w:val="21082BD0"/>
    <w:rsid w:val="21554059"/>
    <w:rsid w:val="216B2E85"/>
    <w:rsid w:val="218872DA"/>
    <w:rsid w:val="218F2E30"/>
    <w:rsid w:val="21BF16DB"/>
    <w:rsid w:val="21C443C4"/>
    <w:rsid w:val="223C67F4"/>
    <w:rsid w:val="224A458F"/>
    <w:rsid w:val="22942040"/>
    <w:rsid w:val="22DA671D"/>
    <w:rsid w:val="23050835"/>
    <w:rsid w:val="231A7D53"/>
    <w:rsid w:val="23887B38"/>
    <w:rsid w:val="238B1360"/>
    <w:rsid w:val="24013DB9"/>
    <w:rsid w:val="24441950"/>
    <w:rsid w:val="248D76DC"/>
    <w:rsid w:val="249A5A1E"/>
    <w:rsid w:val="24A36916"/>
    <w:rsid w:val="25172BDE"/>
    <w:rsid w:val="251E0380"/>
    <w:rsid w:val="25744A0D"/>
    <w:rsid w:val="25902C01"/>
    <w:rsid w:val="259A51CD"/>
    <w:rsid w:val="25D56865"/>
    <w:rsid w:val="26082272"/>
    <w:rsid w:val="262178C9"/>
    <w:rsid w:val="264755DA"/>
    <w:rsid w:val="2661459D"/>
    <w:rsid w:val="267E0CAB"/>
    <w:rsid w:val="26A84EBA"/>
    <w:rsid w:val="26EA363F"/>
    <w:rsid w:val="27144592"/>
    <w:rsid w:val="278B23EE"/>
    <w:rsid w:val="278B7B24"/>
    <w:rsid w:val="27C03641"/>
    <w:rsid w:val="281318C7"/>
    <w:rsid w:val="28541E37"/>
    <w:rsid w:val="285F3CB1"/>
    <w:rsid w:val="286928C5"/>
    <w:rsid w:val="289C366A"/>
    <w:rsid w:val="28A2214A"/>
    <w:rsid w:val="2936694E"/>
    <w:rsid w:val="2996455E"/>
    <w:rsid w:val="29DB04A2"/>
    <w:rsid w:val="29EE50B4"/>
    <w:rsid w:val="29FE7B47"/>
    <w:rsid w:val="2A367640"/>
    <w:rsid w:val="2A48356C"/>
    <w:rsid w:val="2ABC75C8"/>
    <w:rsid w:val="2B12230A"/>
    <w:rsid w:val="2B7E1510"/>
    <w:rsid w:val="2B8051DB"/>
    <w:rsid w:val="2BAA31B3"/>
    <w:rsid w:val="2BC63FD4"/>
    <w:rsid w:val="2C0D4F8D"/>
    <w:rsid w:val="2C376A9B"/>
    <w:rsid w:val="2C3A1B18"/>
    <w:rsid w:val="2C3F0EDD"/>
    <w:rsid w:val="2C4C4F3B"/>
    <w:rsid w:val="2C60078F"/>
    <w:rsid w:val="2C646B95"/>
    <w:rsid w:val="2C7E1414"/>
    <w:rsid w:val="2C810E08"/>
    <w:rsid w:val="2C8E59C0"/>
    <w:rsid w:val="2CBA6A70"/>
    <w:rsid w:val="2CD504F2"/>
    <w:rsid w:val="2D0F4C79"/>
    <w:rsid w:val="2D1D55AF"/>
    <w:rsid w:val="2D2B1461"/>
    <w:rsid w:val="2DC147E3"/>
    <w:rsid w:val="2EA90867"/>
    <w:rsid w:val="2EAD7087"/>
    <w:rsid w:val="2F454A5C"/>
    <w:rsid w:val="2FC43258"/>
    <w:rsid w:val="2FE467A7"/>
    <w:rsid w:val="302C011A"/>
    <w:rsid w:val="302C34A7"/>
    <w:rsid w:val="303A22C6"/>
    <w:rsid w:val="304940D8"/>
    <w:rsid w:val="30517430"/>
    <w:rsid w:val="30C3032E"/>
    <w:rsid w:val="30F37EDC"/>
    <w:rsid w:val="31055CDB"/>
    <w:rsid w:val="313C17BF"/>
    <w:rsid w:val="314A714A"/>
    <w:rsid w:val="315423FA"/>
    <w:rsid w:val="324507AD"/>
    <w:rsid w:val="3344327C"/>
    <w:rsid w:val="338B4F0A"/>
    <w:rsid w:val="33CC223D"/>
    <w:rsid w:val="345179FF"/>
    <w:rsid w:val="34814F15"/>
    <w:rsid w:val="34826328"/>
    <w:rsid w:val="34984755"/>
    <w:rsid w:val="34E959C3"/>
    <w:rsid w:val="34F85D6A"/>
    <w:rsid w:val="34FC2804"/>
    <w:rsid w:val="34FF4777"/>
    <w:rsid w:val="35120222"/>
    <w:rsid w:val="3518714F"/>
    <w:rsid w:val="353D3435"/>
    <w:rsid w:val="354A6EEA"/>
    <w:rsid w:val="356B1CF3"/>
    <w:rsid w:val="35AF70D3"/>
    <w:rsid w:val="37654E9C"/>
    <w:rsid w:val="3784633D"/>
    <w:rsid w:val="38213B8C"/>
    <w:rsid w:val="382373DA"/>
    <w:rsid w:val="383B0B04"/>
    <w:rsid w:val="38591578"/>
    <w:rsid w:val="38AC16A8"/>
    <w:rsid w:val="38CF7D58"/>
    <w:rsid w:val="38F0269B"/>
    <w:rsid w:val="3A372F4A"/>
    <w:rsid w:val="3A7C1D7A"/>
    <w:rsid w:val="3AAD7959"/>
    <w:rsid w:val="3AD068AC"/>
    <w:rsid w:val="3ADB44C6"/>
    <w:rsid w:val="3AED5FA8"/>
    <w:rsid w:val="3B285284"/>
    <w:rsid w:val="3B2C319C"/>
    <w:rsid w:val="3B2D2566"/>
    <w:rsid w:val="3B387B37"/>
    <w:rsid w:val="3B68647D"/>
    <w:rsid w:val="3BAF2C97"/>
    <w:rsid w:val="3C074E47"/>
    <w:rsid w:val="3C756255"/>
    <w:rsid w:val="3C9E39FD"/>
    <w:rsid w:val="3C9F4DD0"/>
    <w:rsid w:val="3D0D46DF"/>
    <w:rsid w:val="3D254A9A"/>
    <w:rsid w:val="3D3C5A02"/>
    <w:rsid w:val="3D430E91"/>
    <w:rsid w:val="3D723C25"/>
    <w:rsid w:val="3D8F5CCA"/>
    <w:rsid w:val="3D910454"/>
    <w:rsid w:val="3D964F1B"/>
    <w:rsid w:val="3E0C2560"/>
    <w:rsid w:val="3EB02237"/>
    <w:rsid w:val="3EB80B41"/>
    <w:rsid w:val="3EE65C63"/>
    <w:rsid w:val="3FCF6608"/>
    <w:rsid w:val="40476BB4"/>
    <w:rsid w:val="4092377C"/>
    <w:rsid w:val="40AA78B9"/>
    <w:rsid w:val="411E6EBB"/>
    <w:rsid w:val="41B079AE"/>
    <w:rsid w:val="41FF0A9A"/>
    <w:rsid w:val="42417218"/>
    <w:rsid w:val="43B55C44"/>
    <w:rsid w:val="44A633D7"/>
    <w:rsid w:val="450B6BAA"/>
    <w:rsid w:val="45531639"/>
    <w:rsid w:val="45EC57D9"/>
    <w:rsid w:val="465467E3"/>
    <w:rsid w:val="466D03B6"/>
    <w:rsid w:val="467A4130"/>
    <w:rsid w:val="46ED3D62"/>
    <w:rsid w:val="46F030A7"/>
    <w:rsid w:val="46FE5A27"/>
    <w:rsid w:val="472165E1"/>
    <w:rsid w:val="472D42FC"/>
    <w:rsid w:val="472D7E58"/>
    <w:rsid w:val="474447A0"/>
    <w:rsid w:val="474B1F88"/>
    <w:rsid w:val="47B50093"/>
    <w:rsid w:val="47CE3835"/>
    <w:rsid w:val="47E938E8"/>
    <w:rsid w:val="47F548C0"/>
    <w:rsid w:val="48543A65"/>
    <w:rsid w:val="48551120"/>
    <w:rsid w:val="489A6008"/>
    <w:rsid w:val="48CE1A32"/>
    <w:rsid w:val="492B6619"/>
    <w:rsid w:val="49356079"/>
    <w:rsid w:val="4957634E"/>
    <w:rsid w:val="496F10FC"/>
    <w:rsid w:val="49881CCB"/>
    <w:rsid w:val="49975FBC"/>
    <w:rsid w:val="49D13AE4"/>
    <w:rsid w:val="49E1480A"/>
    <w:rsid w:val="49FB653F"/>
    <w:rsid w:val="4A4B3E0B"/>
    <w:rsid w:val="4A5D44B5"/>
    <w:rsid w:val="4A6437D4"/>
    <w:rsid w:val="4A8F086C"/>
    <w:rsid w:val="4AB070BD"/>
    <w:rsid w:val="4AE46E2A"/>
    <w:rsid w:val="4B086260"/>
    <w:rsid w:val="4B792C11"/>
    <w:rsid w:val="4C6C6665"/>
    <w:rsid w:val="4C993854"/>
    <w:rsid w:val="4C9D782D"/>
    <w:rsid w:val="4CBA0C3C"/>
    <w:rsid w:val="4CC773C4"/>
    <w:rsid w:val="4CE81B67"/>
    <w:rsid w:val="4CF077D9"/>
    <w:rsid w:val="4D211BA8"/>
    <w:rsid w:val="4E816CDB"/>
    <w:rsid w:val="4EC5185F"/>
    <w:rsid w:val="4F0516BA"/>
    <w:rsid w:val="4F7A2315"/>
    <w:rsid w:val="4F9273F2"/>
    <w:rsid w:val="4FB31056"/>
    <w:rsid w:val="501D04C6"/>
    <w:rsid w:val="50224539"/>
    <w:rsid w:val="50675167"/>
    <w:rsid w:val="509B115C"/>
    <w:rsid w:val="50E705D7"/>
    <w:rsid w:val="50F773EF"/>
    <w:rsid w:val="50FA6AF3"/>
    <w:rsid w:val="51040E29"/>
    <w:rsid w:val="51AC2CF6"/>
    <w:rsid w:val="51CF2789"/>
    <w:rsid w:val="51EE696A"/>
    <w:rsid w:val="52E60BBD"/>
    <w:rsid w:val="53537FC2"/>
    <w:rsid w:val="537A576C"/>
    <w:rsid w:val="538D6EF1"/>
    <w:rsid w:val="53E24E79"/>
    <w:rsid w:val="54051CBA"/>
    <w:rsid w:val="54627517"/>
    <w:rsid w:val="54C301E3"/>
    <w:rsid w:val="54CD3E95"/>
    <w:rsid w:val="54FE1085"/>
    <w:rsid w:val="5507618C"/>
    <w:rsid w:val="555313D1"/>
    <w:rsid w:val="555465EE"/>
    <w:rsid w:val="5630606F"/>
    <w:rsid w:val="56431446"/>
    <w:rsid w:val="564D2F1F"/>
    <w:rsid w:val="56601D30"/>
    <w:rsid w:val="56864980"/>
    <w:rsid w:val="56BD287A"/>
    <w:rsid w:val="57617D64"/>
    <w:rsid w:val="579023A5"/>
    <w:rsid w:val="579D2991"/>
    <w:rsid w:val="57EF105C"/>
    <w:rsid w:val="58831FCD"/>
    <w:rsid w:val="58A81A34"/>
    <w:rsid w:val="597D4298"/>
    <w:rsid w:val="59CC3500"/>
    <w:rsid w:val="5A17089F"/>
    <w:rsid w:val="5A2B78A9"/>
    <w:rsid w:val="5AC204A2"/>
    <w:rsid w:val="5ADE079F"/>
    <w:rsid w:val="5ADF2CEC"/>
    <w:rsid w:val="5B74302C"/>
    <w:rsid w:val="5B93792A"/>
    <w:rsid w:val="5B9F4190"/>
    <w:rsid w:val="5BBE44A1"/>
    <w:rsid w:val="5C0F2120"/>
    <w:rsid w:val="5CC2508E"/>
    <w:rsid w:val="5CC95CE6"/>
    <w:rsid w:val="5CF04714"/>
    <w:rsid w:val="5CF641B7"/>
    <w:rsid w:val="5CFA7B5F"/>
    <w:rsid w:val="5CFD12BC"/>
    <w:rsid w:val="5D872105"/>
    <w:rsid w:val="5DCE519B"/>
    <w:rsid w:val="5DDC2951"/>
    <w:rsid w:val="5E042794"/>
    <w:rsid w:val="5E516BE9"/>
    <w:rsid w:val="5E8E75A3"/>
    <w:rsid w:val="5E9860A7"/>
    <w:rsid w:val="5EBC232F"/>
    <w:rsid w:val="5EC0678A"/>
    <w:rsid w:val="5ED877D8"/>
    <w:rsid w:val="5EE240B6"/>
    <w:rsid w:val="5F1A5C6D"/>
    <w:rsid w:val="5F2F7A39"/>
    <w:rsid w:val="5FA814DF"/>
    <w:rsid w:val="5FE82FD2"/>
    <w:rsid w:val="5FED58DF"/>
    <w:rsid w:val="6040616F"/>
    <w:rsid w:val="60B168B0"/>
    <w:rsid w:val="60C5514D"/>
    <w:rsid w:val="60D96503"/>
    <w:rsid w:val="60DD148F"/>
    <w:rsid w:val="60FF3D49"/>
    <w:rsid w:val="61305322"/>
    <w:rsid w:val="6159154D"/>
    <w:rsid w:val="61994C8C"/>
    <w:rsid w:val="61A65755"/>
    <w:rsid w:val="61BA65BF"/>
    <w:rsid w:val="628F77C1"/>
    <w:rsid w:val="62922B86"/>
    <w:rsid w:val="62B83782"/>
    <w:rsid w:val="62F67905"/>
    <w:rsid w:val="63344D9C"/>
    <w:rsid w:val="6372336A"/>
    <w:rsid w:val="63852965"/>
    <w:rsid w:val="63B719CA"/>
    <w:rsid w:val="63B87749"/>
    <w:rsid w:val="63E92F01"/>
    <w:rsid w:val="64063AB3"/>
    <w:rsid w:val="64255857"/>
    <w:rsid w:val="64371776"/>
    <w:rsid w:val="64371EBE"/>
    <w:rsid w:val="64565DD5"/>
    <w:rsid w:val="646903D7"/>
    <w:rsid w:val="647B624F"/>
    <w:rsid w:val="64B47B11"/>
    <w:rsid w:val="64E2382D"/>
    <w:rsid w:val="652C145A"/>
    <w:rsid w:val="652E3534"/>
    <w:rsid w:val="6614440A"/>
    <w:rsid w:val="678E46C4"/>
    <w:rsid w:val="6800730B"/>
    <w:rsid w:val="681B5ADF"/>
    <w:rsid w:val="685E210F"/>
    <w:rsid w:val="686065CC"/>
    <w:rsid w:val="689D00AB"/>
    <w:rsid w:val="68A94442"/>
    <w:rsid w:val="68BC5CCF"/>
    <w:rsid w:val="694B1CA9"/>
    <w:rsid w:val="696848C8"/>
    <w:rsid w:val="69D87C9F"/>
    <w:rsid w:val="69F0323B"/>
    <w:rsid w:val="6A333F49"/>
    <w:rsid w:val="6A3D7B02"/>
    <w:rsid w:val="6A6F3824"/>
    <w:rsid w:val="6AB204F0"/>
    <w:rsid w:val="6AE125CF"/>
    <w:rsid w:val="6AF97ECD"/>
    <w:rsid w:val="6B356F25"/>
    <w:rsid w:val="6C6121CE"/>
    <w:rsid w:val="6C7822A9"/>
    <w:rsid w:val="6C9B0687"/>
    <w:rsid w:val="6CCD0C34"/>
    <w:rsid w:val="6D2B360C"/>
    <w:rsid w:val="6D65184A"/>
    <w:rsid w:val="6DD94EB7"/>
    <w:rsid w:val="6ED65668"/>
    <w:rsid w:val="6F5F3C10"/>
    <w:rsid w:val="6F7D619A"/>
    <w:rsid w:val="6F9F35B4"/>
    <w:rsid w:val="6FCA71E0"/>
    <w:rsid w:val="6FD827A7"/>
    <w:rsid w:val="703145D9"/>
    <w:rsid w:val="706C1141"/>
    <w:rsid w:val="706E7C9E"/>
    <w:rsid w:val="707324D0"/>
    <w:rsid w:val="70CF5032"/>
    <w:rsid w:val="71856DEF"/>
    <w:rsid w:val="71A130D0"/>
    <w:rsid w:val="71DA004A"/>
    <w:rsid w:val="726B69B0"/>
    <w:rsid w:val="728A0291"/>
    <w:rsid w:val="729F531D"/>
    <w:rsid w:val="72CF47E7"/>
    <w:rsid w:val="72ED48AE"/>
    <w:rsid w:val="730361B9"/>
    <w:rsid w:val="734466F5"/>
    <w:rsid w:val="738D5656"/>
    <w:rsid w:val="73EA2043"/>
    <w:rsid w:val="742740AC"/>
    <w:rsid w:val="743A2B40"/>
    <w:rsid w:val="745F7336"/>
    <w:rsid w:val="74923BF4"/>
    <w:rsid w:val="74C44810"/>
    <w:rsid w:val="74CF773B"/>
    <w:rsid w:val="750202C6"/>
    <w:rsid w:val="75475CD9"/>
    <w:rsid w:val="75B354EE"/>
    <w:rsid w:val="75BC3DFE"/>
    <w:rsid w:val="76A06528"/>
    <w:rsid w:val="76DB2792"/>
    <w:rsid w:val="77091498"/>
    <w:rsid w:val="777728A5"/>
    <w:rsid w:val="77BA7B83"/>
    <w:rsid w:val="77EA05CE"/>
    <w:rsid w:val="785D1817"/>
    <w:rsid w:val="786C5947"/>
    <w:rsid w:val="78861E4A"/>
    <w:rsid w:val="78D37FAF"/>
    <w:rsid w:val="78F57EFF"/>
    <w:rsid w:val="79BF5E05"/>
    <w:rsid w:val="79F71BE1"/>
    <w:rsid w:val="7A0D60DE"/>
    <w:rsid w:val="7A0F5025"/>
    <w:rsid w:val="7A16003B"/>
    <w:rsid w:val="7A367DDC"/>
    <w:rsid w:val="7A6A4943"/>
    <w:rsid w:val="7AE600D4"/>
    <w:rsid w:val="7AEC35AA"/>
    <w:rsid w:val="7B0A28DC"/>
    <w:rsid w:val="7B0B390C"/>
    <w:rsid w:val="7B8109A5"/>
    <w:rsid w:val="7BBA0FB3"/>
    <w:rsid w:val="7BF21F72"/>
    <w:rsid w:val="7C9B21DA"/>
    <w:rsid w:val="7CAC5049"/>
    <w:rsid w:val="7CE31C56"/>
    <w:rsid w:val="7D5A1A2C"/>
    <w:rsid w:val="7D686286"/>
    <w:rsid w:val="7D757A64"/>
    <w:rsid w:val="7D921F97"/>
    <w:rsid w:val="7DA34981"/>
    <w:rsid w:val="7DA83736"/>
    <w:rsid w:val="7DB9757F"/>
    <w:rsid w:val="7E104461"/>
    <w:rsid w:val="7F39186C"/>
    <w:rsid w:val="7F3A7F76"/>
    <w:rsid w:val="7F6E5771"/>
    <w:rsid w:val="7FCE5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qFormat/>
    <w:uiPriority w:val="0"/>
    <w:pPr>
      <w:keepNext/>
      <w:keepLines/>
      <w:adjustRightInd w:val="0"/>
      <w:snapToGrid w:val="0"/>
      <w:spacing w:line="360" w:lineRule="auto"/>
      <w:jc w:val="center"/>
      <w:outlineLvl w:val="0"/>
    </w:pPr>
    <w:rPr>
      <w:rFonts w:ascii="方正小标宋简体" w:hAnsi="方正小标宋简体" w:eastAsia="方正小标宋简体" w:cs="方正小标宋简体"/>
      <w:b/>
      <w:kern w:val="44"/>
      <w:sz w:val="32"/>
      <w:szCs w:val="32"/>
    </w:rPr>
  </w:style>
  <w:style w:type="paragraph" w:styleId="3">
    <w:name w:val="heading 2"/>
    <w:basedOn w:val="1"/>
    <w:next w:val="1"/>
    <w:link w:val="44"/>
    <w:unhideWhenUsed/>
    <w:qFormat/>
    <w:uiPriority w:val="0"/>
    <w:pPr>
      <w:snapToGrid w:val="0"/>
      <w:jc w:val="center"/>
      <w:outlineLvl w:val="1"/>
    </w:pPr>
    <w:rPr>
      <w:rFonts w:ascii="仿宋_GB2312" w:hAnsi="仿宋_GB2312" w:eastAsia="仿宋_GB2312" w:cs="仿宋_GB2312"/>
      <w:b/>
      <w:bCs/>
      <w:sz w:val="32"/>
      <w:szCs w:val="32"/>
    </w:rPr>
  </w:style>
  <w:style w:type="paragraph" w:styleId="4">
    <w:name w:val="heading 3"/>
    <w:basedOn w:val="3"/>
    <w:next w:val="1"/>
    <w:link w:val="34"/>
    <w:unhideWhenUsed/>
    <w:qFormat/>
    <w:uiPriority w:val="0"/>
    <w:pPr>
      <w:numPr>
        <w:ilvl w:val="0"/>
        <w:numId w:val="1"/>
      </w:numPr>
      <w:jc w:val="left"/>
      <w:outlineLvl w:val="2"/>
    </w:p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qFormat/>
    <w:uiPriority w:val="0"/>
    <w:pPr>
      <w:ind w:left="1440"/>
    </w:pPr>
    <w:rPr>
      <w:rFonts w:asciiTheme="minorHAnsi" w:hAnsiTheme="minorHAnsi" w:cstheme="minorHAnsi"/>
      <w:sz w:val="18"/>
      <w:szCs w:val="18"/>
    </w:rPr>
  </w:style>
  <w:style w:type="paragraph" w:styleId="6">
    <w:name w:val="caption"/>
    <w:basedOn w:val="1"/>
    <w:next w:val="1"/>
    <w:unhideWhenUsed/>
    <w:qFormat/>
    <w:uiPriority w:val="0"/>
    <w:rPr>
      <w:rFonts w:eastAsia="黑体" w:asciiTheme="majorHAnsi" w:hAnsiTheme="majorHAnsi" w:cstheme="majorBidi"/>
      <w:sz w:val="20"/>
      <w:szCs w:val="20"/>
    </w:rPr>
  </w:style>
  <w:style w:type="paragraph" w:styleId="7">
    <w:name w:val="annotation text"/>
    <w:basedOn w:val="1"/>
    <w:link w:val="42"/>
    <w:qFormat/>
    <w:uiPriority w:val="0"/>
  </w:style>
  <w:style w:type="paragraph" w:styleId="8">
    <w:name w:val="toc 5"/>
    <w:basedOn w:val="1"/>
    <w:next w:val="1"/>
    <w:qFormat/>
    <w:uiPriority w:val="0"/>
    <w:pPr>
      <w:ind w:left="960"/>
    </w:pPr>
    <w:rPr>
      <w:rFonts w:asciiTheme="minorHAnsi" w:hAnsiTheme="minorHAnsi" w:cstheme="minorHAnsi"/>
      <w:sz w:val="18"/>
      <w:szCs w:val="18"/>
    </w:rPr>
  </w:style>
  <w:style w:type="paragraph" w:styleId="9">
    <w:name w:val="toc 3"/>
    <w:basedOn w:val="1"/>
    <w:next w:val="1"/>
    <w:qFormat/>
    <w:uiPriority w:val="39"/>
    <w:pPr>
      <w:ind w:left="480"/>
    </w:pPr>
    <w:rPr>
      <w:rFonts w:asciiTheme="minorHAnsi" w:hAnsiTheme="minorHAnsi" w:cstheme="minorHAnsi"/>
      <w:i/>
      <w:iCs/>
      <w:sz w:val="20"/>
      <w:szCs w:val="20"/>
    </w:rPr>
  </w:style>
  <w:style w:type="paragraph" w:styleId="10">
    <w:name w:val="toc 8"/>
    <w:basedOn w:val="1"/>
    <w:next w:val="1"/>
    <w:qFormat/>
    <w:uiPriority w:val="0"/>
    <w:pPr>
      <w:ind w:left="1680"/>
    </w:pPr>
    <w:rPr>
      <w:rFonts w:asciiTheme="minorHAnsi" w:hAnsiTheme="minorHAnsi" w:cstheme="minorHAnsi"/>
      <w:sz w:val="18"/>
      <w:szCs w:val="18"/>
    </w:rPr>
  </w:style>
  <w:style w:type="paragraph" w:styleId="11">
    <w:name w:val="Balloon Text"/>
    <w:basedOn w:val="1"/>
    <w:link w:val="41"/>
    <w:qFormat/>
    <w:uiPriority w:val="0"/>
    <w:rPr>
      <w:sz w:val="18"/>
      <w:szCs w:val="18"/>
    </w:rPr>
  </w:style>
  <w:style w:type="paragraph" w:styleId="12">
    <w:name w:val="footer"/>
    <w:basedOn w:val="1"/>
    <w:qFormat/>
    <w:uiPriority w:val="0"/>
    <w:pPr>
      <w:tabs>
        <w:tab w:val="center" w:pos="4153"/>
        <w:tab w:val="right" w:pos="8306"/>
      </w:tabs>
      <w:snapToGrid w:val="0"/>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4">
    <w:name w:val="toc 1"/>
    <w:basedOn w:val="1"/>
    <w:next w:val="1"/>
    <w:qFormat/>
    <w:uiPriority w:val="39"/>
    <w:pPr>
      <w:tabs>
        <w:tab w:val="right" w:leader="dot" w:pos="8296"/>
      </w:tabs>
      <w:spacing w:before="120" w:after="120"/>
      <w:jc w:val="center"/>
    </w:pPr>
    <w:rPr>
      <w:rFonts w:asciiTheme="minorHAnsi" w:hAnsiTheme="minorHAnsi" w:cstheme="minorHAnsi"/>
      <w:b/>
      <w:bCs/>
      <w:caps/>
      <w:sz w:val="20"/>
      <w:szCs w:val="20"/>
    </w:rPr>
  </w:style>
  <w:style w:type="paragraph" w:styleId="15">
    <w:name w:val="toc 4"/>
    <w:basedOn w:val="1"/>
    <w:next w:val="1"/>
    <w:qFormat/>
    <w:uiPriority w:val="0"/>
    <w:pPr>
      <w:ind w:left="720"/>
    </w:pPr>
    <w:rPr>
      <w:rFonts w:asciiTheme="minorHAnsi" w:hAnsiTheme="minorHAnsi" w:cstheme="minorHAnsi"/>
      <w:sz w:val="18"/>
      <w:szCs w:val="18"/>
    </w:rPr>
  </w:style>
  <w:style w:type="paragraph" w:styleId="16">
    <w:name w:val="toc 6"/>
    <w:basedOn w:val="1"/>
    <w:next w:val="1"/>
    <w:qFormat/>
    <w:uiPriority w:val="0"/>
    <w:pPr>
      <w:ind w:left="1200"/>
    </w:pPr>
    <w:rPr>
      <w:rFonts w:asciiTheme="minorHAnsi" w:hAnsiTheme="minorHAnsi" w:cstheme="minorHAnsi"/>
      <w:sz w:val="18"/>
      <w:szCs w:val="18"/>
    </w:rPr>
  </w:style>
  <w:style w:type="paragraph" w:styleId="17">
    <w:name w:val="table of figures"/>
    <w:basedOn w:val="1"/>
    <w:next w:val="1"/>
    <w:qFormat/>
    <w:uiPriority w:val="99"/>
    <w:pPr>
      <w:ind w:left="200" w:leftChars="200" w:hanging="200" w:hangingChars="200"/>
    </w:pPr>
  </w:style>
  <w:style w:type="paragraph" w:styleId="18">
    <w:name w:val="toc 2"/>
    <w:basedOn w:val="1"/>
    <w:next w:val="1"/>
    <w:qFormat/>
    <w:uiPriority w:val="39"/>
    <w:pPr>
      <w:ind w:left="240"/>
    </w:pPr>
    <w:rPr>
      <w:rFonts w:asciiTheme="minorHAnsi" w:hAnsiTheme="minorHAnsi" w:cstheme="minorHAnsi"/>
      <w:smallCaps/>
      <w:sz w:val="20"/>
      <w:szCs w:val="20"/>
    </w:rPr>
  </w:style>
  <w:style w:type="paragraph" w:styleId="19">
    <w:name w:val="toc 9"/>
    <w:basedOn w:val="1"/>
    <w:next w:val="1"/>
    <w:qFormat/>
    <w:uiPriority w:val="0"/>
    <w:pPr>
      <w:ind w:left="1920"/>
    </w:pPr>
    <w:rPr>
      <w:rFonts w:asciiTheme="minorHAnsi" w:hAnsiTheme="minorHAnsi" w:cstheme="minorHAnsi"/>
      <w:sz w:val="18"/>
      <w:szCs w:val="18"/>
    </w:rPr>
  </w:style>
  <w:style w:type="paragraph" w:styleId="20">
    <w:name w:val="Normal (Web)"/>
    <w:basedOn w:val="1"/>
    <w:qFormat/>
    <w:uiPriority w:val="0"/>
    <w:rPr>
      <w:rFonts w:ascii="Calibri" w:hAnsi="Calibri" w:cs="Times New Roman"/>
    </w:rPr>
  </w:style>
  <w:style w:type="paragraph" w:styleId="21">
    <w:name w:val="Title"/>
    <w:basedOn w:val="1"/>
    <w:next w:val="1"/>
    <w:link w:val="36"/>
    <w:qFormat/>
    <w:uiPriority w:val="0"/>
    <w:pPr>
      <w:spacing w:before="240" w:after="60"/>
      <w:jc w:val="center"/>
      <w:outlineLvl w:val="0"/>
    </w:pPr>
    <w:rPr>
      <w:rFonts w:asciiTheme="majorHAnsi" w:hAnsiTheme="majorHAnsi" w:eastAsiaTheme="majorEastAsia" w:cstheme="majorBidi"/>
      <w:b/>
      <w:bCs/>
      <w:sz w:val="32"/>
      <w:szCs w:val="32"/>
    </w:rPr>
  </w:style>
  <w:style w:type="paragraph" w:styleId="22">
    <w:name w:val="annotation subject"/>
    <w:basedOn w:val="7"/>
    <w:next w:val="7"/>
    <w:link w:val="43"/>
    <w:qFormat/>
    <w:uiPriority w:val="0"/>
    <w:rPr>
      <w:b/>
      <w:bCs/>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rPr>
  </w:style>
  <w:style w:type="character" w:styleId="27">
    <w:name w:val="FollowedHyperlink"/>
    <w:basedOn w:val="25"/>
    <w:qFormat/>
    <w:uiPriority w:val="0"/>
    <w:rPr>
      <w:color w:val="954F72" w:themeColor="followedHyperlink"/>
      <w:u w:val="single"/>
      <w14:textFill>
        <w14:solidFill>
          <w14:schemeClr w14:val="folHlink"/>
        </w14:solidFill>
      </w14:textFill>
    </w:rPr>
  </w:style>
  <w:style w:type="character" w:styleId="28">
    <w:name w:val="Hyperlink"/>
    <w:basedOn w:val="25"/>
    <w:qFormat/>
    <w:uiPriority w:val="99"/>
    <w:rPr>
      <w:color w:val="0000FF"/>
      <w:u w:val="single"/>
    </w:rPr>
  </w:style>
  <w:style w:type="character" w:styleId="29">
    <w:name w:val="annotation reference"/>
    <w:basedOn w:val="25"/>
    <w:qFormat/>
    <w:uiPriority w:val="0"/>
    <w:rPr>
      <w:sz w:val="21"/>
      <w:szCs w:val="21"/>
    </w:rPr>
  </w:style>
  <w:style w:type="character" w:customStyle="1" w:styleId="30">
    <w:name w:val="font91"/>
    <w:basedOn w:val="25"/>
    <w:qFormat/>
    <w:uiPriority w:val="0"/>
    <w:rPr>
      <w:rFonts w:ascii="Arial" w:hAnsi="Arial" w:cs="Arial"/>
      <w:color w:val="000000"/>
      <w:sz w:val="16"/>
      <w:szCs w:val="16"/>
      <w:u w:val="none"/>
    </w:rPr>
  </w:style>
  <w:style w:type="character" w:customStyle="1" w:styleId="31">
    <w:name w:val="font51"/>
    <w:basedOn w:val="25"/>
    <w:qFormat/>
    <w:uiPriority w:val="0"/>
    <w:rPr>
      <w:rFonts w:hint="eastAsia" w:ascii="宋体" w:hAnsi="宋体" w:eastAsia="宋体" w:cs="宋体"/>
      <w:color w:val="000000"/>
      <w:sz w:val="16"/>
      <w:szCs w:val="16"/>
      <w:u w:val="none"/>
    </w:rPr>
  </w:style>
  <w:style w:type="paragraph" w:customStyle="1" w:styleId="32">
    <w:name w:val="文字"/>
    <w:qFormat/>
    <w:uiPriority w:val="0"/>
    <w:pPr>
      <w:adjustRightInd w:val="0"/>
      <w:snapToGrid w:val="0"/>
      <w:spacing w:line="360" w:lineRule="auto"/>
      <w:ind w:firstLine="560" w:firstLineChars="200"/>
    </w:pPr>
    <w:rPr>
      <w:rFonts w:ascii="仿宋_GB2312" w:hAnsi="仿宋_GB2312" w:eastAsia="仿宋_GB2312" w:cs="仿宋_GB2312"/>
      <w:bCs/>
      <w:kern w:val="44"/>
      <w:sz w:val="28"/>
      <w:szCs w:val="28"/>
      <w:lang w:val="en-US" w:eastAsia="zh-CN" w:bidi="ar-SA"/>
    </w:rPr>
  </w:style>
  <w:style w:type="paragraph" w:styleId="33">
    <w:name w:val="List Paragraph"/>
    <w:basedOn w:val="1"/>
    <w:unhideWhenUsed/>
    <w:qFormat/>
    <w:uiPriority w:val="99"/>
    <w:pPr>
      <w:ind w:firstLine="420" w:firstLineChars="200"/>
    </w:pPr>
  </w:style>
  <w:style w:type="character" w:customStyle="1" w:styleId="34">
    <w:name w:val="标题 3 字符"/>
    <w:link w:val="4"/>
    <w:semiHidden/>
    <w:qFormat/>
    <w:uiPriority w:val="0"/>
    <w:rPr>
      <w:rFonts w:ascii="仿宋_GB2312" w:hAnsi="仿宋_GB2312" w:eastAsia="仿宋_GB2312" w:cs="仿宋_GB2312"/>
      <w:b/>
      <w:bCs/>
      <w:sz w:val="32"/>
      <w:szCs w:val="32"/>
      <w:lang w:val="en-US" w:eastAsia="zh-CN" w:bidi="ar-SA"/>
    </w:rPr>
  </w:style>
  <w:style w:type="character" w:customStyle="1" w:styleId="35">
    <w:name w:val="未处理的提及1"/>
    <w:basedOn w:val="25"/>
    <w:semiHidden/>
    <w:unhideWhenUsed/>
    <w:qFormat/>
    <w:uiPriority w:val="99"/>
    <w:rPr>
      <w:color w:val="605E5C"/>
      <w:shd w:val="clear" w:color="auto" w:fill="E1DFDD"/>
    </w:rPr>
  </w:style>
  <w:style w:type="character" w:customStyle="1" w:styleId="36">
    <w:name w:val="标题 字符"/>
    <w:basedOn w:val="25"/>
    <w:link w:val="21"/>
    <w:qFormat/>
    <w:uiPriority w:val="0"/>
    <w:rPr>
      <w:rFonts w:asciiTheme="majorHAnsi" w:hAnsiTheme="majorHAnsi" w:eastAsiaTheme="majorEastAsia" w:cstheme="majorBidi"/>
      <w:b/>
      <w:bCs/>
      <w:sz w:val="32"/>
      <w:szCs w:val="32"/>
    </w:rPr>
  </w:style>
  <w:style w:type="character" w:customStyle="1" w:styleId="37">
    <w:name w:val="不明显强调1"/>
    <w:basedOn w:val="25"/>
    <w:qFormat/>
    <w:uiPriority w:val="19"/>
    <w:rPr>
      <w:i/>
      <w:iCs/>
      <w:color w:val="404040" w:themeColor="text1" w:themeTint="BF"/>
      <w14:textFill>
        <w14:solidFill>
          <w14:schemeClr w14:val="tx1">
            <w14:lumMod w14:val="75000"/>
            <w14:lumOff w14:val="25000"/>
          </w14:schemeClr>
        </w14:solidFill>
      </w14:textFill>
    </w:rPr>
  </w:style>
  <w:style w:type="paragraph" w:customStyle="1" w:styleId="38">
    <w:name w:val="表格文字"/>
    <w:basedOn w:val="32"/>
    <w:qFormat/>
    <w:uiPriority w:val="0"/>
    <w:pPr>
      <w:ind w:left="-2" w:leftChars="-1" w:firstLine="0" w:firstLineChars="0"/>
    </w:pPr>
  </w:style>
  <w:style w:type="character" w:customStyle="1" w:styleId="39">
    <w:name w:val="未处理的提及2"/>
    <w:basedOn w:val="25"/>
    <w:semiHidden/>
    <w:unhideWhenUsed/>
    <w:qFormat/>
    <w:uiPriority w:val="99"/>
    <w:rPr>
      <w:color w:val="605E5C"/>
      <w:shd w:val="clear" w:color="auto" w:fill="E1DFDD"/>
    </w:rPr>
  </w:style>
  <w:style w:type="table" w:customStyle="1" w:styleId="40">
    <w:name w:val="无格式表格 21"/>
    <w:basedOn w:val="23"/>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41">
    <w:name w:val="批注框文本 字符"/>
    <w:basedOn w:val="25"/>
    <w:link w:val="11"/>
    <w:qFormat/>
    <w:uiPriority w:val="0"/>
    <w:rPr>
      <w:rFonts w:ascii="宋体" w:hAnsi="宋体" w:cs="宋体"/>
      <w:sz w:val="18"/>
      <w:szCs w:val="18"/>
    </w:rPr>
  </w:style>
  <w:style w:type="character" w:customStyle="1" w:styleId="42">
    <w:name w:val="批注文字 字符"/>
    <w:basedOn w:val="25"/>
    <w:link w:val="7"/>
    <w:qFormat/>
    <w:uiPriority w:val="0"/>
    <w:rPr>
      <w:rFonts w:ascii="宋体" w:hAnsi="宋体" w:cs="宋体"/>
      <w:sz w:val="24"/>
      <w:szCs w:val="24"/>
    </w:rPr>
  </w:style>
  <w:style w:type="character" w:customStyle="1" w:styleId="43">
    <w:name w:val="批注主题 字符"/>
    <w:basedOn w:val="42"/>
    <w:link w:val="22"/>
    <w:qFormat/>
    <w:uiPriority w:val="0"/>
    <w:rPr>
      <w:rFonts w:ascii="宋体" w:hAnsi="宋体" w:cs="宋体"/>
      <w:b/>
      <w:bCs/>
      <w:sz w:val="24"/>
      <w:szCs w:val="24"/>
    </w:rPr>
  </w:style>
  <w:style w:type="character" w:customStyle="1" w:styleId="44">
    <w:name w:val="标题 2 字符"/>
    <w:link w:val="3"/>
    <w:qFormat/>
    <w:uiPriority w:val="0"/>
    <w:rPr>
      <w:rFonts w:ascii="仿宋_GB2312" w:hAnsi="仿宋_GB2312" w:eastAsia="仿宋_GB2312" w:cs="仿宋_GB2312"/>
      <w:b/>
      <w:bCs/>
      <w:sz w:val="32"/>
      <w:szCs w:val="32"/>
      <w:lang w:val="en-US" w:eastAsia="zh-CN" w:bidi="ar-SA"/>
    </w:rPr>
  </w:style>
  <w:style w:type="table" w:customStyle="1" w:styleId="45">
    <w:name w:val="清单表 3 - 着色 11"/>
    <w:basedOn w:val="23"/>
    <w:qFormat/>
    <w:uiPriority w:val="48"/>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bCs/>
        <w:color w:val="FFFFFF" w:themeColor="background1"/>
        <w14:textFill>
          <w14:solidFill>
            <w14:schemeClr w14:val="bg1"/>
          </w14:solidFill>
        </w14:textFill>
      </w:rPr>
      <w:tcPr>
        <w:shd w:val="clear" w:color="auto" w:fill="5B9BD5" w:themeFill="accent1"/>
      </w:tcPr>
    </w:tblStylePr>
    <w:tblStylePr w:type="lastRow">
      <w:rPr>
        <w:b/>
        <w:bCs/>
      </w:rPr>
      <w:tcPr>
        <w:tcBorders>
          <w:top w:val="double" w:color="5B9BD5"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5B9BD5" w:themeColor="accent1" w:sz="4" w:space="0"/>
          <w:right w:val="single" w:color="5B9BD5" w:themeColor="accent1" w:sz="4" w:space="0"/>
        </w:tcBorders>
      </w:tcPr>
    </w:tblStylePr>
    <w:tblStylePr w:type="band1Horz">
      <w:tcPr>
        <w:tcBorders>
          <w:top w:val="single" w:color="5B9BD5" w:themeColor="accent1" w:sz="4" w:space="0"/>
          <w:bottom w:val="single" w:color="5B9BD5"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5B9BD5" w:themeColor="accent1" w:sz="4" w:space="0"/>
          <w:left w:val="nil"/>
        </w:tcBorders>
      </w:tcPr>
    </w:tblStylePr>
    <w:tblStylePr w:type="swCell">
      <w:tcPr>
        <w:tcBorders>
          <w:top w:val="double" w:color="5B9BD5" w:themeColor="accent1" w:sz="4" w:space="0"/>
          <w:right w:val="nil"/>
        </w:tcBorders>
      </w:tcPr>
    </w:tblStylePr>
  </w:style>
  <w:style w:type="character" w:customStyle="1" w:styleId="46">
    <w:name w:val="Unresolved Mention"/>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421170-282B-CB47-A1ED-672013FA7277}">
  <ds:schemaRefs/>
</ds:datastoreItem>
</file>

<file path=docProps/app.xml><?xml version="1.0" encoding="utf-8"?>
<Properties xmlns="http://schemas.openxmlformats.org/officeDocument/2006/extended-properties" xmlns:vt="http://schemas.openxmlformats.org/officeDocument/2006/docPropsVTypes">
  <Template>Normal.dotm</Template>
  <Company>集团总部</Company>
  <Pages>7</Pages>
  <Words>4596</Words>
  <Characters>5299</Characters>
  <Lines>55</Lines>
  <Paragraphs>15</Paragraphs>
  <TotalTime>0</TotalTime>
  <ScaleCrop>false</ScaleCrop>
  <LinksUpToDate>false</LinksUpToDate>
  <CharactersWithSpaces>5329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2025-03-16T05:36:00Z</dcterms:created>
  <dc:creator>任毅</dc:creator>
  <cp:lastModifiedBy>蓝天小云</cp:lastModifiedBy>
  <dcterms:modified xsi:type="dcterms:W3CDTF">2025-10-31T06:30:35Z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69B2ADB5A24B4895ACC8D6450E190A22</vt:lpwstr>
  </property>
  <property fmtid="{D5CDD505-2E9C-101B-9397-08002B2CF9AE}" pid="4" name="KSOTemplateDocerSaveRecord">
    <vt:lpwstr>eyJoZGlkIjoiYTAyYWMzNzNkNTc2NDA5ZjJhMjk3NmNmMDFlMDMyNGIiLCJ1c2VySWQiOiIzNTY3OTY0OTMifQ==</vt:lpwstr>
  </property>
</Properties>
</file>