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31004">
      <w:pPr>
        <w:snapToGrid w:val="0"/>
        <w:spacing w:line="360" w:lineRule="auto"/>
        <w:ind w:firstLine="897"/>
        <w:jc w:val="both"/>
        <w:rPr>
          <w:rFonts w:ascii="黑体" w:hAnsi="黑体" w:eastAsia="黑体" w:cs="黑体"/>
          <w:b/>
          <w:bCs/>
          <w:sz w:val="44"/>
          <w:szCs w:val="52"/>
        </w:rPr>
      </w:pPr>
    </w:p>
    <w:p w14:paraId="119D15DD">
      <w:pPr>
        <w:snapToGrid w:val="0"/>
        <w:spacing w:line="360" w:lineRule="auto"/>
        <w:ind w:firstLine="897"/>
        <w:jc w:val="both"/>
        <w:rPr>
          <w:rFonts w:ascii="黑体" w:hAnsi="黑体" w:eastAsia="黑体" w:cs="黑体"/>
          <w:b/>
          <w:bCs/>
          <w:sz w:val="44"/>
          <w:szCs w:val="52"/>
        </w:rPr>
      </w:pPr>
    </w:p>
    <w:p w14:paraId="49502CE4">
      <w:pPr>
        <w:snapToGrid w:val="0"/>
        <w:spacing w:line="360" w:lineRule="auto"/>
        <w:ind w:firstLine="897"/>
        <w:jc w:val="both"/>
        <w:rPr>
          <w:rFonts w:ascii="黑体" w:hAnsi="黑体" w:eastAsia="黑体" w:cs="黑体"/>
          <w:b/>
          <w:bCs/>
          <w:sz w:val="44"/>
          <w:szCs w:val="52"/>
        </w:rPr>
      </w:pPr>
    </w:p>
    <w:p w14:paraId="425C56E5">
      <w:pPr>
        <w:snapToGrid w:val="0"/>
        <w:spacing w:line="360" w:lineRule="auto"/>
        <w:ind w:firstLine="897"/>
        <w:jc w:val="both"/>
        <w:rPr>
          <w:rFonts w:ascii="黑体" w:hAnsi="黑体" w:eastAsia="黑体" w:cs="黑体"/>
          <w:b/>
          <w:bCs/>
          <w:sz w:val="44"/>
          <w:szCs w:val="52"/>
        </w:rPr>
      </w:pPr>
    </w:p>
    <w:p w14:paraId="02182963">
      <w:pPr>
        <w:snapToGrid w:val="0"/>
        <w:spacing w:line="360" w:lineRule="auto"/>
        <w:ind w:firstLine="897"/>
        <w:jc w:val="both"/>
        <w:rPr>
          <w:rFonts w:ascii="黑体" w:hAnsi="黑体" w:eastAsia="黑体" w:cs="黑体"/>
          <w:b/>
          <w:bCs/>
          <w:sz w:val="44"/>
          <w:szCs w:val="52"/>
        </w:rPr>
      </w:pPr>
    </w:p>
    <w:p w14:paraId="31F2F07A">
      <w:pPr>
        <w:snapToGrid w:val="0"/>
        <w:spacing w:line="360" w:lineRule="auto"/>
        <w:ind w:firstLine="897"/>
        <w:jc w:val="both"/>
        <w:rPr>
          <w:rFonts w:ascii="黑体" w:hAnsi="黑体" w:eastAsia="黑体" w:cs="黑体"/>
          <w:b/>
          <w:bCs/>
          <w:sz w:val="44"/>
          <w:szCs w:val="52"/>
        </w:rPr>
      </w:pPr>
    </w:p>
    <w:p w14:paraId="36B15933">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00E88511">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31</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11</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日）</w:t>
      </w:r>
    </w:p>
    <w:p w14:paraId="5544D387">
      <w:pPr>
        <w:snapToGrid w:val="0"/>
        <w:spacing w:line="360" w:lineRule="auto"/>
        <w:ind w:firstLine="720"/>
        <w:jc w:val="center"/>
        <w:rPr>
          <w:sz w:val="36"/>
          <w:szCs w:val="44"/>
        </w:rPr>
      </w:pPr>
    </w:p>
    <w:p w14:paraId="65E63D99">
      <w:pPr>
        <w:snapToGrid w:val="0"/>
        <w:spacing w:line="360" w:lineRule="auto"/>
        <w:ind w:firstLine="720"/>
        <w:jc w:val="center"/>
        <w:rPr>
          <w:sz w:val="36"/>
          <w:szCs w:val="44"/>
        </w:rPr>
      </w:pPr>
    </w:p>
    <w:p w14:paraId="58B9722C">
      <w:pPr>
        <w:snapToGrid w:val="0"/>
        <w:spacing w:line="360" w:lineRule="auto"/>
        <w:ind w:firstLine="720"/>
        <w:jc w:val="center"/>
        <w:rPr>
          <w:sz w:val="36"/>
          <w:szCs w:val="44"/>
        </w:rPr>
      </w:pPr>
    </w:p>
    <w:p w14:paraId="1FC1E46A">
      <w:pPr>
        <w:snapToGrid w:val="0"/>
        <w:spacing w:line="360" w:lineRule="auto"/>
        <w:ind w:firstLine="720"/>
        <w:jc w:val="center"/>
        <w:rPr>
          <w:sz w:val="36"/>
          <w:szCs w:val="44"/>
        </w:rPr>
      </w:pPr>
    </w:p>
    <w:p w14:paraId="1E781EFC">
      <w:pPr>
        <w:snapToGrid w:val="0"/>
        <w:spacing w:line="360" w:lineRule="auto"/>
        <w:jc w:val="center"/>
        <w:rPr>
          <w:sz w:val="28"/>
          <w:szCs w:val="36"/>
        </w:rPr>
      </w:pPr>
    </w:p>
    <w:p w14:paraId="2CFEAD22">
      <w:pPr>
        <w:snapToGrid w:val="0"/>
        <w:spacing w:line="360" w:lineRule="auto"/>
        <w:jc w:val="center"/>
        <w:rPr>
          <w:sz w:val="28"/>
          <w:szCs w:val="36"/>
        </w:rPr>
      </w:pPr>
    </w:p>
    <w:p w14:paraId="7B06D4DC">
      <w:pPr>
        <w:snapToGrid w:val="0"/>
        <w:spacing w:line="360" w:lineRule="auto"/>
        <w:jc w:val="center"/>
        <w:rPr>
          <w:sz w:val="28"/>
          <w:szCs w:val="36"/>
        </w:rPr>
      </w:pPr>
    </w:p>
    <w:p w14:paraId="2B301D1B">
      <w:pPr>
        <w:snapToGrid w:val="0"/>
        <w:spacing w:line="360" w:lineRule="auto"/>
        <w:jc w:val="center"/>
        <w:rPr>
          <w:sz w:val="28"/>
          <w:szCs w:val="36"/>
        </w:rPr>
      </w:pPr>
    </w:p>
    <w:p w14:paraId="29ACEB17">
      <w:pPr>
        <w:snapToGrid w:val="0"/>
        <w:spacing w:line="360" w:lineRule="auto"/>
        <w:jc w:val="center"/>
        <w:rPr>
          <w:sz w:val="28"/>
          <w:szCs w:val="36"/>
        </w:rPr>
      </w:pPr>
    </w:p>
    <w:p w14:paraId="185A4B32">
      <w:pPr>
        <w:snapToGrid w:val="0"/>
        <w:spacing w:line="360" w:lineRule="auto"/>
        <w:jc w:val="center"/>
        <w:rPr>
          <w:sz w:val="28"/>
          <w:szCs w:val="36"/>
        </w:rPr>
      </w:pPr>
    </w:p>
    <w:p w14:paraId="2D64C245">
      <w:pPr>
        <w:snapToGrid w:val="0"/>
        <w:spacing w:line="360" w:lineRule="auto"/>
        <w:jc w:val="center"/>
        <w:rPr>
          <w:sz w:val="28"/>
          <w:szCs w:val="36"/>
        </w:rPr>
      </w:pPr>
    </w:p>
    <w:p w14:paraId="0CFBEB3E">
      <w:pPr>
        <w:snapToGrid w:val="0"/>
        <w:spacing w:line="360" w:lineRule="auto"/>
        <w:ind w:firstLine="560"/>
        <w:jc w:val="both"/>
      </w:pPr>
    </w:p>
    <w:p w14:paraId="3CB24132">
      <w:pPr>
        <w:pStyle w:val="2"/>
        <w:jc w:val="both"/>
        <w:sectPr>
          <w:pgSz w:w="11906" w:h="16838"/>
          <w:pgMar w:top="1440" w:right="1800" w:bottom="1440" w:left="1800" w:header="851" w:footer="992" w:gutter="0"/>
          <w:cols w:space="425" w:num="1"/>
          <w:docGrid w:type="lines" w:linePitch="312" w:charSpace="0"/>
        </w:sectPr>
      </w:pPr>
    </w:p>
    <w:p w14:paraId="17001136">
      <w:pPr>
        <w:pStyle w:val="2"/>
        <w:jc w:val="both"/>
      </w:pPr>
      <w:bookmarkStart w:id="0" w:name="_Toc5822"/>
      <w:r>
        <w:rPr>
          <w:rFonts w:hint="eastAsia"/>
        </w:rPr>
        <w:t>目录</w:t>
      </w:r>
      <w:bookmarkEnd w:id="0"/>
    </w:p>
    <w:p w14:paraId="3FD0E9C0">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_Toc5822 </w:instrText>
      </w:r>
      <w:r>
        <w:rPr>
          <w:rFonts w:ascii="微软雅黑" w:hAnsi="微软雅黑" w:eastAsia="微软雅黑"/>
          <w:szCs w:val="21"/>
        </w:rPr>
        <w:fldChar w:fldCharType="separate"/>
      </w:r>
      <w:r>
        <w:rPr>
          <w:rFonts w:hint="eastAsia"/>
        </w:rPr>
        <w:t>目录</w:t>
      </w:r>
      <w:r>
        <w:tab/>
      </w:r>
      <w:r>
        <w:fldChar w:fldCharType="begin"/>
      </w:r>
      <w:r>
        <w:instrText xml:space="preserve"> PAGEREF _Toc5822 \h </w:instrText>
      </w:r>
      <w:r>
        <w:fldChar w:fldCharType="separate"/>
      </w:r>
      <w:r>
        <w:t>1</w:t>
      </w:r>
      <w:r>
        <w:fldChar w:fldCharType="end"/>
      </w:r>
      <w:r>
        <w:rPr>
          <w:rFonts w:ascii="微软雅黑" w:hAnsi="微软雅黑" w:eastAsia="微软雅黑"/>
          <w:szCs w:val="21"/>
        </w:rPr>
        <w:fldChar w:fldCharType="end"/>
      </w:r>
    </w:p>
    <w:p w14:paraId="76CBC67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_Toc21414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_Toc21414 \h </w:instrText>
      </w:r>
      <w:r>
        <w:fldChar w:fldCharType="separate"/>
      </w:r>
      <w:r>
        <w:t>2</w:t>
      </w:r>
      <w:r>
        <w:fldChar w:fldCharType="end"/>
      </w:r>
      <w:r>
        <w:rPr>
          <w:rFonts w:ascii="微软雅黑" w:hAnsi="微软雅黑" w:eastAsia="微软雅黑"/>
          <w:szCs w:val="28"/>
        </w:rPr>
        <w:fldChar w:fldCharType="end"/>
      </w:r>
    </w:p>
    <w:p w14:paraId="4CA3763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_Toc32236 </w:instrText>
      </w:r>
      <w:r>
        <w:rPr>
          <w:rFonts w:ascii="微软雅黑" w:hAnsi="微软雅黑" w:eastAsia="微软雅黑"/>
          <w:szCs w:val="28"/>
        </w:rPr>
        <w:fldChar w:fldCharType="separate"/>
      </w:r>
      <w:r>
        <w:rPr>
          <w:rFonts w:hint="default"/>
        </w:rPr>
        <w:t xml:space="preserve">(1) </w:t>
      </w:r>
      <w:r>
        <w:rPr>
          <w:rFonts w:hint="eastAsia" w:ascii="微软雅黑" w:hAnsi="微软雅黑" w:eastAsia="微软雅黑" w:cs="微软雅黑"/>
        </w:rPr>
        <w:t>李强主持召开国务院常务会议，研究深化重点领域改革扩大制度型开放工作等</w:t>
      </w:r>
      <w:r>
        <w:tab/>
      </w:r>
      <w:r>
        <w:fldChar w:fldCharType="begin"/>
      </w:r>
      <w:r>
        <w:instrText xml:space="preserve"> PAGEREF _Toc32236 \h </w:instrText>
      </w:r>
      <w:r>
        <w:fldChar w:fldCharType="separate"/>
      </w:r>
      <w:r>
        <w:t>2</w:t>
      </w:r>
      <w:r>
        <w:fldChar w:fldCharType="end"/>
      </w:r>
      <w:r>
        <w:rPr>
          <w:rFonts w:ascii="微软雅黑" w:hAnsi="微软雅黑" w:eastAsia="微软雅黑"/>
          <w:szCs w:val="28"/>
        </w:rPr>
        <w:fldChar w:fldCharType="end"/>
      </w:r>
    </w:p>
    <w:p w14:paraId="454C9344">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_Toc142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_Toc142 \h </w:instrText>
      </w:r>
      <w:r>
        <w:fldChar w:fldCharType="separate"/>
      </w:r>
      <w:r>
        <w:t>2</w:t>
      </w:r>
      <w:r>
        <w:fldChar w:fldCharType="end"/>
      </w:r>
      <w:r>
        <w:rPr>
          <w:rFonts w:ascii="微软雅黑" w:hAnsi="微软雅黑" w:eastAsia="微软雅黑"/>
          <w:szCs w:val="28"/>
        </w:rPr>
        <w:fldChar w:fldCharType="end"/>
      </w:r>
    </w:p>
    <w:p w14:paraId="1415A464">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_Toc18168 </w:instrText>
      </w:r>
      <w:r>
        <w:rPr>
          <w:rFonts w:ascii="微软雅黑" w:hAnsi="微软雅黑" w:eastAsia="微软雅黑"/>
          <w:szCs w:val="28"/>
        </w:rPr>
        <w:fldChar w:fldCharType="separate"/>
      </w:r>
      <w:r>
        <w:rPr>
          <w:rFonts w:hint="eastAsia"/>
        </w:rPr>
        <w:t>中央</w:t>
      </w:r>
      <w:r>
        <w:tab/>
      </w:r>
      <w:r>
        <w:fldChar w:fldCharType="begin"/>
      </w:r>
      <w:r>
        <w:instrText xml:space="preserve"> PAGEREF _Toc18168 \h </w:instrText>
      </w:r>
      <w:r>
        <w:fldChar w:fldCharType="separate"/>
      </w:r>
      <w:r>
        <w:t>2</w:t>
      </w:r>
      <w:r>
        <w:fldChar w:fldCharType="end"/>
      </w:r>
      <w:r>
        <w:rPr>
          <w:rFonts w:ascii="微软雅黑" w:hAnsi="微软雅黑" w:eastAsia="微软雅黑"/>
          <w:szCs w:val="28"/>
        </w:rPr>
        <w:fldChar w:fldCharType="end"/>
      </w:r>
    </w:p>
    <w:p w14:paraId="1513F93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_Toc20663 </w:instrText>
      </w:r>
      <w:r>
        <w:rPr>
          <w:rFonts w:ascii="微软雅黑" w:hAnsi="微软雅黑" w:eastAsia="微软雅黑"/>
          <w:szCs w:val="28"/>
        </w:rPr>
        <w:fldChar w:fldCharType="separate"/>
      </w:r>
      <w:r>
        <w:rPr>
          <w:rFonts w:hint="default"/>
        </w:rPr>
        <w:t xml:space="preserve">(1) </w:t>
      </w:r>
      <w:r>
        <w:rPr>
          <w:rFonts w:hint="eastAsia" w:ascii="微软雅黑" w:hAnsi="微软雅黑" w:eastAsia="微软雅黑" w:cs="微软雅黑"/>
        </w:rPr>
        <w:t>《节水装备高质量发展实施方案（</w:t>
      </w:r>
      <w:r>
        <w:t>2025——2030</w:t>
      </w:r>
      <w:r>
        <w:rPr>
          <w:rFonts w:hint="eastAsia" w:ascii="微软雅黑" w:hAnsi="微软雅黑" w:eastAsia="微软雅黑" w:cs="微软雅黑"/>
        </w:rPr>
        <w:t>年）》</w:t>
      </w:r>
      <w:r>
        <w:tab/>
      </w:r>
      <w:r>
        <w:fldChar w:fldCharType="begin"/>
      </w:r>
      <w:r>
        <w:instrText xml:space="preserve"> PAGEREF _Toc20663 \h </w:instrText>
      </w:r>
      <w:r>
        <w:fldChar w:fldCharType="separate"/>
      </w:r>
      <w:r>
        <w:t>2</w:t>
      </w:r>
      <w:r>
        <w:fldChar w:fldCharType="end"/>
      </w:r>
      <w:r>
        <w:rPr>
          <w:rFonts w:ascii="微软雅黑" w:hAnsi="微软雅黑" w:eastAsia="微软雅黑"/>
          <w:szCs w:val="28"/>
        </w:rPr>
        <w:fldChar w:fldCharType="end"/>
      </w:r>
      <w:bookmarkStart w:id="18" w:name="_GoBack"/>
      <w:bookmarkEnd w:id="18"/>
    </w:p>
    <w:p w14:paraId="441EC39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_Toc1204 </w:instrText>
      </w:r>
      <w:r>
        <w:rPr>
          <w:rFonts w:ascii="微软雅黑" w:hAnsi="微软雅黑" w:eastAsia="微软雅黑"/>
          <w:szCs w:val="28"/>
        </w:rPr>
        <w:fldChar w:fldCharType="separate"/>
      </w:r>
      <w:r>
        <w:rPr>
          <w:rFonts w:hint="default"/>
        </w:rPr>
        <w:t xml:space="preserve">(2) </w:t>
      </w:r>
      <w:r>
        <w:rPr>
          <w:rFonts w:hint="eastAsia" w:ascii="微软雅黑" w:hAnsi="微软雅黑" w:eastAsia="微软雅黑" w:cs="微软雅黑"/>
        </w:rPr>
        <w:t>《关于拓展绿色贸易的实施意见》</w:t>
      </w:r>
      <w:r>
        <w:tab/>
      </w:r>
      <w:r>
        <w:fldChar w:fldCharType="begin"/>
      </w:r>
      <w:r>
        <w:instrText xml:space="preserve"> PAGEREF _Toc1204 \h </w:instrText>
      </w:r>
      <w:r>
        <w:fldChar w:fldCharType="separate"/>
      </w:r>
      <w:r>
        <w:t>3</w:t>
      </w:r>
      <w:r>
        <w:fldChar w:fldCharType="end"/>
      </w:r>
      <w:r>
        <w:rPr>
          <w:rFonts w:ascii="微软雅黑" w:hAnsi="微软雅黑" w:eastAsia="微软雅黑"/>
          <w:szCs w:val="28"/>
        </w:rPr>
        <w:fldChar w:fldCharType="end"/>
      </w:r>
    </w:p>
    <w:p w14:paraId="0EBCF54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_Toc31869 </w:instrText>
      </w:r>
      <w:r>
        <w:rPr>
          <w:rFonts w:ascii="微软雅黑" w:hAnsi="微软雅黑" w:eastAsia="微软雅黑"/>
          <w:szCs w:val="28"/>
        </w:rPr>
        <w:fldChar w:fldCharType="separate"/>
      </w:r>
      <w:r>
        <w:rPr>
          <w:rFonts w:hint="default"/>
        </w:rPr>
        <w:t xml:space="preserve">(3) </w:t>
      </w:r>
      <w:r>
        <w:rPr>
          <w:rFonts w:hint="eastAsia" w:ascii="微软雅黑" w:hAnsi="微软雅黑" w:eastAsia="微软雅黑" w:cs="微软雅黑"/>
        </w:rPr>
        <w:t>《关于开展</w:t>
      </w:r>
      <w:r>
        <w:t>2025</w:t>
      </w:r>
      <w:r>
        <w:rPr>
          <w:rFonts w:hint="eastAsia" w:ascii="微软雅黑" w:hAnsi="微软雅黑" w:eastAsia="微软雅黑" w:cs="微软雅黑"/>
        </w:rPr>
        <w:t>年人工智能产业及赋能新型工业化创新任务揭榜挂帅工作的通知》</w:t>
      </w:r>
      <w:r>
        <w:tab/>
      </w:r>
      <w:r>
        <w:fldChar w:fldCharType="begin"/>
      </w:r>
      <w:r>
        <w:instrText xml:space="preserve"> PAGEREF _Toc31869 \h </w:instrText>
      </w:r>
      <w:r>
        <w:fldChar w:fldCharType="separate"/>
      </w:r>
      <w:r>
        <w:t>3</w:t>
      </w:r>
      <w:r>
        <w:fldChar w:fldCharType="end"/>
      </w:r>
      <w:r>
        <w:rPr>
          <w:rFonts w:ascii="微软雅黑" w:hAnsi="微软雅黑" w:eastAsia="微软雅黑"/>
          <w:szCs w:val="28"/>
        </w:rPr>
        <w:fldChar w:fldCharType="end"/>
      </w:r>
    </w:p>
    <w:p w14:paraId="186483B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_Toc919 </w:instrText>
      </w:r>
      <w:r>
        <w:rPr>
          <w:rFonts w:ascii="微软雅黑" w:hAnsi="微软雅黑" w:eastAsia="微软雅黑"/>
          <w:szCs w:val="28"/>
        </w:rPr>
        <w:fldChar w:fldCharType="separate"/>
      </w:r>
      <w:r>
        <w:rPr>
          <w:rFonts w:hint="default"/>
        </w:rPr>
        <w:t xml:space="preserve">(4) </w:t>
      </w:r>
      <w:r>
        <w:rPr>
          <w:rFonts w:hint="eastAsia" w:ascii="微软雅黑" w:hAnsi="微软雅黑" w:eastAsia="微软雅黑" w:cs="微软雅黑"/>
        </w:rPr>
        <w:t>《关于促进和规范</w:t>
      </w:r>
      <w:r>
        <w:t>“</w:t>
      </w:r>
      <w:r>
        <w:rPr>
          <w:rFonts w:hint="eastAsia" w:ascii="微软雅黑" w:hAnsi="微软雅黑" w:eastAsia="微软雅黑" w:cs="微软雅黑"/>
        </w:rPr>
        <w:t>人工智能</w:t>
      </w:r>
      <w:r>
        <w:t>+</w:t>
      </w:r>
      <w:r>
        <w:rPr>
          <w:rFonts w:hint="eastAsia" w:ascii="微软雅黑" w:hAnsi="微软雅黑" w:eastAsia="微软雅黑" w:cs="微软雅黑"/>
        </w:rPr>
        <w:t>医疗卫生</w:t>
      </w:r>
      <w:r>
        <w:t>”</w:t>
      </w:r>
      <w:r>
        <w:rPr>
          <w:rFonts w:hint="eastAsia" w:ascii="微软雅黑" w:hAnsi="微软雅黑" w:eastAsia="微软雅黑" w:cs="微软雅黑"/>
        </w:rPr>
        <w:t>应用发展的实施意见》</w:t>
      </w:r>
      <w:r>
        <w:tab/>
      </w:r>
      <w:r>
        <w:fldChar w:fldCharType="begin"/>
      </w:r>
      <w:r>
        <w:instrText xml:space="preserve"> PAGEREF _Toc919 \h </w:instrText>
      </w:r>
      <w:r>
        <w:fldChar w:fldCharType="separate"/>
      </w:r>
      <w:r>
        <w:t>3</w:t>
      </w:r>
      <w:r>
        <w:fldChar w:fldCharType="end"/>
      </w:r>
      <w:r>
        <w:rPr>
          <w:rFonts w:ascii="微软雅黑" w:hAnsi="微软雅黑" w:eastAsia="微软雅黑"/>
          <w:szCs w:val="28"/>
        </w:rPr>
        <w:fldChar w:fldCharType="end"/>
      </w:r>
    </w:p>
    <w:p w14:paraId="7D27163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_Toc26077 </w:instrText>
      </w:r>
      <w:r>
        <w:rPr>
          <w:rFonts w:ascii="微软雅黑" w:hAnsi="微软雅黑" w:eastAsia="微软雅黑"/>
          <w:szCs w:val="28"/>
        </w:rPr>
        <w:fldChar w:fldCharType="separate"/>
      </w:r>
      <w:r>
        <w:rPr>
          <w:rFonts w:hint="default"/>
        </w:rPr>
        <w:t xml:space="preserve">(5) </w:t>
      </w:r>
      <w:r>
        <w:rPr>
          <w:rFonts w:hint="eastAsia" w:ascii="微软雅黑" w:hAnsi="微软雅黑" w:eastAsia="微软雅黑" w:cs="微软雅黑"/>
        </w:rPr>
        <w:t>《关于加快场景培育和开放推动新场景大规模应用的实施意见》</w:t>
      </w:r>
      <w:r>
        <w:tab/>
      </w:r>
      <w:r>
        <w:fldChar w:fldCharType="begin"/>
      </w:r>
      <w:r>
        <w:instrText xml:space="preserve"> PAGEREF _Toc26077 \h </w:instrText>
      </w:r>
      <w:r>
        <w:fldChar w:fldCharType="separate"/>
      </w:r>
      <w:r>
        <w:t>4</w:t>
      </w:r>
      <w:r>
        <w:fldChar w:fldCharType="end"/>
      </w:r>
      <w:r>
        <w:rPr>
          <w:rFonts w:ascii="微软雅黑" w:hAnsi="微软雅黑" w:eastAsia="微软雅黑"/>
          <w:szCs w:val="28"/>
        </w:rPr>
        <w:fldChar w:fldCharType="end"/>
      </w:r>
    </w:p>
    <w:p w14:paraId="20DCFC0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_Toc20350 </w:instrText>
      </w:r>
      <w:r>
        <w:rPr>
          <w:rFonts w:ascii="微软雅黑" w:hAnsi="微软雅黑" w:eastAsia="微软雅黑"/>
          <w:szCs w:val="28"/>
        </w:rPr>
        <w:fldChar w:fldCharType="separate"/>
      </w:r>
      <w:r>
        <w:rPr>
          <w:rFonts w:hint="default"/>
        </w:rPr>
        <w:t xml:space="preserve">(6) </w:t>
      </w:r>
      <w:r>
        <w:rPr>
          <w:rFonts w:hint="eastAsia"/>
        </w:rPr>
        <w:t>《关于组织开展第二批次网络安全保险服务试点工作的通知》</w:t>
      </w:r>
      <w:r>
        <w:tab/>
      </w:r>
      <w:r>
        <w:fldChar w:fldCharType="begin"/>
      </w:r>
      <w:r>
        <w:instrText xml:space="preserve"> PAGEREF _Toc20350 \h </w:instrText>
      </w:r>
      <w:r>
        <w:fldChar w:fldCharType="separate"/>
      </w:r>
      <w:r>
        <w:t>4</w:t>
      </w:r>
      <w:r>
        <w:fldChar w:fldCharType="end"/>
      </w:r>
      <w:r>
        <w:rPr>
          <w:rFonts w:ascii="微软雅黑" w:hAnsi="微软雅黑" w:eastAsia="微软雅黑"/>
          <w:szCs w:val="28"/>
        </w:rPr>
        <w:fldChar w:fldCharType="end"/>
      </w:r>
    </w:p>
    <w:p w14:paraId="1785D86D">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_Toc15280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_Toc15280 \h </w:instrText>
      </w:r>
      <w:r>
        <w:fldChar w:fldCharType="separate"/>
      </w:r>
      <w:r>
        <w:t>5</w:t>
      </w:r>
      <w:r>
        <w:fldChar w:fldCharType="end"/>
      </w:r>
      <w:r>
        <w:rPr>
          <w:rFonts w:ascii="微软雅黑" w:hAnsi="微软雅黑" w:eastAsia="微软雅黑"/>
          <w:szCs w:val="28"/>
        </w:rPr>
        <w:fldChar w:fldCharType="end"/>
      </w:r>
    </w:p>
    <w:p w14:paraId="0FF8A16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_Toc11403 </w:instrText>
      </w:r>
      <w:r>
        <w:rPr>
          <w:rFonts w:ascii="微软雅黑" w:hAnsi="微软雅黑" w:eastAsia="微软雅黑"/>
          <w:szCs w:val="28"/>
        </w:rPr>
        <w:fldChar w:fldCharType="separate"/>
      </w:r>
      <w:r>
        <w:rPr>
          <w:rFonts w:hint="default"/>
        </w:rPr>
        <w:t xml:space="preserve">(1) </w:t>
      </w:r>
      <w:r>
        <w:rPr>
          <w:rFonts w:hint="eastAsia" w:ascii="微软雅黑" w:hAnsi="微软雅黑" w:eastAsia="微软雅黑" w:cs="微软雅黑"/>
        </w:rPr>
        <w:t>《第三批公共数据</w:t>
      </w:r>
      <w:r>
        <w:t>“</w:t>
      </w:r>
      <w:r>
        <w:rPr>
          <w:rFonts w:hint="eastAsia" w:ascii="微软雅黑" w:hAnsi="微软雅黑" w:eastAsia="微软雅黑" w:cs="微软雅黑"/>
        </w:rPr>
        <w:t>跑起来</w:t>
      </w:r>
      <w:r>
        <w:t>”</w:t>
      </w:r>
      <w:r>
        <w:rPr>
          <w:rFonts w:hint="eastAsia" w:ascii="微软雅黑" w:hAnsi="微软雅黑" w:eastAsia="微软雅黑" w:cs="微软雅黑"/>
        </w:rPr>
        <w:t>重点联系服务示范场景》</w:t>
      </w:r>
      <w:r>
        <w:tab/>
      </w:r>
      <w:r>
        <w:fldChar w:fldCharType="begin"/>
      </w:r>
      <w:r>
        <w:instrText xml:space="preserve"> PAGEREF _Toc11403 \h </w:instrText>
      </w:r>
      <w:r>
        <w:fldChar w:fldCharType="separate"/>
      </w:r>
      <w:r>
        <w:t>5</w:t>
      </w:r>
      <w:r>
        <w:fldChar w:fldCharType="end"/>
      </w:r>
      <w:r>
        <w:rPr>
          <w:rFonts w:ascii="微软雅黑" w:hAnsi="微软雅黑" w:eastAsia="微软雅黑"/>
          <w:szCs w:val="28"/>
        </w:rPr>
        <w:fldChar w:fldCharType="end"/>
      </w:r>
    </w:p>
    <w:p w14:paraId="7D57C75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_Toc26516 </w:instrText>
      </w:r>
      <w:r>
        <w:rPr>
          <w:rFonts w:ascii="微软雅黑" w:hAnsi="微软雅黑" w:eastAsia="微软雅黑"/>
          <w:szCs w:val="28"/>
        </w:rPr>
        <w:fldChar w:fldCharType="separate"/>
      </w:r>
      <w:r>
        <w:rPr>
          <w:rFonts w:hint="default"/>
        </w:rPr>
        <w:t xml:space="preserve">(2) </w:t>
      </w:r>
      <w:r>
        <w:rPr>
          <w:rFonts w:hint="eastAsia" w:ascii="微软雅黑" w:hAnsi="微软雅黑" w:eastAsia="微软雅黑" w:cs="微软雅黑"/>
        </w:rPr>
        <w:t>《推动</w:t>
      </w:r>
      <w:r>
        <w:t>“</w:t>
      </w:r>
      <w:r>
        <w:rPr>
          <w:rFonts w:hint="eastAsia" w:ascii="微软雅黑" w:hAnsi="微软雅黑" w:eastAsia="微软雅黑" w:cs="微软雅黑"/>
        </w:rPr>
        <w:t>人工智能</w:t>
      </w:r>
      <w:r>
        <w:t>+</w:t>
      </w:r>
      <w:r>
        <w:rPr>
          <w:rFonts w:hint="eastAsia" w:ascii="微软雅黑" w:hAnsi="微软雅黑" w:eastAsia="微软雅黑" w:cs="微软雅黑"/>
        </w:rPr>
        <w:t>制造</w:t>
      </w:r>
      <w:r>
        <w:t>”</w:t>
      </w:r>
      <w:r>
        <w:rPr>
          <w:rFonts w:hint="eastAsia" w:ascii="微软雅黑" w:hAnsi="微软雅黑" w:eastAsia="微软雅黑" w:cs="微软雅黑"/>
        </w:rPr>
        <w:t>行动方案》</w:t>
      </w:r>
      <w:r>
        <w:tab/>
      </w:r>
      <w:r>
        <w:fldChar w:fldCharType="begin"/>
      </w:r>
      <w:r>
        <w:instrText xml:space="preserve"> PAGEREF _Toc26516 \h </w:instrText>
      </w:r>
      <w:r>
        <w:fldChar w:fldCharType="separate"/>
      </w:r>
      <w:r>
        <w:t>5</w:t>
      </w:r>
      <w:r>
        <w:fldChar w:fldCharType="end"/>
      </w:r>
      <w:r>
        <w:rPr>
          <w:rFonts w:ascii="微软雅黑" w:hAnsi="微软雅黑" w:eastAsia="微软雅黑"/>
          <w:szCs w:val="28"/>
        </w:rPr>
        <w:fldChar w:fldCharType="end"/>
      </w:r>
    </w:p>
    <w:p w14:paraId="60F3D12F">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_Toc17376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_Toc17376 \h </w:instrText>
      </w:r>
      <w:r>
        <w:fldChar w:fldCharType="separate"/>
      </w:r>
      <w:r>
        <w:t>5</w:t>
      </w:r>
      <w:r>
        <w:fldChar w:fldCharType="end"/>
      </w:r>
      <w:r>
        <w:rPr>
          <w:rFonts w:ascii="微软雅黑" w:hAnsi="微软雅黑" w:eastAsia="微软雅黑"/>
          <w:szCs w:val="28"/>
        </w:rPr>
        <w:fldChar w:fldCharType="end"/>
      </w:r>
    </w:p>
    <w:p w14:paraId="1037FB9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_Toc9267 </w:instrText>
      </w:r>
      <w:r>
        <w:rPr>
          <w:rFonts w:ascii="微软雅黑" w:hAnsi="微软雅黑" w:eastAsia="微软雅黑"/>
          <w:szCs w:val="28"/>
        </w:rPr>
        <w:fldChar w:fldCharType="separate"/>
      </w:r>
      <w:r>
        <w:rPr>
          <w:rFonts w:hint="default"/>
        </w:rPr>
        <w:t xml:space="preserve">(1) </w:t>
      </w:r>
      <w:r>
        <w:t>2025</w:t>
      </w:r>
      <w:r>
        <w:rPr>
          <w:rFonts w:hint="eastAsia" w:ascii="微软雅黑" w:hAnsi="微软雅黑" w:eastAsia="微软雅黑" w:cs="微软雅黑"/>
        </w:rPr>
        <w:t>年数据标准化工作成果发布</w:t>
      </w:r>
      <w:r>
        <w:tab/>
      </w:r>
      <w:r>
        <w:fldChar w:fldCharType="begin"/>
      </w:r>
      <w:r>
        <w:instrText xml:space="preserve"> PAGEREF _Toc9267 \h </w:instrText>
      </w:r>
      <w:r>
        <w:fldChar w:fldCharType="separate"/>
      </w:r>
      <w:r>
        <w:t>5</w:t>
      </w:r>
      <w:r>
        <w:fldChar w:fldCharType="end"/>
      </w:r>
      <w:r>
        <w:rPr>
          <w:rFonts w:ascii="微软雅黑" w:hAnsi="微软雅黑" w:eastAsia="微软雅黑"/>
          <w:szCs w:val="28"/>
        </w:rPr>
        <w:fldChar w:fldCharType="end"/>
      </w:r>
    </w:p>
    <w:p w14:paraId="0624D97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_Toc2887 </w:instrText>
      </w:r>
      <w:r>
        <w:rPr>
          <w:rFonts w:ascii="微软雅黑" w:hAnsi="微软雅黑" w:eastAsia="微软雅黑"/>
          <w:szCs w:val="28"/>
        </w:rPr>
        <w:fldChar w:fldCharType="separate"/>
      </w:r>
      <w:r>
        <w:rPr>
          <w:rFonts w:hint="default"/>
        </w:rPr>
        <w:t xml:space="preserve">(2) </w:t>
      </w:r>
      <w:r>
        <w:rPr>
          <w:rFonts w:hint="eastAsia" w:ascii="微软雅黑" w:hAnsi="微软雅黑" w:eastAsia="微软雅黑" w:cs="微软雅黑"/>
        </w:rPr>
        <w:t>央地共建武汉区域科技创新中心工作推进会举行</w:t>
      </w:r>
      <w:r>
        <w:tab/>
      </w:r>
      <w:r>
        <w:fldChar w:fldCharType="begin"/>
      </w:r>
      <w:r>
        <w:instrText xml:space="preserve"> PAGEREF _Toc2887 \h </w:instrText>
      </w:r>
      <w:r>
        <w:fldChar w:fldCharType="separate"/>
      </w:r>
      <w:r>
        <w:t>6</w:t>
      </w:r>
      <w:r>
        <w:fldChar w:fldCharType="end"/>
      </w:r>
      <w:r>
        <w:rPr>
          <w:rFonts w:ascii="微软雅黑" w:hAnsi="微软雅黑" w:eastAsia="微软雅黑"/>
          <w:szCs w:val="28"/>
        </w:rPr>
        <w:fldChar w:fldCharType="end"/>
      </w:r>
    </w:p>
    <w:p w14:paraId="1ACBF46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_Toc18131 </w:instrText>
      </w:r>
      <w:r>
        <w:rPr>
          <w:rFonts w:ascii="微软雅黑" w:hAnsi="微软雅黑" w:eastAsia="微软雅黑"/>
          <w:szCs w:val="28"/>
        </w:rPr>
        <w:fldChar w:fldCharType="separate"/>
      </w:r>
      <w:r>
        <w:rPr>
          <w:rFonts w:hint="default"/>
        </w:rPr>
        <w:t xml:space="preserve">(3) </w:t>
      </w:r>
      <w:r>
        <w:rPr>
          <w:rFonts w:hint="eastAsia"/>
        </w:rPr>
        <w:t>王忠林主持召开省“十五五”规划起草组全体会议</w:t>
      </w:r>
      <w:r>
        <w:tab/>
      </w:r>
      <w:r>
        <w:fldChar w:fldCharType="begin"/>
      </w:r>
      <w:r>
        <w:instrText xml:space="preserve"> PAGEREF _Toc18131 \h </w:instrText>
      </w:r>
      <w:r>
        <w:fldChar w:fldCharType="separate"/>
      </w:r>
      <w:r>
        <w:t>6</w:t>
      </w:r>
      <w:r>
        <w:fldChar w:fldCharType="end"/>
      </w:r>
      <w:r>
        <w:rPr>
          <w:rFonts w:ascii="微软雅黑" w:hAnsi="微软雅黑" w:eastAsia="微软雅黑"/>
          <w:szCs w:val="28"/>
        </w:rPr>
        <w:fldChar w:fldCharType="end"/>
      </w:r>
    </w:p>
    <w:p w14:paraId="4937D7CA">
      <w:pPr>
        <w:snapToGrid w:val="0"/>
        <w:spacing w:line="360" w:lineRule="auto"/>
        <w:jc w:val="both"/>
      </w:pPr>
      <w:r>
        <w:rPr>
          <w:rFonts w:ascii="微软雅黑" w:hAnsi="微软雅黑" w:eastAsia="微软雅黑"/>
          <w:szCs w:val="28"/>
        </w:rPr>
        <w:fldChar w:fldCharType="end"/>
      </w:r>
    </w:p>
    <w:p w14:paraId="610357A6">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A80D9B0">
      <w:pPr>
        <w:pStyle w:val="32"/>
        <w:jc w:val="both"/>
      </w:pPr>
    </w:p>
    <w:p w14:paraId="504AB634">
      <w:pPr>
        <w:pStyle w:val="2"/>
      </w:pPr>
      <w:bookmarkStart w:id="1" w:name="_Toc21414"/>
      <w:r>
        <w:rPr>
          <w:rFonts w:hint="eastAsia"/>
        </w:rPr>
        <w:t>重点.关注</w:t>
      </w:r>
      <w:bookmarkEnd w:id="1"/>
    </w:p>
    <w:p w14:paraId="3F20F764">
      <w:pPr>
        <w:pStyle w:val="4"/>
      </w:pPr>
      <w:bookmarkStart w:id="2" w:name="_Toc32236"/>
      <w:r>
        <w:rPr>
          <w:rFonts w:hint="eastAsia" w:ascii="微软雅黑" w:hAnsi="微软雅黑" w:eastAsia="微软雅黑" w:cs="微软雅黑"/>
        </w:rPr>
        <w:t>李强主持召开国务院常务会议，研究深化重点领域改革扩大制度型开放工作等</w:t>
      </w:r>
      <w:bookmarkEnd w:id="2"/>
    </w:p>
    <w:p w14:paraId="38D68902"/>
    <w:p w14:paraId="24F0CCEA">
      <w:pPr>
        <w:rPr>
          <w:rFonts w:hint="eastAsia"/>
        </w:rPr>
      </w:pPr>
      <w:r>
        <w:t>国务院总理李强10月31日主持召开国务院常务会议，研究深化重点领域改革扩大制度型开放工作，部署加快场景培育和开放推动新场景大规模应用有关举措。会议指出，要着力深化重点领域改革，带动高水平对外开放，提升商品市场开放水平，优化服务市场准入规则，完善要素市场开放监管制度。主动对接国际高标准经贸规则，积极扩大自主开放，稳步扩大规则、规制、管理、标准等制度型开放。发挥自由贸易试验区、自由贸易港等高能级开放平台优势，探索形成更多可复制可推广的改革成果。会议强调，应用场景是连接技术和产业、打通研发和市场的桥梁。要充分发挥我国超大规模市场和丰富应用场景优势，优先布局一批新领域新赛道场景、高价值小切口场景和跨区域跨领域综合场景，做好场景资源开放、中试验证创新、商业模式探索等工作，促进形成从技术突破到产业应用的完整闭环。用改革创新办法培育更多新场景，推进基础设施和平台等“硬件建设”，做好法规、制度、政策等“软件支撑”。</w:t>
      </w:r>
    </w:p>
    <w:p w14:paraId="48631AE2"/>
    <w:p w14:paraId="03165791">
      <w:r>
        <w:t>发文日期:2025年10月31日</w:t>
      </w:r>
    </w:p>
    <w:p w14:paraId="65DF354C">
      <w:r>
        <w:t>发文单位:国家发展改革委</w:t>
      </w:r>
    </w:p>
    <w:p w14:paraId="3636703B">
      <w:r>
        <w:t>原文链接:</w:t>
      </w:r>
      <w:r>
        <w:rPr>
          <w:rFonts w:hint="eastAsia"/>
        </w:rPr>
        <w:t>https://mp.weixin.qq.com/s/QMApc5NOIC09M1c0tT-Q_Q</w:t>
      </w:r>
    </w:p>
    <w:p w14:paraId="66B36C1C"/>
    <w:p w14:paraId="19DC78E1">
      <w:pPr>
        <w:pStyle w:val="2"/>
      </w:pPr>
      <w:bookmarkStart w:id="3" w:name="_Toc142"/>
      <w:r>
        <w:rPr>
          <w:rFonts w:hint="eastAsia"/>
        </w:rPr>
        <w:t>政策.速递</w:t>
      </w:r>
      <w:bookmarkEnd w:id="3"/>
    </w:p>
    <w:p w14:paraId="1AF8F052">
      <w:pPr>
        <w:pStyle w:val="3"/>
      </w:pPr>
      <w:bookmarkStart w:id="4" w:name="_Toc18168"/>
      <w:r>
        <w:rPr>
          <w:rFonts w:hint="eastAsia"/>
        </w:rPr>
        <w:t>中央</w:t>
      </w:r>
      <w:bookmarkEnd w:id="4"/>
      <w:r>
        <w:rPr>
          <w:rFonts w:hint="eastAsia"/>
        </w:rPr>
        <w:t xml:space="preserve"> </w:t>
      </w:r>
    </w:p>
    <w:p w14:paraId="60CAB7EA"/>
    <w:p w14:paraId="7B9F3D45">
      <w:pPr>
        <w:pStyle w:val="4"/>
        <w:numPr>
          <w:numId w:val="2"/>
        </w:numPr>
      </w:pPr>
      <w:bookmarkStart w:id="5" w:name="_Toc20663"/>
      <w:r>
        <w:rPr>
          <w:rFonts w:hint="eastAsia" w:ascii="微软雅黑" w:hAnsi="微软雅黑" w:eastAsia="微软雅黑" w:cs="微软雅黑"/>
        </w:rPr>
        <w:t>《节水装备高质量发展实施方案（</w:t>
      </w:r>
      <w:r>
        <w:t>2025——2030</w:t>
      </w:r>
      <w:r>
        <w:rPr>
          <w:rFonts w:hint="eastAsia" w:ascii="微软雅黑" w:hAnsi="微软雅黑" w:eastAsia="微软雅黑" w:cs="微软雅黑"/>
        </w:rPr>
        <w:t>年）》</w:t>
      </w:r>
      <w:bookmarkEnd w:id="5"/>
    </w:p>
    <w:p w14:paraId="24CC4E8A"/>
    <w:p w14:paraId="761DF54F">
      <w:r>
        <w:t>为贯彻落实水资源刚性约束制度，加快以节水装备高质量发展推动水资源节约集约利用，工业和信息化部、水利部近日联合发布实施《节水装备高质量发展实施方案（2025——2030年）》。《实施方案》旨在推动节水装备制造业高端化、智能化、绿色化发展。《实施方案》提出4项重点任务，围绕“供水”增强技术创新水平，围绕“用水”提高节水效能，围绕“回用”突破技术瓶颈，推动产业数智化转型升级。下一步，工业和信息化部将会同水利部加大政策支持、完善标准体系、提升科技创新能力、强化人才队伍建设，推动节水装备高质量发展。《实施方案》提出，到2027年，重点节水装备取得突破，标准体系更加健全，培育一批龙头企业及制造业单项冠军、专精特新“小巨人”企业；到2030年，构建覆盖全面、技术先进的节水装备体系，供给能力持续增强。</w:t>
      </w:r>
    </w:p>
    <w:p w14:paraId="46DFBDCB"/>
    <w:p w14:paraId="12D6B532">
      <w:r>
        <w:t>发文日期:2025年11月3日</w:t>
      </w:r>
    </w:p>
    <w:p w14:paraId="761558CA">
      <w:r>
        <w:t>发文单位:工业和信息化部、水利部</w:t>
      </w:r>
    </w:p>
    <w:p w14:paraId="737EE047">
      <w:r>
        <w:t>原文链接:</w:t>
      </w:r>
      <w:r>
        <w:rPr>
          <w:rFonts w:hint="eastAsia"/>
        </w:rPr>
        <w:t>https://mp.weixin.qq.com/s/Iaf4BWx8OX2UbLMSNsl9WQ</w:t>
      </w:r>
    </w:p>
    <w:p w14:paraId="0027FBB5"/>
    <w:p w14:paraId="14938B2B">
      <w:pPr>
        <w:pStyle w:val="4"/>
        <w:numPr>
          <w:numId w:val="2"/>
        </w:numPr>
      </w:pPr>
      <w:bookmarkStart w:id="6" w:name="_Toc1204"/>
      <w:r>
        <w:rPr>
          <w:rFonts w:hint="eastAsia" w:ascii="微软雅黑" w:hAnsi="微软雅黑" w:eastAsia="微软雅黑" w:cs="微软雅黑"/>
        </w:rPr>
        <w:t>《关于拓展绿色贸易的实施意见》</w:t>
      </w:r>
      <w:bookmarkEnd w:id="6"/>
    </w:p>
    <w:p w14:paraId="70CCD866"/>
    <w:p w14:paraId="1A97A88F">
      <w:r>
        <w:rPr>
          <w:rFonts w:hint="eastAsia"/>
          <w:lang w:val="en-US" w:eastAsia="zh-CN"/>
        </w:rPr>
        <w:t>《关于拓展绿色贸易的实施意见》是由商务部经国务院同意印发的专项政策文件，于2025年10月30日公开发布，系中国绿色贸易领域首个专项政策文件，旨在促进贸易优化升级、助力实现“双碳”目标、更好服务全球气候治理</w:t>
      </w:r>
      <w:r>
        <w:t>。</w:t>
      </w:r>
      <w:r>
        <w:rPr>
          <w:rFonts w:hint="eastAsia"/>
        </w:rPr>
        <w:t>该文件包含四部分内容：提升外贸企业绿色低碳发展能力、拓展绿色低碳相关产品和技术进出口、营造绿色贸易发展良好国际环境、建立健全绿色贸易支撑保障体系。具体措施包括加强金融政策支持基于碳足迹核算结果创新金融产品，加快外贸产品碳足迹数据库建设，扩大绿证和绿电交易规模，建立与国际接轨的绿色低碳标准体系，以及推动重点外贸产品碳足迹核算标准制定。</w:t>
      </w:r>
    </w:p>
    <w:p w14:paraId="65843268"/>
    <w:p w14:paraId="37EAB678">
      <w:r>
        <w:t>发文日期:2025年10月30日</w:t>
      </w:r>
    </w:p>
    <w:p w14:paraId="604C1009">
      <w:r>
        <w:t>发文单位:商务部</w:t>
      </w:r>
    </w:p>
    <w:p w14:paraId="4B678FD8">
      <w:r>
        <w:t>原文链接:</w:t>
      </w:r>
      <w:r>
        <w:rPr>
          <w:rFonts w:hint="eastAsia"/>
        </w:rPr>
        <w:t>https://mp.weixin.qq.com/s/BRwd5G0OjAqRFiOB-3TrCw</w:t>
      </w:r>
    </w:p>
    <w:p w14:paraId="323E8FF9"/>
    <w:p w14:paraId="0F19AC08">
      <w:pPr>
        <w:pStyle w:val="4"/>
        <w:numPr>
          <w:numId w:val="2"/>
        </w:numPr>
      </w:pPr>
      <w:bookmarkStart w:id="7" w:name="_Toc31869"/>
      <w:r>
        <w:rPr>
          <w:rFonts w:hint="eastAsia" w:ascii="微软雅黑" w:hAnsi="微软雅黑" w:eastAsia="微软雅黑" w:cs="微软雅黑"/>
        </w:rPr>
        <w:t>《关于开展</w:t>
      </w:r>
      <w:r>
        <w:t>2025</w:t>
      </w:r>
      <w:r>
        <w:rPr>
          <w:rFonts w:hint="eastAsia" w:ascii="微软雅黑" w:hAnsi="微软雅黑" w:eastAsia="微软雅黑" w:cs="微软雅黑"/>
        </w:rPr>
        <w:t>年人工智能产业及赋能新型工业化创新任务揭榜挂帅工作的通知》</w:t>
      </w:r>
      <w:bookmarkEnd w:id="7"/>
    </w:p>
    <w:p w14:paraId="27CCF052"/>
    <w:p w14:paraId="37C9618F">
      <w:r>
        <w:t>为深入贯彻落实习近平总书记关于人工智能发展的重要指示批示精神，加快推动人工智能赋能新型工业化，工业和信息化部近日印发通知，组织开展2025年人工智能产业及赋能新型工业化创新任务揭榜挂帅工作。本次任务面向人工智能产业发展底座、“人工智能+制造”、智能产品装备、共性基础支撑等重点方向，旨在发掘培育一批技术创新强、应用落地快、典型示范好的关键技术和产品，加快人工智能与工业深度融合应用。申报主体须为境内注册的独立法人企事业单位，鼓励企业、高校、科研院所等以联合体方式申报，牵头单位1家，联合参与单位不超过4家。</w:t>
      </w:r>
    </w:p>
    <w:p w14:paraId="100A5525"/>
    <w:p w14:paraId="60EFC663">
      <w:r>
        <w:t>发文日期:2025年11月5日</w:t>
      </w:r>
    </w:p>
    <w:p w14:paraId="1210CADB">
      <w:r>
        <w:t>发文单位:工业和信息化部</w:t>
      </w:r>
    </w:p>
    <w:p w14:paraId="04D18A60">
      <w:r>
        <w:t>原文链接:</w:t>
      </w:r>
      <w:r>
        <w:rPr>
          <w:rFonts w:hint="eastAsia"/>
        </w:rPr>
        <w:t>https://mp.weixin.qq.com/s/SnuvZJFm8qoCbuY3Tfl5Eg</w:t>
      </w:r>
    </w:p>
    <w:p w14:paraId="05BE2569"/>
    <w:p w14:paraId="6311C6B9">
      <w:pPr>
        <w:pStyle w:val="4"/>
        <w:numPr>
          <w:numId w:val="2"/>
        </w:numPr>
      </w:pPr>
      <w:bookmarkStart w:id="8" w:name="_Toc919"/>
      <w:r>
        <w:rPr>
          <w:rFonts w:hint="eastAsia" w:ascii="微软雅黑" w:hAnsi="微软雅黑" w:eastAsia="微软雅黑" w:cs="微软雅黑"/>
        </w:rPr>
        <w:t>《关于促进和规范</w:t>
      </w:r>
      <w:r>
        <w:t>“</w:t>
      </w:r>
      <w:r>
        <w:rPr>
          <w:rFonts w:hint="eastAsia" w:ascii="微软雅黑" w:hAnsi="微软雅黑" w:eastAsia="微软雅黑" w:cs="微软雅黑"/>
        </w:rPr>
        <w:t>人工智能</w:t>
      </w:r>
      <w:r>
        <w:t>+</w:t>
      </w:r>
      <w:r>
        <w:rPr>
          <w:rFonts w:hint="eastAsia" w:ascii="微软雅黑" w:hAnsi="微软雅黑" w:eastAsia="微软雅黑" w:cs="微软雅黑"/>
        </w:rPr>
        <w:t>医疗卫生</w:t>
      </w:r>
      <w:r>
        <w:t>”</w:t>
      </w:r>
      <w:r>
        <w:rPr>
          <w:rFonts w:hint="eastAsia" w:ascii="微软雅黑" w:hAnsi="微软雅黑" w:eastAsia="微软雅黑" w:cs="微软雅黑"/>
        </w:rPr>
        <w:t>应用发展的实施意见》</w:t>
      </w:r>
      <w:bookmarkEnd w:id="8"/>
    </w:p>
    <w:p w14:paraId="57F34117"/>
    <w:p w14:paraId="5F99C143">
      <w:r>
        <w:t>国家卫生健康委联合国家发展改革委、工业和信息化部、国家中医药局、国家疾控局今日发布《关于促进和规范“人工智能+医疗卫生”应用发展的实施意见》。《实施意见》分为总体要求、深化重点应用、夯实应用基础、规范安全监管、加强组织保障五个部分。总体要求明确指导思想，并基于各地实际情况确定2027年和2030年主要发展目标；深化重点应用涵盖基层应用、临床诊疗、患者服务等8个方向24项重点内容；夯实应用基础提出强化基础设施、丰富医疗数据供给等5方面举措；规范安全监管包括优化管理审核体系、创新监管方式、强化数据安全保护等内容；组织保障则强调制度建设、试点示范及宣传合作，推动技术普惠与成果共享。</w:t>
      </w:r>
    </w:p>
    <w:p w14:paraId="244C7A5D"/>
    <w:p w14:paraId="7B4D3648">
      <w:r>
        <w:t>发文日期:2025年11月4日</w:t>
      </w:r>
    </w:p>
    <w:p w14:paraId="13EE35EC">
      <w:r>
        <w:t>发文单位:国家卫生健康委、国家发展改革委、工业和信息化部、国家中医药局、国家疾控局</w:t>
      </w:r>
    </w:p>
    <w:p w14:paraId="51B0D249">
      <w:r>
        <w:t>原文链接:</w:t>
      </w:r>
      <w:r>
        <w:rPr>
          <w:rFonts w:hint="eastAsia"/>
        </w:rPr>
        <w:t>https://mp.weixin.qq.com/s/YGEFKh-tYzraekeQIpndsw</w:t>
      </w:r>
    </w:p>
    <w:p w14:paraId="545C7CE0"/>
    <w:p w14:paraId="2B610DAA">
      <w:pPr>
        <w:pStyle w:val="4"/>
        <w:numPr>
          <w:numId w:val="2"/>
        </w:numPr>
      </w:pPr>
      <w:bookmarkStart w:id="9" w:name="_Toc26077"/>
      <w:r>
        <w:rPr>
          <w:rFonts w:hint="eastAsia" w:ascii="微软雅黑" w:hAnsi="微软雅黑" w:eastAsia="微软雅黑" w:cs="微软雅黑"/>
        </w:rPr>
        <w:t>《关于加快场景培育和开放推动新场景大规模应用的实施意见》</w:t>
      </w:r>
      <w:bookmarkEnd w:id="9"/>
    </w:p>
    <w:p w14:paraId="3972F1FA"/>
    <w:p w14:paraId="1EFDD904">
      <w:r>
        <w:t>国务院常务会议审议通过《关于加快场景培育和开放推动新场景大规模应用的实施意见》。作为党的二十届四中全会后首次纳入国务院常务会议审议的重磅政策文件，《实施意见》将场景定位为重要且稀缺的市场资源，以及放宽市场准入、创新要素配置方式的新型政策工具。出台《实施意见》旨在通过场景培育和开放，促进技术跨界融合与资源跨界共享，拓展提升场景功能、体验和价值，推动新技术大规模产业化应用。通过开放受监管限制和未开发的场景资源，允许各类企业参与建设，加速技术创新成果向产业化应用转化。《实施意见》为社会资本、民营企业参与重大领域场景项目建设放宽准入限制，提供参与机会，并有望加快数据、空天、深海、频谱等新型要素规则创设，提升市场资源配置能力和效率，降低企业资源获取成本，提高盈利能力，是推动新技术、新产品、新业态产业化发展的重要战略举措，将培育更多经济增长点。</w:t>
      </w:r>
    </w:p>
    <w:p w14:paraId="2FDBFEF5"/>
    <w:p w14:paraId="0509E368">
      <w:r>
        <w:t>发文日期:2025年10月31日</w:t>
      </w:r>
    </w:p>
    <w:p w14:paraId="3B8462EB">
      <w:r>
        <w:t>发文单位:国务院</w:t>
      </w:r>
    </w:p>
    <w:p w14:paraId="2A3A4724">
      <w:r>
        <w:t>原文链接:</w:t>
      </w:r>
      <w:r>
        <w:rPr>
          <w:rFonts w:hint="eastAsia"/>
        </w:rPr>
        <w:t>https://mp.weixin.qq.com/s/QEB8WBlmoWRMExumLN4HvQ</w:t>
      </w:r>
    </w:p>
    <w:p w14:paraId="722EC901"/>
    <w:p w14:paraId="0E565773">
      <w:pPr>
        <w:pStyle w:val="4"/>
        <w:numPr>
          <w:numId w:val="2"/>
        </w:numPr>
        <w:bidi w:val="0"/>
        <w:rPr>
          <w:rFonts w:hint="eastAsia"/>
        </w:rPr>
      </w:pPr>
      <w:bookmarkStart w:id="10" w:name="_Toc20350"/>
      <w:r>
        <w:rPr>
          <w:rFonts w:hint="eastAsia"/>
        </w:rPr>
        <w:t>《关于组织开展第二批次网络安全保险服务试点工作的通知》</w:t>
      </w:r>
      <w:bookmarkEnd w:id="10"/>
    </w:p>
    <w:p w14:paraId="1BAD01D5">
      <w:pPr>
        <w:rPr>
          <w:rFonts w:hint="eastAsia"/>
        </w:rPr>
      </w:pPr>
    </w:p>
    <w:p w14:paraId="6CBF75A7">
      <w:pPr>
        <w:rPr>
          <w:rFonts w:hint="eastAsia"/>
        </w:rPr>
      </w:pPr>
      <w:r>
        <w:rPr>
          <w:rFonts w:hint="eastAsia"/>
        </w:rPr>
        <w:t>工业和信息化部、金融监管总局近日联合印发通知，部署开展第二批次网络安全保险服务试点工作。试点旨在提升全社会网络安全保险认知、健全标准规范、打造服务新模式，推动网络安全产业高质量发展。试点覆盖电信和互联网、工业、金融等重点行业领域，以及重点企业、中小企业、产业园区等主体对象的企业类保险和针对网络安全产品的产品服务类保险。其中，电信和互联网领域重点保障通信网络与数据安全、降低诈骗风险；工业领域聚焦数字化转型中的生产系统与数据安全；金融领域着力保障信息网络与金融交易数据安全。试点工作流程包括案例征集、试点申报、实施、支持保障、退出及总结等环节，要求2025年11月28日前完成典型案例申报，2025年12月31日前提交试点工作方案，2026年9月30日前完成试点总结。</w:t>
      </w:r>
    </w:p>
    <w:p w14:paraId="3CF80AA0">
      <w:pPr>
        <w:rPr>
          <w:rFonts w:hint="eastAsia"/>
        </w:rPr>
      </w:pPr>
    </w:p>
    <w:p w14:paraId="6F66377A">
      <w:pPr>
        <w:rPr>
          <w:rFonts w:hint="eastAsia"/>
        </w:rPr>
      </w:pPr>
      <w:r>
        <w:rPr>
          <w:rFonts w:hint="eastAsia"/>
        </w:rPr>
        <w:t>发文日期:2025年1</w:t>
      </w:r>
      <w:r>
        <w:rPr>
          <w:rFonts w:hint="eastAsia"/>
          <w:lang w:val="en-US" w:eastAsia="zh-CN"/>
        </w:rPr>
        <w:t>1</w:t>
      </w:r>
      <w:r>
        <w:rPr>
          <w:rFonts w:hint="eastAsia"/>
        </w:rPr>
        <w:t>月</w:t>
      </w:r>
      <w:r>
        <w:rPr>
          <w:rFonts w:hint="eastAsia"/>
          <w:lang w:val="en-US" w:eastAsia="zh-CN"/>
        </w:rPr>
        <w:t>4</w:t>
      </w:r>
      <w:r>
        <w:rPr>
          <w:rFonts w:hint="eastAsia"/>
        </w:rPr>
        <w:t>日</w:t>
      </w:r>
    </w:p>
    <w:p w14:paraId="5515D346">
      <w:pPr>
        <w:rPr>
          <w:rFonts w:hint="eastAsia"/>
        </w:rPr>
      </w:pPr>
      <w:r>
        <w:rPr>
          <w:rFonts w:hint="eastAsia"/>
        </w:rPr>
        <w:t>发文单位:工业和信息化部、金融监管总局</w:t>
      </w:r>
    </w:p>
    <w:p w14:paraId="024F689F">
      <w:r>
        <w:rPr>
          <w:rFonts w:hint="eastAsia"/>
        </w:rPr>
        <w:t>原文链接:https://mp.weixin.qq.com/s/w9pc0J1LWZUXRBjQ0x3wrg</w:t>
      </w:r>
    </w:p>
    <w:p w14:paraId="7801C4F9"/>
    <w:p w14:paraId="11CE133E">
      <w:pPr>
        <w:pStyle w:val="3"/>
      </w:pPr>
      <w:bookmarkStart w:id="11" w:name="_Toc15280"/>
      <w:r>
        <w:rPr>
          <w:rFonts w:hint="eastAsia"/>
        </w:rPr>
        <w:t>湖北省</w:t>
      </w:r>
      <w:bookmarkEnd w:id="11"/>
    </w:p>
    <w:p w14:paraId="6CA4480E"/>
    <w:p w14:paraId="2B9CBA27">
      <w:pPr>
        <w:pStyle w:val="4"/>
        <w:numPr>
          <w:numId w:val="3"/>
        </w:numPr>
      </w:pPr>
      <w:bookmarkStart w:id="12" w:name="_Toc11403"/>
      <w:r>
        <w:rPr>
          <w:rFonts w:hint="eastAsia" w:ascii="微软雅黑" w:hAnsi="微软雅黑" w:eastAsia="微软雅黑" w:cs="微软雅黑"/>
        </w:rPr>
        <w:t>《第三批公共数据</w:t>
      </w:r>
      <w:r>
        <w:t>“</w:t>
      </w:r>
      <w:r>
        <w:rPr>
          <w:rFonts w:hint="eastAsia" w:ascii="微软雅黑" w:hAnsi="微软雅黑" w:eastAsia="微软雅黑" w:cs="微软雅黑"/>
        </w:rPr>
        <w:t>跑起来</w:t>
      </w:r>
      <w:r>
        <w:t>”</w:t>
      </w:r>
      <w:r>
        <w:rPr>
          <w:rFonts w:hint="eastAsia" w:ascii="微软雅黑" w:hAnsi="微软雅黑" w:eastAsia="微软雅黑" w:cs="微软雅黑"/>
        </w:rPr>
        <w:t>重点联系服务示范场景》</w:t>
      </w:r>
      <w:bookmarkEnd w:id="12"/>
    </w:p>
    <w:p w14:paraId="06A331F2"/>
    <w:p w14:paraId="1CB0CC1F">
      <w:r>
        <w:t>2024年12月以来，湖北省数据局启动公共数据“跑起来”示范场景培育工作，旨在推动公共数据在更广领域、更多场景发挥赋能和带动作用。期间，已向国家数据局推荐并成功入选3个国家级示范场景，并于今年4月、7月分两批次发布30个省级示范场景。 今年8月，按照国家数据局相关工作方案要求，省数据局进一步推进场景培育工作，得到各地各部门积极响应。经评审，遴选确定第三批20个省级示范场景，覆盖金融风险防控、气象服务、社会管理等领域，涵盖政务数据共享、公共数据开放、公共数据授权运营等公共数据资源开发利用方式，现予公布。</w:t>
      </w:r>
    </w:p>
    <w:p w14:paraId="284AB927"/>
    <w:p w14:paraId="7F12B5E5">
      <w:r>
        <w:t>发文日期:2025年11月03日</w:t>
      </w:r>
    </w:p>
    <w:p w14:paraId="3E829772">
      <w:r>
        <w:t>发文单位:湖北省数据局</w:t>
      </w:r>
    </w:p>
    <w:p w14:paraId="4216B086">
      <w:r>
        <w:t>原文链接:</w:t>
      </w:r>
      <w:r>
        <w:rPr>
          <w:rFonts w:hint="eastAsia"/>
        </w:rPr>
        <w:t>https://mp.weixin.qq.com/s/6IXLH8dHKQp5Kn9lYWZ_jg</w:t>
      </w:r>
    </w:p>
    <w:p w14:paraId="3C2651AB"/>
    <w:p w14:paraId="347A750D">
      <w:pPr>
        <w:pStyle w:val="4"/>
        <w:numPr>
          <w:numId w:val="3"/>
        </w:numPr>
      </w:pPr>
      <w:bookmarkStart w:id="13" w:name="_Toc26516"/>
      <w:r>
        <w:rPr>
          <w:rFonts w:hint="eastAsia" w:ascii="微软雅黑" w:hAnsi="微软雅黑" w:eastAsia="微软雅黑" w:cs="微软雅黑"/>
        </w:rPr>
        <w:t>《推动</w:t>
      </w:r>
      <w:r>
        <w:t>“</w:t>
      </w:r>
      <w:r>
        <w:rPr>
          <w:rFonts w:hint="eastAsia" w:ascii="微软雅黑" w:hAnsi="微软雅黑" w:eastAsia="微软雅黑" w:cs="微软雅黑"/>
        </w:rPr>
        <w:t>人工智能</w:t>
      </w:r>
      <w:r>
        <w:t>+</w:t>
      </w:r>
      <w:r>
        <w:rPr>
          <w:rFonts w:hint="eastAsia" w:ascii="微软雅黑" w:hAnsi="微软雅黑" w:eastAsia="微软雅黑" w:cs="微软雅黑"/>
        </w:rPr>
        <w:t>制造</w:t>
      </w:r>
      <w:r>
        <w:t>”</w:t>
      </w:r>
      <w:r>
        <w:rPr>
          <w:rFonts w:hint="eastAsia" w:ascii="微软雅黑" w:hAnsi="微软雅黑" w:eastAsia="微软雅黑" w:cs="微软雅黑"/>
        </w:rPr>
        <w:t>行动方案》</w:t>
      </w:r>
      <w:bookmarkEnd w:id="13"/>
    </w:p>
    <w:p w14:paraId="378C2ED5"/>
    <w:p w14:paraId="7BF14721">
      <w:r>
        <w:t>武汉市数据局等三部门联合出台《推动“人工智能+制造”行动方案》，旨在加快人工智能技术与制造业深度融合，推动产业数字化转型升级，提升制造业智能化水平。方案围绕人工智能在制造领域的创新应用，明确了技术研发、场景落地、产业培育等重点任务，将通过强化政策支持、完善基础设施、培育示范标杆等举措，构建“人工智能+制造”生态体系。此举将助力武汉制造业向高端化、智能化、绿色化发展，增强产业链供应链韧性，为经济高质量发展注入新动能。</w:t>
      </w:r>
    </w:p>
    <w:p w14:paraId="097D3719"/>
    <w:p w14:paraId="485D5F21">
      <w:r>
        <w:t>发文日期:2025年11月4日</w:t>
      </w:r>
    </w:p>
    <w:p w14:paraId="0F78FE4E">
      <w:r>
        <w:t>发文单位:武汉市数据局等三部门</w:t>
      </w:r>
    </w:p>
    <w:p w14:paraId="09E8A03F">
      <w:pPr>
        <w:rPr>
          <w:rFonts w:hint="eastAsia"/>
        </w:rPr>
      </w:pPr>
      <w:r>
        <w:t>原文链接:</w:t>
      </w:r>
      <w:r>
        <w:rPr>
          <w:rFonts w:hint="eastAsia"/>
        </w:rPr>
        <w:t>https://mp.weixin.qq.com/s/UVgqHupRpvL2ZXB3iwwHXQ</w:t>
      </w:r>
    </w:p>
    <w:p w14:paraId="10919B07">
      <w:pPr>
        <w:rPr>
          <w:rFonts w:hint="eastAsia"/>
        </w:rPr>
      </w:pPr>
    </w:p>
    <w:p w14:paraId="303A0AFF">
      <w:pPr>
        <w:pStyle w:val="2"/>
      </w:pPr>
      <w:bookmarkStart w:id="14" w:name="_Toc17376"/>
      <w:r>
        <w:rPr>
          <w:rFonts w:hint="eastAsia"/>
        </w:rPr>
        <w:t>热点.资讯</w:t>
      </w:r>
      <w:bookmarkEnd w:id="14"/>
    </w:p>
    <w:p w14:paraId="6935694C">
      <w:pPr>
        <w:pStyle w:val="4"/>
        <w:numPr>
          <w:numId w:val="4"/>
        </w:numPr>
      </w:pPr>
      <w:bookmarkStart w:id="15" w:name="_Toc9267"/>
      <w:r>
        <w:t>2025</w:t>
      </w:r>
      <w:r>
        <w:rPr>
          <w:rFonts w:hint="eastAsia" w:ascii="微软雅黑" w:hAnsi="微软雅黑" w:eastAsia="微软雅黑" w:cs="微软雅黑"/>
        </w:rPr>
        <w:t>年数据标准化工作成果发布</w:t>
      </w:r>
      <w:bookmarkEnd w:id="15"/>
    </w:p>
    <w:p w14:paraId="03B1EE83"/>
    <w:p w14:paraId="3B3CC73B">
      <w:r>
        <w:t>11月3日，国家数据局发布2025年数据标准化工作成果。本次发布系统总结了年度数据标准化建设进展，涵盖基础通用、数据质量、共享开放、安全保障等重点领域标准制定与实施成效。成果显示，我国已完成数据分类分级、数据要素流通等28项关键标准研制，推动15项国际标准提案进入实质性审查阶段，数据标准体系框架进一步完善。同时，通过开展标准宣贯培训、建设标准化试点示范区等举措，企业数据管理能力平均提升37%，跨行业数据共享效率提高42%，有效支撑了数字经济高质量发展。下一步，国家数据局将聚焦人工智能、工业互联网等新兴领域，加快制定数据安全、算法治理相关标准，持续深化国际标准化合作。</w:t>
      </w:r>
    </w:p>
    <w:p w14:paraId="17C7B7AB"/>
    <w:p w14:paraId="3945A7C8">
      <w:r>
        <w:t>发文日期:2025年11月3日</w:t>
      </w:r>
    </w:p>
    <w:p w14:paraId="7B5511DF">
      <w:r>
        <w:t>发文单位:国家数据局</w:t>
      </w:r>
    </w:p>
    <w:p w14:paraId="4EED056B">
      <w:r>
        <w:t>原文链接:</w:t>
      </w:r>
      <w:r>
        <w:rPr>
          <w:rFonts w:hint="eastAsia"/>
        </w:rPr>
        <w:t>https://mp.weixin.qq.com/s/I5X1hAE1Qo8PRg3rJS-RMQ</w:t>
      </w:r>
    </w:p>
    <w:p w14:paraId="6EB77680"/>
    <w:p w14:paraId="6E50CBF3">
      <w:pPr>
        <w:pStyle w:val="4"/>
        <w:numPr>
          <w:numId w:val="4"/>
        </w:numPr>
      </w:pPr>
      <w:bookmarkStart w:id="16" w:name="_Toc2887"/>
      <w:r>
        <w:rPr>
          <w:rFonts w:hint="eastAsia" w:ascii="微软雅黑" w:hAnsi="微软雅黑" w:eastAsia="微软雅黑" w:cs="微软雅黑"/>
        </w:rPr>
        <w:t>央地共建武汉区域科技创新中心工作推进会举行</w:t>
      </w:r>
      <w:bookmarkEnd w:id="16"/>
    </w:p>
    <w:p w14:paraId="3DD74260"/>
    <w:p w14:paraId="4746F73C">
      <w:r>
        <w:t>11月5日上午，央地共建武汉区域科技创新中心工作推进会在武汉举行。</w:t>
      </w:r>
      <w:r>
        <w:rPr>
          <w:rFonts w:hint="eastAsia"/>
          <w:lang w:val="en-US" w:eastAsia="zh-CN"/>
        </w:rPr>
        <w:t>会议指出，</w:t>
      </w:r>
      <w:r>
        <w:t>建设武汉区域科技创新中心是党中央重大战略任务，湖北要在发展新质生产力、基础前沿突破、科技体制改革、开放创新上走在前、做表率、挑大梁。科技部将强化央地协同，支持武汉壮大战略科技力量、突破关键核心技术、构建全面创新体制机制、打造长江中游城市群创新共同体，加快建成具有全国影响力的科技创新高地。王忠林表示，湖北将举全省之力推进科创中心建设，着力锻造战略科技力量、推动科技创新与产业创新深度融合、优化创新空间布局、深化科技体制改革，健全央地协同机制，同题共答、同向发力，为服务国家高水平科技自立自强作出更大贡献。</w:t>
      </w:r>
    </w:p>
    <w:p w14:paraId="1D08242D"/>
    <w:p w14:paraId="48759E5C">
      <w:r>
        <w:t>发文日期:2025年11月06日</w:t>
      </w:r>
    </w:p>
    <w:p w14:paraId="29A9D1BA">
      <w:r>
        <w:t>发文单位:湖北日报</w:t>
      </w:r>
    </w:p>
    <w:p w14:paraId="1C095EB1">
      <w:r>
        <w:t>原文链接:</w:t>
      </w:r>
      <w:r>
        <w:rPr>
          <w:rFonts w:hint="eastAsia"/>
        </w:rPr>
        <w:t>https://mp.weixin.qq.com/s/KjUwa20Z7wlwZao9UKateA</w:t>
      </w:r>
    </w:p>
    <w:p w14:paraId="4260B520"/>
    <w:p w14:paraId="7CF553B9">
      <w:pPr>
        <w:pStyle w:val="4"/>
        <w:numPr>
          <w:numId w:val="4"/>
        </w:numPr>
        <w:bidi w:val="0"/>
        <w:rPr>
          <w:rFonts w:hint="eastAsia"/>
        </w:rPr>
      </w:pPr>
      <w:bookmarkStart w:id="17" w:name="_Toc18131"/>
      <w:r>
        <w:rPr>
          <w:rFonts w:hint="eastAsia"/>
        </w:rPr>
        <w:t>王忠林主持召开省“十五五”规划起草组全体会议</w:t>
      </w:r>
      <w:bookmarkEnd w:id="17"/>
    </w:p>
    <w:p w14:paraId="0E8D4D14">
      <w:pPr>
        <w:rPr>
          <w:rFonts w:hint="eastAsia"/>
        </w:rPr>
      </w:pPr>
    </w:p>
    <w:p w14:paraId="255FAB20">
      <w:r>
        <w:rPr>
          <w:rFonts w:hint="eastAsia"/>
        </w:rPr>
        <w:t>11月6日下午，省委书记、省人大常委会主任、省“十五五”规划起草组组长王忠林主持召开省“十五五”规划起草组全体会议，听取规划建议起草工作情况汇报，研究部署下一阶段工作。会议指出，省“十五五”规划是未来五年的发展指南。要强化对标对表，把牢“十五五”规划编制的正确方向。要进一步对标对表习近平总书记在党的二十届四中全会上的重要讲话精神、对标对表《中共中央关于制定国民经济和社会发展第十五个五年规划的建议》、对标对表习近平总书记考察湖北重要讲话精神，准确把握党中央决策意图、目标要求、重大举措、工作重点，切实在全国大局下找准定位、推动发展。会议强调，要强化研究分析，增强“十五五”规划的针对性、可行性。要进一步深化形势研究、问题研究、举措研究，聚焦国内外环境变化、科技革命和产业变革、人口结构变化等重大问题，准确识变、科学应变，更有针对性地谋划一批锻长板、补短板、固底板的具体措施。</w:t>
      </w:r>
    </w:p>
    <w:p w14:paraId="09821652"/>
    <w:p w14:paraId="54A0550E">
      <w:r>
        <w:t>发文日期:2025年11月</w:t>
      </w:r>
      <w:r>
        <w:rPr>
          <w:rFonts w:hint="eastAsia"/>
          <w:lang w:val="en-US" w:eastAsia="zh-CN"/>
        </w:rPr>
        <w:t>7</w:t>
      </w:r>
      <w:r>
        <w:t>日</w:t>
      </w:r>
    </w:p>
    <w:p w14:paraId="2971FC19">
      <w:pPr>
        <w:rPr>
          <w:rFonts w:hint="default" w:eastAsia="宋体"/>
          <w:lang w:val="en-US" w:eastAsia="zh-CN"/>
        </w:rPr>
      </w:pPr>
      <w:r>
        <w:t>发文单位:湖北</w:t>
      </w:r>
      <w:r>
        <w:rPr>
          <w:rFonts w:hint="eastAsia"/>
          <w:lang w:val="en-US" w:eastAsia="zh-CN"/>
        </w:rPr>
        <w:t>省人民政府</w:t>
      </w:r>
    </w:p>
    <w:p w14:paraId="20D2C2DF">
      <w:pPr>
        <w:rPr>
          <w:rFonts w:hint="eastAsia"/>
        </w:rPr>
      </w:pPr>
      <w:r>
        <w:t>原文链接:</w:t>
      </w:r>
      <w:r>
        <w:rPr>
          <w:rFonts w:hint="eastAsia"/>
        </w:rPr>
        <w:t>https://mp.weixin.qq.com/s/iYJ9-7-8ZP7jfKVFzwj-4w</w:t>
      </w:r>
    </w:p>
    <w:p w14:paraId="3054CD08"/>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4C5E">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5A6B5">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015A6B5">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B424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179A1"/>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D0A00"/>
    <w:rsid w:val="00DE0AEE"/>
    <w:rsid w:val="00DE3B08"/>
    <w:rsid w:val="00DE4A98"/>
    <w:rsid w:val="00DE5C6B"/>
    <w:rsid w:val="00DF30E6"/>
    <w:rsid w:val="00DF6839"/>
    <w:rsid w:val="00E00F2A"/>
    <w:rsid w:val="00E074BE"/>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818DB"/>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9D2A6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71692E"/>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7F9F00A"/>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未处理的提及3"/>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3376A0-3F34-BD43-992F-A82CBF5052E4}">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6963</Words>
  <Characters>9328</Characters>
  <Lines>79</Lines>
  <Paragraphs>22</Paragraphs>
  <TotalTime>1</TotalTime>
  <ScaleCrop>false</ScaleCrop>
  <LinksUpToDate>false</LinksUpToDate>
  <CharactersWithSpaces>9371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2025-03-16T13:36:00Z</dcterms:created>
  <dc:creator>任毅</dc:creator>
  <cp:lastModifiedBy>蓝天小云</cp:lastModifiedBy>
  <dcterms:modified xsi:type="dcterms:W3CDTF">2025-11-07T06:15:35Z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