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DDD009">
      <w:pPr>
        <w:snapToGrid w:val="0"/>
        <w:spacing w:line="360" w:lineRule="auto"/>
        <w:ind w:firstLine="897"/>
        <w:jc w:val="both"/>
        <w:rPr>
          <w:rFonts w:ascii="黑体" w:hAnsi="黑体" w:eastAsia="黑体" w:cs="黑体"/>
          <w:b/>
          <w:bCs/>
          <w:sz w:val="44"/>
          <w:szCs w:val="52"/>
        </w:rPr>
      </w:pPr>
    </w:p>
    <w:p w14:paraId="4B80B9BB">
      <w:pPr>
        <w:snapToGrid w:val="0"/>
        <w:spacing w:line="360" w:lineRule="auto"/>
        <w:ind w:firstLine="897"/>
        <w:jc w:val="both"/>
        <w:rPr>
          <w:rFonts w:ascii="黑体" w:hAnsi="黑体" w:eastAsia="黑体" w:cs="黑体"/>
          <w:b/>
          <w:bCs/>
          <w:sz w:val="44"/>
          <w:szCs w:val="52"/>
        </w:rPr>
      </w:pPr>
    </w:p>
    <w:p w14:paraId="53633403">
      <w:pPr>
        <w:snapToGrid w:val="0"/>
        <w:spacing w:line="360" w:lineRule="auto"/>
        <w:ind w:firstLine="897"/>
        <w:jc w:val="both"/>
        <w:rPr>
          <w:rFonts w:ascii="黑体" w:hAnsi="黑体" w:eastAsia="黑体" w:cs="黑体"/>
          <w:b/>
          <w:bCs/>
          <w:sz w:val="44"/>
          <w:szCs w:val="52"/>
        </w:rPr>
      </w:pPr>
    </w:p>
    <w:p w14:paraId="59AB3F8D">
      <w:pPr>
        <w:snapToGrid w:val="0"/>
        <w:spacing w:line="360" w:lineRule="auto"/>
        <w:ind w:firstLine="897"/>
        <w:jc w:val="both"/>
        <w:rPr>
          <w:rFonts w:ascii="黑体" w:hAnsi="黑体" w:eastAsia="黑体" w:cs="黑体"/>
          <w:b/>
          <w:bCs/>
          <w:sz w:val="44"/>
          <w:szCs w:val="52"/>
        </w:rPr>
      </w:pPr>
    </w:p>
    <w:p w14:paraId="7A8ADBFF">
      <w:pPr>
        <w:snapToGrid w:val="0"/>
        <w:spacing w:line="360" w:lineRule="auto"/>
        <w:ind w:firstLine="897"/>
        <w:jc w:val="both"/>
        <w:rPr>
          <w:rFonts w:ascii="黑体" w:hAnsi="黑体" w:eastAsia="黑体" w:cs="黑体"/>
          <w:b/>
          <w:bCs/>
          <w:sz w:val="44"/>
          <w:szCs w:val="52"/>
        </w:rPr>
      </w:pPr>
    </w:p>
    <w:p w14:paraId="0F636C55">
      <w:pPr>
        <w:snapToGrid w:val="0"/>
        <w:spacing w:line="360" w:lineRule="auto"/>
        <w:ind w:firstLine="897"/>
        <w:jc w:val="both"/>
        <w:rPr>
          <w:rFonts w:ascii="黑体" w:hAnsi="黑体" w:eastAsia="黑体" w:cs="黑体"/>
          <w:b/>
          <w:bCs/>
          <w:sz w:val="44"/>
          <w:szCs w:val="52"/>
        </w:rPr>
      </w:pPr>
    </w:p>
    <w:p w14:paraId="3DC9BE10">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 xml:space="preserve"> 每周政策速递</w:t>
      </w:r>
    </w:p>
    <w:p w14:paraId="59BC24DC">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w:t>
      </w:r>
      <w:r>
        <w:rPr>
          <w:rFonts w:ascii="黑体" w:hAnsi="黑体" w:eastAsia="黑体" w:cs="黑体"/>
          <w:b/>
          <w:bCs/>
          <w:sz w:val="44"/>
          <w:szCs w:val="52"/>
        </w:rPr>
        <w:t>6</w:t>
      </w:r>
      <w:r>
        <w:rPr>
          <w:rFonts w:hint="eastAsia" w:ascii="黑体" w:hAnsi="黑体" w:eastAsia="黑体" w:cs="黑体"/>
          <w:b/>
          <w:bCs/>
          <w:sz w:val="44"/>
          <w:szCs w:val="52"/>
        </w:rPr>
        <w:t>月1</w:t>
      </w:r>
      <w:r>
        <w:rPr>
          <w:rFonts w:ascii="黑体" w:hAnsi="黑体" w:eastAsia="黑体" w:cs="黑体"/>
          <w:b/>
          <w:bCs/>
          <w:sz w:val="44"/>
          <w:szCs w:val="52"/>
        </w:rPr>
        <w:t>3</w:t>
      </w:r>
      <w:r>
        <w:rPr>
          <w:rFonts w:hint="eastAsia" w:ascii="黑体" w:hAnsi="黑体" w:eastAsia="黑体" w:cs="黑体"/>
          <w:b/>
          <w:bCs/>
          <w:sz w:val="44"/>
          <w:szCs w:val="52"/>
        </w:rPr>
        <w:t>日-</w:t>
      </w:r>
      <w:r>
        <w:rPr>
          <w:rFonts w:ascii="黑体" w:hAnsi="黑体" w:eastAsia="黑体" w:cs="黑体"/>
          <w:b/>
          <w:bCs/>
          <w:sz w:val="44"/>
          <w:szCs w:val="52"/>
        </w:rPr>
        <w:t>6</w:t>
      </w:r>
      <w:r>
        <w:rPr>
          <w:rFonts w:hint="eastAsia" w:ascii="黑体" w:hAnsi="黑体" w:eastAsia="黑体" w:cs="黑体"/>
          <w:b/>
          <w:bCs/>
          <w:sz w:val="44"/>
          <w:szCs w:val="52"/>
        </w:rPr>
        <w:t>月</w:t>
      </w:r>
      <w:r>
        <w:rPr>
          <w:rFonts w:ascii="黑体" w:hAnsi="黑体" w:eastAsia="黑体" w:cs="黑体"/>
          <w:b/>
          <w:bCs/>
          <w:sz w:val="44"/>
          <w:szCs w:val="52"/>
        </w:rPr>
        <w:t>20</w:t>
      </w:r>
      <w:r>
        <w:rPr>
          <w:rFonts w:hint="eastAsia" w:ascii="黑体" w:hAnsi="黑体" w:eastAsia="黑体" w:cs="黑体"/>
          <w:b/>
          <w:bCs/>
          <w:sz w:val="44"/>
          <w:szCs w:val="52"/>
        </w:rPr>
        <w:t>日）</w:t>
      </w:r>
    </w:p>
    <w:p w14:paraId="4A513372">
      <w:pPr>
        <w:snapToGrid w:val="0"/>
        <w:spacing w:line="360" w:lineRule="auto"/>
        <w:ind w:firstLine="720"/>
        <w:jc w:val="center"/>
        <w:rPr>
          <w:sz w:val="36"/>
          <w:szCs w:val="44"/>
        </w:rPr>
      </w:pPr>
    </w:p>
    <w:p w14:paraId="5775FCD8">
      <w:pPr>
        <w:snapToGrid w:val="0"/>
        <w:spacing w:line="360" w:lineRule="auto"/>
        <w:ind w:firstLine="720"/>
        <w:jc w:val="center"/>
        <w:rPr>
          <w:sz w:val="36"/>
          <w:szCs w:val="44"/>
        </w:rPr>
      </w:pPr>
    </w:p>
    <w:p w14:paraId="30694A82">
      <w:pPr>
        <w:snapToGrid w:val="0"/>
        <w:spacing w:line="360" w:lineRule="auto"/>
        <w:ind w:firstLine="720"/>
        <w:jc w:val="center"/>
        <w:rPr>
          <w:sz w:val="36"/>
          <w:szCs w:val="44"/>
        </w:rPr>
      </w:pPr>
    </w:p>
    <w:p w14:paraId="1558FF89">
      <w:pPr>
        <w:snapToGrid w:val="0"/>
        <w:spacing w:line="360" w:lineRule="auto"/>
        <w:ind w:firstLine="720"/>
        <w:jc w:val="center"/>
        <w:rPr>
          <w:sz w:val="36"/>
          <w:szCs w:val="44"/>
        </w:rPr>
      </w:pPr>
    </w:p>
    <w:p w14:paraId="75F9641A">
      <w:pPr>
        <w:snapToGrid w:val="0"/>
        <w:spacing w:line="360" w:lineRule="auto"/>
        <w:jc w:val="center"/>
        <w:rPr>
          <w:sz w:val="28"/>
          <w:szCs w:val="36"/>
        </w:rPr>
      </w:pPr>
    </w:p>
    <w:p w14:paraId="7A487539">
      <w:pPr>
        <w:snapToGrid w:val="0"/>
        <w:spacing w:line="360" w:lineRule="auto"/>
        <w:jc w:val="center"/>
        <w:rPr>
          <w:sz w:val="28"/>
          <w:szCs w:val="36"/>
        </w:rPr>
      </w:pPr>
    </w:p>
    <w:p w14:paraId="23687611">
      <w:pPr>
        <w:snapToGrid w:val="0"/>
        <w:spacing w:line="360" w:lineRule="auto"/>
        <w:jc w:val="center"/>
        <w:rPr>
          <w:sz w:val="28"/>
          <w:szCs w:val="36"/>
        </w:rPr>
      </w:pPr>
    </w:p>
    <w:p w14:paraId="7E69BD35">
      <w:pPr>
        <w:snapToGrid w:val="0"/>
        <w:spacing w:line="360" w:lineRule="auto"/>
        <w:jc w:val="center"/>
        <w:rPr>
          <w:sz w:val="28"/>
          <w:szCs w:val="36"/>
        </w:rPr>
      </w:pPr>
    </w:p>
    <w:p w14:paraId="255BE26A">
      <w:pPr>
        <w:snapToGrid w:val="0"/>
        <w:spacing w:line="360" w:lineRule="auto"/>
        <w:jc w:val="center"/>
        <w:rPr>
          <w:sz w:val="28"/>
          <w:szCs w:val="36"/>
        </w:rPr>
      </w:pPr>
    </w:p>
    <w:p w14:paraId="1D150573">
      <w:pPr>
        <w:snapToGrid w:val="0"/>
        <w:spacing w:line="360" w:lineRule="auto"/>
        <w:jc w:val="center"/>
        <w:rPr>
          <w:sz w:val="28"/>
          <w:szCs w:val="36"/>
        </w:rPr>
      </w:pPr>
    </w:p>
    <w:p w14:paraId="6364B049">
      <w:pPr>
        <w:snapToGrid w:val="0"/>
        <w:spacing w:line="360" w:lineRule="auto"/>
        <w:jc w:val="center"/>
        <w:rPr>
          <w:sz w:val="28"/>
          <w:szCs w:val="36"/>
        </w:rPr>
      </w:pPr>
    </w:p>
    <w:p w14:paraId="58E4DA35">
      <w:pPr>
        <w:snapToGrid w:val="0"/>
        <w:spacing w:line="360" w:lineRule="auto"/>
        <w:ind w:firstLine="560"/>
        <w:jc w:val="both"/>
      </w:pPr>
    </w:p>
    <w:p w14:paraId="03EEFF4C">
      <w:pPr>
        <w:pStyle w:val="2"/>
        <w:jc w:val="both"/>
        <w:sectPr>
          <w:pgSz w:w="11906" w:h="16838"/>
          <w:pgMar w:top="1440" w:right="1800" w:bottom="1440" w:left="1800" w:header="851" w:footer="992" w:gutter="0"/>
          <w:cols w:space="425" w:num="1"/>
          <w:docGrid w:type="lines" w:linePitch="312" w:charSpace="0"/>
        </w:sectPr>
      </w:pPr>
    </w:p>
    <w:p w14:paraId="2634B828">
      <w:pPr>
        <w:pStyle w:val="2"/>
        <w:jc w:val="both"/>
      </w:pPr>
      <w:bookmarkStart w:id="0" w:name="_Toc32542"/>
      <w:r>
        <w:rPr>
          <w:rFonts w:hint="eastAsia"/>
        </w:rPr>
        <w:t>目录</w:t>
      </w:r>
      <w:bookmarkEnd w:id="0"/>
    </w:p>
    <w:p w14:paraId="20B07C76">
      <w:pPr>
        <w:pStyle w:val="14"/>
        <w:tabs>
          <w:tab w:val="right" w:leader="dot" w:pos="8306"/>
          <w:tab w:val="clear" w:pos="8296"/>
        </w:tabs>
      </w:pPr>
      <w:r>
        <w:rPr>
          <w:rFonts w:ascii="微软雅黑" w:hAnsi="微软雅黑" w:eastAsia="微软雅黑"/>
          <w:sz w:val="21"/>
          <w:szCs w:val="21"/>
        </w:rPr>
        <w:fldChar w:fldCharType="begin"/>
      </w:r>
      <w:r>
        <w:rPr>
          <w:rFonts w:ascii="微软雅黑" w:hAnsi="微软雅黑" w:eastAsia="微软雅黑"/>
          <w:sz w:val="21"/>
          <w:szCs w:val="21"/>
        </w:rPr>
        <w:instrText xml:space="preserve"> TOC \o "1-3" \h \z \u </w:instrText>
      </w:r>
      <w:r>
        <w:rPr>
          <w:rFonts w:ascii="微软雅黑" w:hAnsi="微软雅黑" w:eastAsia="微软雅黑"/>
          <w:sz w:val="21"/>
          <w:szCs w:val="21"/>
        </w:rPr>
        <w:fldChar w:fldCharType="separate"/>
      </w:r>
      <w:r>
        <w:rPr>
          <w:rFonts w:ascii="微软雅黑" w:hAnsi="微软雅黑" w:eastAsia="微软雅黑"/>
          <w:szCs w:val="21"/>
        </w:rPr>
        <w:fldChar w:fldCharType="begin"/>
      </w:r>
      <w:r>
        <w:rPr>
          <w:rFonts w:ascii="微软雅黑" w:hAnsi="微软雅黑" w:eastAsia="微软雅黑"/>
          <w:szCs w:val="21"/>
        </w:rPr>
        <w:instrText xml:space="preserve"> HYPERLINK \l _Toc32542 </w:instrText>
      </w:r>
      <w:r>
        <w:rPr>
          <w:rFonts w:ascii="微软雅黑" w:hAnsi="微软雅黑" w:eastAsia="微软雅黑"/>
          <w:szCs w:val="21"/>
        </w:rPr>
        <w:fldChar w:fldCharType="separate"/>
      </w:r>
      <w:r>
        <w:rPr>
          <w:rFonts w:hint="eastAsia"/>
        </w:rPr>
        <w:t>目录</w:t>
      </w:r>
      <w:r>
        <w:tab/>
      </w:r>
      <w:r>
        <w:fldChar w:fldCharType="begin"/>
      </w:r>
      <w:r>
        <w:instrText xml:space="preserve"> PAGEREF _Toc32542 \h </w:instrText>
      </w:r>
      <w:r>
        <w:fldChar w:fldCharType="separate"/>
      </w:r>
      <w:r>
        <w:t>1</w:t>
      </w:r>
      <w:r>
        <w:fldChar w:fldCharType="end"/>
      </w:r>
      <w:r>
        <w:rPr>
          <w:rFonts w:ascii="微软雅黑" w:hAnsi="微软雅黑" w:eastAsia="微软雅黑"/>
          <w:szCs w:val="21"/>
        </w:rPr>
        <w:fldChar w:fldCharType="end"/>
      </w:r>
    </w:p>
    <w:p w14:paraId="60E364B0">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_Toc20686 </w:instrText>
      </w:r>
      <w:r>
        <w:rPr>
          <w:rFonts w:ascii="微软雅黑" w:hAnsi="微软雅黑" w:eastAsia="微软雅黑"/>
          <w:szCs w:val="28"/>
        </w:rPr>
        <w:fldChar w:fldCharType="separate"/>
      </w:r>
      <w:r>
        <w:rPr>
          <w:rFonts w:hint="eastAsia"/>
        </w:rPr>
        <w:t>重点.关注</w:t>
      </w:r>
      <w:r>
        <w:tab/>
      </w:r>
      <w:r>
        <w:fldChar w:fldCharType="begin"/>
      </w:r>
      <w:r>
        <w:instrText xml:space="preserve"> PAGEREF _Toc20686 \h </w:instrText>
      </w:r>
      <w:r>
        <w:fldChar w:fldCharType="separate"/>
      </w:r>
      <w:r>
        <w:t>2</w:t>
      </w:r>
      <w:r>
        <w:fldChar w:fldCharType="end"/>
      </w:r>
      <w:r>
        <w:rPr>
          <w:rFonts w:ascii="微软雅黑" w:hAnsi="微软雅黑" w:eastAsia="微软雅黑"/>
          <w:szCs w:val="28"/>
        </w:rPr>
        <w:fldChar w:fldCharType="end"/>
      </w:r>
    </w:p>
    <w:p w14:paraId="5536AD67">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_Toc29728 </w:instrText>
      </w:r>
      <w:r>
        <w:rPr>
          <w:rFonts w:ascii="微软雅黑" w:hAnsi="微软雅黑" w:eastAsia="微软雅黑"/>
          <w:szCs w:val="28"/>
        </w:rPr>
        <w:fldChar w:fldCharType="separate"/>
      </w:r>
      <w:r>
        <w:rPr>
          <w:rFonts w:hint="default"/>
        </w:rPr>
        <w:t xml:space="preserve">(1) </w:t>
      </w:r>
      <w:r>
        <w:rPr>
          <w:rFonts w:hint="eastAsia"/>
        </w:rPr>
        <w:t>习近平：</w:t>
      </w:r>
      <w:r>
        <w:t>用中长期规划指导经济社会发展是党治国理政的一种重要方式</w:t>
      </w:r>
      <w:r>
        <w:tab/>
      </w:r>
      <w:r>
        <w:fldChar w:fldCharType="begin"/>
      </w:r>
      <w:r>
        <w:instrText xml:space="preserve"> PAGEREF _Toc29728 \h </w:instrText>
      </w:r>
      <w:r>
        <w:fldChar w:fldCharType="separate"/>
      </w:r>
      <w:r>
        <w:t>2</w:t>
      </w:r>
      <w:r>
        <w:fldChar w:fldCharType="end"/>
      </w:r>
      <w:r>
        <w:rPr>
          <w:rFonts w:ascii="微软雅黑" w:hAnsi="微软雅黑" w:eastAsia="微软雅黑"/>
          <w:szCs w:val="28"/>
        </w:rPr>
        <w:fldChar w:fldCharType="end"/>
      </w:r>
    </w:p>
    <w:p w14:paraId="633AB4BA">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_Toc25394 </w:instrText>
      </w:r>
      <w:r>
        <w:rPr>
          <w:rFonts w:ascii="微软雅黑" w:hAnsi="微软雅黑" w:eastAsia="微软雅黑"/>
          <w:szCs w:val="28"/>
        </w:rPr>
        <w:fldChar w:fldCharType="separate"/>
      </w:r>
      <w:r>
        <w:rPr>
          <w:rFonts w:hint="eastAsia"/>
        </w:rPr>
        <w:t>政策.速递</w:t>
      </w:r>
      <w:r>
        <w:tab/>
      </w:r>
      <w:r>
        <w:fldChar w:fldCharType="begin"/>
      </w:r>
      <w:r>
        <w:instrText xml:space="preserve"> PAGEREF _Toc25394 \h </w:instrText>
      </w:r>
      <w:r>
        <w:fldChar w:fldCharType="separate"/>
      </w:r>
      <w:r>
        <w:t>2</w:t>
      </w:r>
      <w:r>
        <w:fldChar w:fldCharType="end"/>
      </w:r>
      <w:r>
        <w:rPr>
          <w:rFonts w:ascii="微软雅黑" w:hAnsi="微软雅黑" w:eastAsia="微软雅黑"/>
          <w:szCs w:val="28"/>
        </w:rPr>
        <w:fldChar w:fldCharType="end"/>
      </w:r>
    </w:p>
    <w:p w14:paraId="698BB10A">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_Toc25687 </w:instrText>
      </w:r>
      <w:r>
        <w:rPr>
          <w:rFonts w:ascii="微软雅黑" w:hAnsi="微软雅黑" w:eastAsia="微软雅黑"/>
          <w:szCs w:val="28"/>
        </w:rPr>
        <w:fldChar w:fldCharType="separate"/>
      </w:r>
      <w:r>
        <w:rPr>
          <w:rFonts w:hint="eastAsia"/>
        </w:rPr>
        <w:t>中央</w:t>
      </w:r>
      <w:r>
        <w:tab/>
      </w:r>
      <w:r>
        <w:fldChar w:fldCharType="begin"/>
      </w:r>
      <w:r>
        <w:instrText xml:space="preserve"> PAGEREF _Toc25687 \h </w:instrText>
      </w:r>
      <w:r>
        <w:fldChar w:fldCharType="separate"/>
      </w:r>
      <w:r>
        <w:t>2</w:t>
      </w:r>
      <w:r>
        <w:fldChar w:fldCharType="end"/>
      </w:r>
      <w:r>
        <w:rPr>
          <w:rFonts w:ascii="微软雅黑" w:hAnsi="微软雅黑" w:eastAsia="微软雅黑"/>
          <w:szCs w:val="28"/>
        </w:rPr>
        <w:fldChar w:fldCharType="end"/>
      </w:r>
    </w:p>
    <w:p w14:paraId="7D9A3236">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_Toc10637 </w:instrText>
      </w:r>
      <w:r>
        <w:rPr>
          <w:rFonts w:ascii="微软雅黑" w:hAnsi="微软雅黑" w:eastAsia="微软雅黑"/>
          <w:szCs w:val="28"/>
        </w:rPr>
        <w:fldChar w:fldCharType="separate"/>
      </w:r>
      <w:r>
        <w:rPr>
          <w:rFonts w:hint="default"/>
        </w:rPr>
        <w:t xml:space="preserve">(1) </w:t>
      </w:r>
      <w:r>
        <w:t>《纺织工业数字化转型实施方案》</w:t>
      </w:r>
      <w:r>
        <w:tab/>
      </w:r>
      <w:r>
        <w:fldChar w:fldCharType="begin"/>
      </w:r>
      <w:r>
        <w:instrText xml:space="preserve"> PAGEREF _Toc10637 \h </w:instrText>
      </w:r>
      <w:r>
        <w:fldChar w:fldCharType="separate"/>
      </w:r>
      <w:r>
        <w:t>2</w:t>
      </w:r>
      <w:r>
        <w:fldChar w:fldCharType="end"/>
      </w:r>
      <w:r>
        <w:rPr>
          <w:rFonts w:ascii="微软雅黑" w:hAnsi="微软雅黑" w:eastAsia="微软雅黑"/>
          <w:szCs w:val="28"/>
        </w:rPr>
        <w:fldChar w:fldCharType="end"/>
      </w:r>
    </w:p>
    <w:p w14:paraId="73375042">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_Toc9451 </w:instrText>
      </w:r>
      <w:r>
        <w:rPr>
          <w:rFonts w:ascii="微软雅黑" w:hAnsi="微软雅黑" w:eastAsia="微软雅黑"/>
          <w:szCs w:val="28"/>
        </w:rPr>
        <w:fldChar w:fldCharType="separate"/>
      </w:r>
      <w:r>
        <w:rPr>
          <w:rFonts w:hint="default"/>
        </w:rPr>
        <w:t xml:space="preserve">(2) </w:t>
      </w:r>
      <w:r>
        <w:t>《工业和信息化部科技型企业孵化器管理办法》</w:t>
      </w:r>
      <w:r>
        <w:tab/>
      </w:r>
      <w:r>
        <w:fldChar w:fldCharType="begin"/>
      </w:r>
      <w:r>
        <w:instrText xml:space="preserve"> PAGEREF _Toc9451 \h </w:instrText>
      </w:r>
      <w:r>
        <w:fldChar w:fldCharType="separate"/>
      </w:r>
      <w:r>
        <w:t>2</w:t>
      </w:r>
      <w:r>
        <w:fldChar w:fldCharType="end"/>
      </w:r>
      <w:r>
        <w:rPr>
          <w:rFonts w:ascii="微软雅黑" w:hAnsi="微软雅黑" w:eastAsia="微软雅黑"/>
          <w:szCs w:val="28"/>
        </w:rPr>
        <w:fldChar w:fldCharType="end"/>
      </w:r>
    </w:p>
    <w:p w14:paraId="5C514425">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_Toc8954 </w:instrText>
      </w:r>
      <w:r>
        <w:rPr>
          <w:rFonts w:ascii="微软雅黑" w:hAnsi="微软雅黑" w:eastAsia="微软雅黑"/>
          <w:szCs w:val="28"/>
        </w:rPr>
        <w:fldChar w:fldCharType="separate"/>
      </w:r>
      <w:r>
        <w:rPr>
          <w:rFonts w:hint="default"/>
        </w:rPr>
        <w:t xml:space="preserve">(3) </w:t>
      </w:r>
      <w:r>
        <w:t>《汽车数据出境安全指引（2025版）（征求意见稿）》</w:t>
      </w:r>
      <w:r>
        <w:tab/>
      </w:r>
      <w:r>
        <w:fldChar w:fldCharType="begin"/>
      </w:r>
      <w:r>
        <w:instrText xml:space="preserve"> PAGEREF _Toc8954 \h </w:instrText>
      </w:r>
      <w:r>
        <w:fldChar w:fldCharType="separate"/>
      </w:r>
      <w:r>
        <w:t>3</w:t>
      </w:r>
      <w:r>
        <w:fldChar w:fldCharType="end"/>
      </w:r>
      <w:r>
        <w:rPr>
          <w:rFonts w:ascii="微软雅黑" w:hAnsi="微软雅黑" w:eastAsia="微软雅黑"/>
          <w:szCs w:val="28"/>
        </w:rPr>
        <w:fldChar w:fldCharType="end"/>
      </w:r>
    </w:p>
    <w:p w14:paraId="5D845B50">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_Toc9413 </w:instrText>
      </w:r>
      <w:r>
        <w:rPr>
          <w:rFonts w:ascii="微软雅黑" w:hAnsi="微软雅黑" w:eastAsia="微软雅黑"/>
          <w:szCs w:val="28"/>
        </w:rPr>
        <w:fldChar w:fldCharType="separate"/>
      </w:r>
      <w:r>
        <w:rPr>
          <w:rFonts w:hint="default"/>
        </w:rPr>
        <w:t xml:space="preserve">(4) </w:t>
      </w:r>
      <w:r>
        <w:t>《关于征集高质量数据集典型案例的通知》</w:t>
      </w:r>
      <w:r>
        <w:tab/>
      </w:r>
      <w:r>
        <w:fldChar w:fldCharType="begin"/>
      </w:r>
      <w:r>
        <w:instrText xml:space="preserve"> PAGEREF _Toc9413 \h </w:instrText>
      </w:r>
      <w:r>
        <w:fldChar w:fldCharType="separate"/>
      </w:r>
      <w:r>
        <w:t>3</w:t>
      </w:r>
      <w:r>
        <w:fldChar w:fldCharType="end"/>
      </w:r>
      <w:r>
        <w:rPr>
          <w:rFonts w:ascii="微软雅黑" w:hAnsi="微软雅黑" w:eastAsia="微软雅黑"/>
          <w:szCs w:val="28"/>
        </w:rPr>
        <w:fldChar w:fldCharType="end"/>
      </w:r>
    </w:p>
    <w:p w14:paraId="7E20FDD6">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_Toc1585 </w:instrText>
      </w:r>
      <w:r>
        <w:rPr>
          <w:rFonts w:ascii="微软雅黑" w:hAnsi="微软雅黑" w:eastAsia="微软雅黑"/>
          <w:szCs w:val="28"/>
        </w:rPr>
        <w:fldChar w:fldCharType="separate"/>
      </w:r>
      <w:r>
        <w:rPr>
          <w:rFonts w:hint="default"/>
        </w:rPr>
        <w:t xml:space="preserve">(5) </w:t>
      </w:r>
      <w:r>
        <w:t>《国家数据局数字科技和基础设施建设司2025年课题委托研究征集公告》</w:t>
      </w:r>
      <w:r>
        <w:tab/>
      </w:r>
      <w:r>
        <w:fldChar w:fldCharType="begin"/>
      </w:r>
      <w:r>
        <w:instrText xml:space="preserve"> PAGEREF _Toc1585 \h </w:instrText>
      </w:r>
      <w:r>
        <w:fldChar w:fldCharType="separate"/>
      </w:r>
      <w:r>
        <w:t>4</w:t>
      </w:r>
      <w:r>
        <w:fldChar w:fldCharType="end"/>
      </w:r>
      <w:r>
        <w:rPr>
          <w:rFonts w:ascii="微软雅黑" w:hAnsi="微软雅黑" w:eastAsia="微软雅黑"/>
          <w:szCs w:val="28"/>
        </w:rPr>
        <w:fldChar w:fldCharType="end"/>
      </w:r>
    </w:p>
    <w:p w14:paraId="55A1A14C">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_Toc23931 </w:instrText>
      </w:r>
      <w:r>
        <w:rPr>
          <w:rFonts w:ascii="微软雅黑" w:hAnsi="微软雅黑" w:eastAsia="微软雅黑"/>
          <w:szCs w:val="28"/>
        </w:rPr>
        <w:fldChar w:fldCharType="separate"/>
      </w:r>
      <w:r>
        <w:rPr>
          <w:rFonts w:hint="default"/>
        </w:rPr>
        <w:t xml:space="preserve">(6) </w:t>
      </w:r>
      <w:r>
        <w:t>《关于开展“水风光+”创新发展优秀实践案例征集工作的通知》</w:t>
      </w:r>
      <w:r>
        <w:tab/>
      </w:r>
      <w:r>
        <w:fldChar w:fldCharType="begin"/>
      </w:r>
      <w:r>
        <w:instrText xml:space="preserve"> PAGEREF _Toc23931 \h </w:instrText>
      </w:r>
      <w:r>
        <w:fldChar w:fldCharType="separate"/>
      </w:r>
      <w:r>
        <w:t>4</w:t>
      </w:r>
      <w:r>
        <w:fldChar w:fldCharType="end"/>
      </w:r>
      <w:r>
        <w:rPr>
          <w:rFonts w:ascii="微软雅黑" w:hAnsi="微软雅黑" w:eastAsia="微软雅黑"/>
          <w:szCs w:val="28"/>
        </w:rPr>
        <w:fldChar w:fldCharType="end"/>
      </w:r>
    </w:p>
    <w:p w14:paraId="179A06CB">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_Toc5410 </w:instrText>
      </w:r>
      <w:r>
        <w:rPr>
          <w:rFonts w:ascii="微软雅黑" w:hAnsi="微软雅黑" w:eastAsia="微软雅黑"/>
          <w:szCs w:val="28"/>
        </w:rPr>
        <w:fldChar w:fldCharType="separate"/>
      </w:r>
      <w:r>
        <w:rPr>
          <w:rFonts w:hint="default"/>
        </w:rPr>
        <w:t xml:space="preserve">(7) </w:t>
      </w:r>
      <w:r>
        <w:t>《关于组织开展2025年度重点行业能效“领跑者”企业推荐工作的通知》</w:t>
      </w:r>
      <w:r>
        <w:tab/>
      </w:r>
      <w:r>
        <w:fldChar w:fldCharType="begin"/>
      </w:r>
      <w:r>
        <w:instrText xml:space="preserve"> PAGEREF _Toc5410 \h </w:instrText>
      </w:r>
      <w:r>
        <w:fldChar w:fldCharType="separate"/>
      </w:r>
      <w:r>
        <w:t>4</w:t>
      </w:r>
      <w:r>
        <w:fldChar w:fldCharType="end"/>
      </w:r>
      <w:r>
        <w:rPr>
          <w:rFonts w:ascii="微软雅黑" w:hAnsi="微软雅黑" w:eastAsia="微软雅黑"/>
          <w:szCs w:val="28"/>
        </w:rPr>
        <w:fldChar w:fldCharType="end"/>
      </w:r>
    </w:p>
    <w:p w14:paraId="7B9BB4AA">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_Toc25869 </w:instrText>
      </w:r>
      <w:r>
        <w:rPr>
          <w:rFonts w:ascii="微软雅黑" w:hAnsi="微软雅黑" w:eastAsia="微软雅黑"/>
          <w:szCs w:val="28"/>
        </w:rPr>
        <w:fldChar w:fldCharType="separate"/>
      </w:r>
      <w:r>
        <w:rPr>
          <w:rFonts w:hint="eastAsia"/>
        </w:rPr>
        <w:t>湖北省</w:t>
      </w:r>
      <w:r>
        <w:tab/>
      </w:r>
      <w:r>
        <w:fldChar w:fldCharType="begin"/>
      </w:r>
      <w:r>
        <w:instrText xml:space="preserve"> PAGEREF _Toc25869 \h </w:instrText>
      </w:r>
      <w:r>
        <w:fldChar w:fldCharType="separate"/>
      </w:r>
      <w:r>
        <w:t>5</w:t>
      </w:r>
      <w:r>
        <w:fldChar w:fldCharType="end"/>
      </w:r>
      <w:r>
        <w:rPr>
          <w:rFonts w:ascii="微软雅黑" w:hAnsi="微软雅黑" w:eastAsia="微软雅黑"/>
          <w:szCs w:val="28"/>
        </w:rPr>
        <w:fldChar w:fldCharType="end"/>
      </w:r>
    </w:p>
    <w:p w14:paraId="661E7E27">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_Toc16985 </w:instrText>
      </w:r>
      <w:r>
        <w:rPr>
          <w:rFonts w:ascii="微软雅黑" w:hAnsi="微软雅黑" w:eastAsia="微软雅黑"/>
          <w:szCs w:val="28"/>
        </w:rPr>
        <w:fldChar w:fldCharType="separate"/>
      </w:r>
      <w:r>
        <w:rPr>
          <w:rFonts w:hint="default"/>
        </w:rPr>
        <w:t xml:space="preserve">(1) </w:t>
      </w:r>
      <w:r>
        <w:t>《湖北省推进可信数据空间发展行动方案》</w:t>
      </w:r>
      <w:r>
        <w:tab/>
      </w:r>
      <w:r>
        <w:fldChar w:fldCharType="begin"/>
      </w:r>
      <w:r>
        <w:instrText xml:space="preserve"> PAGEREF _Toc16985 \h </w:instrText>
      </w:r>
      <w:r>
        <w:fldChar w:fldCharType="separate"/>
      </w:r>
      <w:r>
        <w:t>5</w:t>
      </w:r>
      <w:r>
        <w:fldChar w:fldCharType="end"/>
      </w:r>
      <w:r>
        <w:rPr>
          <w:rFonts w:ascii="微软雅黑" w:hAnsi="微软雅黑" w:eastAsia="微软雅黑"/>
          <w:szCs w:val="28"/>
        </w:rPr>
        <w:fldChar w:fldCharType="end"/>
      </w:r>
    </w:p>
    <w:p w14:paraId="47AAB84B">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_Toc28221 </w:instrText>
      </w:r>
      <w:r>
        <w:rPr>
          <w:rFonts w:ascii="微软雅黑" w:hAnsi="微软雅黑" w:eastAsia="微软雅黑"/>
          <w:szCs w:val="28"/>
        </w:rPr>
        <w:fldChar w:fldCharType="separate"/>
      </w:r>
      <w:r>
        <w:rPr>
          <w:rFonts w:hint="default"/>
        </w:rPr>
        <w:t xml:space="preserve">(2) </w:t>
      </w:r>
      <w:r>
        <w:t>《</w:t>
      </w:r>
      <w:r>
        <w:rPr>
          <w:rFonts w:hint="eastAsia"/>
          <w:lang w:val="en-US" w:eastAsia="zh-CN"/>
        </w:rPr>
        <w:t>湖北</w:t>
      </w:r>
      <w:r>
        <w:t>省科技厅关于推荐申报国家重点研发计划高新技术成果产业化试点工作的通知》</w:t>
      </w:r>
      <w:r>
        <w:tab/>
      </w:r>
      <w:r>
        <w:fldChar w:fldCharType="begin"/>
      </w:r>
      <w:r>
        <w:instrText xml:space="preserve"> PAGEREF _Toc28221 \h </w:instrText>
      </w:r>
      <w:r>
        <w:fldChar w:fldCharType="separate"/>
      </w:r>
      <w:r>
        <w:t>5</w:t>
      </w:r>
      <w:r>
        <w:fldChar w:fldCharType="end"/>
      </w:r>
      <w:r>
        <w:rPr>
          <w:rFonts w:ascii="微软雅黑" w:hAnsi="微软雅黑" w:eastAsia="微软雅黑"/>
          <w:szCs w:val="28"/>
        </w:rPr>
        <w:fldChar w:fldCharType="end"/>
      </w:r>
    </w:p>
    <w:p w14:paraId="0195A3A2">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_Toc24174 </w:instrText>
      </w:r>
      <w:r>
        <w:rPr>
          <w:rFonts w:ascii="微软雅黑" w:hAnsi="微软雅黑" w:eastAsia="微软雅黑"/>
          <w:szCs w:val="28"/>
        </w:rPr>
        <w:fldChar w:fldCharType="separate"/>
      </w:r>
      <w:r>
        <w:rPr>
          <w:rFonts w:hint="default"/>
        </w:rPr>
        <w:t xml:space="preserve">(3) </w:t>
      </w:r>
      <w:r>
        <w:t>《关于组织2025年湖北省数字</w:t>
      </w:r>
      <w:r>
        <w:rPr>
          <w:rFonts w:hint="eastAsia"/>
          <w:lang w:val="en-US" w:eastAsia="zh-CN"/>
        </w:rPr>
        <w:t>孪生</w:t>
      </w:r>
      <w:r>
        <w:t>工厂和无人工厂申报工作的通知》</w:t>
      </w:r>
      <w:r>
        <w:tab/>
      </w:r>
      <w:r>
        <w:fldChar w:fldCharType="begin"/>
      </w:r>
      <w:r>
        <w:instrText xml:space="preserve"> PAGEREF _Toc24174 \h </w:instrText>
      </w:r>
      <w:r>
        <w:fldChar w:fldCharType="separate"/>
      </w:r>
      <w:r>
        <w:t>5</w:t>
      </w:r>
      <w:r>
        <w:fldChar w:fldCharType="end"/>
      </w:r>
      <w:r>
        <w:rPr>
          <w:rFonts w:ascii="微软雅黑" w:hAnsi="微软雅黑" w:eastAsia="微软雅黑"/>
          <w:szCs w:val="28"/>
        </w:rPr>
        <w:fldChar w:fldCharType="end"/>
      </w:r>
    </w:p>
    <w:p w14:paraId="7880D442">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_Toc13489 </w:instrText>
      </w:r>
      <w:r>
        <w:rPr>
          <w:rFonts w:ascii="微软雅黑" w:hAnsi="微软雅黑" w:eastAsia="微软雅黑"/>
          <w:szCs w:val="28"/>
        </w:rPr>
        <w:fldChar w:fldCharType="separate"/>
      </w:r>
      <w:r>
        <w:rPr>
          <w:rFonts w:hint="default"/>
        </w:rPr>
        <w:t xml:space="preserve">(4) </w:t>
      </w:r>
      <w:r>
        <w:t>《武汉市推动科技金融高质量发展</w:t>
      </w:r>
      <w:r>
        <w:rPr>
          <w:rFonts w:hint="eastAsia"/>
        </w:rPr>
        <w:t>，</w:t>
      </w:r>
      <w:r>
        <w:t>加快建设全国科技金融中心行动方案（2025 - 2027年）》</w:t>
      </w:r>
      <w:r>
        <w:tab/>
      </w:r>
      <w:r>
        <w:fldChar w:fldCharType="begin"/>
      </w:r>
      <w:r>
        <w:instrText xml:space="preserve"> PAGEREF _Toc13489 \h </w:instrText>
      </w:r>
      <w:r>
        <w:fldChar w:fldCharType="separate"/>
      </w:r>
      <w:r>
        <w:t>6</w:t>
      </w:r>
      <w:r>
        <w:fldChar w:fldCharType="end"/>
      </w:r>
      <w:r>
        <w:rPr>
          <w:rFonts w:ascii="微软雅黑" w:hAnsi="微软雅黑" w:eastAsia="微软雅黑"/>
          <w:szCs w:val="28"/>
        </w:rPr>
        <w:fldChar w:fldCharType="end"/>
      </w:r>
    </w:p>
    <w:p w14:paraId="1A0D733A">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_Toc30228 </w:instrText>
      </w:r>
      <w:r>
        <w:rPr>
          <w:rFonts w:ascii="微软雅黑" w:hAnsi="微软雅黑" w:eastAsia="微软雅黑"/>
          <w:szCs w:val="28"/>
        </w:rPr>
        <w:fldChar w:fldCharType="separate"/>
      </w:r>
      <w:r>
        <w:rPr>
          <w:rFonts w:hint="default"/>
        </w:rPr>
        <w:t xml:space="preserve">(5) </w:t>
      </w:r>
      <w:r>
        <w:t>《</w:t>
      </w:r>
      <w:r>
        <w:rPr>
          <w:rFonts w:hint="eastAsia"/>
          <w:lang w:val="en-US" w:eastAsia="zh-CN"/>
        </w:rPr>
        <w:t>武汉市</w:t>
      </w:r>
      <w:r>
        <w:t>人形机器人产业三年行动方案》</w:t>
      </w:r>
      <w:r>
        <w:tab/>
      </w:r>
      <w:r>
        <w:fldChar w:fldCharType="begin"/>
      </w:r>
      <w:r>
        <w:instrText xml:space="preserve"> PAGEREF _Toc30228 \h </w:instrText>
      </w:r>
      <w:r>
        <w:fldChar w:fldCharType="separate"/>
      </w:r>
      <w:r>
        <w:t>6</w:t>
      </w:r>
      <w:r>
        <w:fldChar w:fldCharType="end"/>
      </w:r>
      <w:r>
        <w:rPr>
          <w:rFonts w:ascii="微软雅黑" w:hAnsi="微软雅黑" w:eastAsia="微软雅黑"/>
          <w:szCs w:val="28"/>
        </w:rPr>
        <w:fldChar w:fldCharType="end"/>
      </w:r>
    </w:p>
    <w:p w14:paraId="1C7D6C1D">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_Toc31573 </w:instrText>
      </w:r>
      <w:r>
        <w:rPr>
          <w:rFonts w:ascii="微软雅黑" w:hAnsi="微软雅黑" w:eastAsia="微软雅黑"/>
          <w:szCs w:val="28"/>
        </w:rPr>
        <w:fldChar w:fldCharType="separate"/>
      </w:r>
      <w:r>
        <w:rPr>
          <w:rFonts w:hint="default"/>
          <w:lang w:eastAsia="zh-CN"/>
        </w:rPr>
        <w:t xml:space="preserve">(6) </w:t>
      </w:r>
      <w:r>
        <w:rPr>
          <w:rFonts w:hint="eastAsia"/>
          <w:lang w:eastAsia="zh-CN"/>
        </w:rPr>
        <w:t>《武汉市大力支持人工智能领域人才发展若干措施》</w:t>
      </w:r>
      <w:r>
        <w:tab/>
      </w:r>
      <w:r>
        <w:fldChar w:fldCharType="begin"/>
      </w:r>
      <w:r>
        <w:instrText xml:space="preserve"> PAGEREF _Toc31573 \h </w:instrText>
      </w:r>
      <w:r>
        <w:fldChar w:fldCharType="separate"/>
      </w:r>
      <w:r>
        <w:t>6</w:t>
      </w:r>
      <w:r>
        <w:fldChar w:fldCharType="end"/>
      </w:r>
      <w:r>
        <w:rPr>
          <w:rFonts w:ascii="微软雅黑" w:hAnsi="微软雅黑" w:eastAsia="微软雅黑"/>
          <w:szCs w:val="28"/>
        </w:rPr>
        <w:fldChar w:fldCharType="end"/>
      </w:r>
    </w:p>
    <w:p w14:paraId="1F79DCF2">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_Toc3460 </w:instrText>
      </w:r>
      <w:r>
        <w:rPr>
          <w:rFonts w:ascii="微软雅黑" w:hAnsi="微软雅黑" w:eastAsia="微软雅黑"/>
          <w:szCs w:val="28"/>
        </w:rPr>
        <w:fldChar w:fldCharType="separate"/>
      </w:r>
      <w:r>
        <w:rPr>
          <w:rFonts w:hint="eastAsia"/>
        </w:rPr>
        <w:t>热点.资讯</w:t>
      </w:r>
      <w:r>
        <w:tab/>
      </w:r>
      <w:r>
        <w:fldChar w:fldCharType="begin"/>
      </w:r>
      <w:r>
        <w:instrText xml:space="preserve"> PAGEREF _Toc3460 \h </w:instrText>
      </w:r>
      <w:r>
        <w:fldChar w:fldCharType="separate"/>
      </w:r>
      <w:r>
        <w:t>7</w:t>
      </w:r>
      <w:r>
        <w:fldChar w:fldCharType="end"/>
      </w:r>
      <w:r>
        <w:rPr>
          <w:rFonts w:ascii="微软雅黑" w:hAnsi="微软雅黑" w:eastAsia="微软雅黑"/>
          <w:szCs w:val="28"/>
        </w:rPr>
        <w:fldChar w:fldCharType="end"/>
      </w:r>
    </w:p>
    <w:p w14:paraId="2D1A21CB">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_Toc13968 </w:instrText>
      </w:r>
      <w:r>
        <w:rPr>
          <w:rFonts w:ascii="微软雅黑" w:hAnsi="微软雅黑" w:eastAsia="微软雅黑"/>
          <w:szCs w:val="28"/>
        </w:rPr>
        <w:fldChar w:fldCharType="separate"/>
      </w:r>
      <w:r>
        <w:rPr>
          <w:rFonts w:hint="default"/>
        </w:rPr>
        <w:t xml:space="preserve">(1) </w:t>
      </w:r>
      <w:r>
        <w:t>第四次上海合作组织成员国信息通信技术发展部门负责人会议举行</w:t>
      </w:r>
      <w:r>
        <w:tab/>
      </w:r>
      <w:r>
        <w:fldChar w:fldCharType="begin"/>
      </w:r>
      <w:r>
        <w:instrText xml:space="preserve"> PAGEREF _Toc13968 \h </w:instrText>
      </w:r>
      <w:r>
        <w:fldChar w:fldCharType="separate"/>
      </w:r>
      <w:r>
        <w:t>7</w:t>
      </w:r>
      <w:r>
        <w:fldChar w:fldCharType="end"/>
      </w:r>
      <w:r>
        <w:rPr>
          <w:rFonts w:ascii="微软雅黑" w:hAnsi="微软雅黑" w:eastAsia="微软雅黑"/>
          <w:szCs w:val="28"/>
        </w:rPr>
        <w:fldChar w:fldCharType="end"/>
      </w:r>
    </w:p>
    <w:p w14:paraId="120A6477">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_Toc3156 </w:instrText>
      </w:r>
      <w:r>
        <w:rPr>
          <w:rFonts w:ascii="微软雅黑" w:hAnsi="微软雅黑" w:eastAsia="微软雅黑"/>
          <w:szCs w:val="28"/>
        </w:rPr>
        <w:fldChar w:fldCharType="separate"/>
      </w:r>
      <w:r>
        <w:rPr>
          <w:rFonts w:hint="default"/>
        </w:rPr>
        <w:t xml:space="preserve">(2) </w:t>
      </w:r>
      <w:r>
        <w:t>第三届软件创新发展大会在武汉圆满召开</w:t>
      </w:r>
      <w:r>
        <w:tab/>
      </w:r>
      <w:r>
        <w:fldChar w:fldCharType="begin"/>
      </w:r>
      <w:r>
        <w:instrText xml:space="preserve"> PAGEREF _Toc3156 \h </w:instrText>
      </w:r>
      <w:r>
        <w:fldChar w:fldCharType="separate"/>
      </w:r>
      <w:r>
        <w:t>7</w:t>
      </w:r>
      <w:r>
        <w:fldChar w:fldCharType="end"/>
      </w:r>
      <w:r>
        <w:rPr>
          <w:rFonts w:ascii="微软雅黑" w:hAnsi="微软雅黑" w:eastAsia="微软雅黑"/>
          <w:szCs w:val="28"/>
        </w:rPr>
        <w:fldChar w:fldCharType="end"/>
      </w:r>
    </w:p>
    <w:p w14:paraId="75D284AB">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_Toc2369 </w:instrText>
      </w:r>
      <w:r>
        <w:rPr>
          <w:rFonts w:ascii="微软雅黑" w:hAnsi="微软雅黑" w:eastAsia="微软雅黑"/>
          <w:szCs w:val="28"/>
        </w:rPr>
        <w:fldChar w:fldCharType="separate"/>
      </w:r>
      <w:r>
        <w:rPr>
          <w:rFonts w:hint="default"/>
        </w:rPr>
        <w:t xml:space="preserve">(3) </w:t>
      </w:r>
      <w:r>
        <w:t>2025年“数据要素×”大赛“数据洞察与人工智能”赛道启动会</w:t>
      </w:r>
      <w:r>
        <w:rPr>
          <w:rFonts w:hint="eastAsia"/>
        </w:rPr>
        <w:t>在武汉举办</w:t>
      </w:r>
      <w:r>
        <w:tab/>
      </w:r>
      <w:r>
        <w:fldChar w:fldCharType="begin"/>
      </w:r>
      <w:r>
        <w:instrText xml:space="preserve"> PAGEREF _Toc2369 \h </w:instrText>
      </w:r>
      <w:r>
        <w:fldChar w:fldCharType="separate"/>
      </w:r>
      <w:r>
        <w:t>8</w:t>
      </w:r>
      <w:r>
        <w:fldChar w:fldCharType="end"/>
      </w:r>
      <w:r>
        <w:rPr>
          <w:rFonts w:ascii="微软雅黑" w:hAnsi="微软雅黑" w:eastAsia="微软雅黑"/>
          <w:szCs w:val="28"/>
        </w:rPr>
        <w:fldChar w:fldCharType="end"/>
      </w:r>
    </w:p>
    <w:p w14:paraId="29DE92D5">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_Toc1278 </w:instrText>
      </w:r>
      <w:r>
        <w:rPr>
          <w:rFonts w:ascii="微软雅黑" w:hAnsi="微软雅黑" w:eastAsia="微软雅黑"/>
          <w:szCs w:val="28"/>
        </w:rPr>
        <w:fldChar w:fldCharType="separate"/>
      </w:r>
      <w:r>
        <w:rPr>
          <w:rFonts w:hint="default"/>
        </w:rPr>
        <w:t xml:space="preserve">(4) </w:t>
      </w:r>
      <w:r>
        <w:rPr>
          <w:rFonts w:hint="eastAsia"/>
        </w:rPr>
        <w:t>武汉数字经济跃升全国十强</w:t>
      </w:r>
      <w:r>
        <w:tab/>
      </w:r>
      <w:r>
        <w:fldChar w:fldCharType="begin"/>
      </w:r>
      <w:r>
        <w:instrText xml:space="preserve"> PAGEREF _Toc1278 \h </w:instrText>
      </w:r>
      <w:r>
        <w:fldChar w:fldCharType="separate"/>
      </w:r>
      <w:r>
        <w:t>8</w:t>
      </w:r>
      <w:r>
        <w:fldChar w:fldCharType="end"/>
      </w:r>
      <w:r>
        <w:rPr>
          <w:rFonts w:ascii="微软雅黑" w:hAnsi="微软雅黑" w:eastAsia="微软雅黑"/>
          <w:szCs w:val="28"/>
        </w:rPr>
        <w:fldChar w:fldCharType="end"/>
      </w:r>
    </w:p>
    <w:p w14:paraId="73C14C91">
      <w:pPr>
        <w:snapToGrid w:val="0"/>
        <w:spacing w:line="360" w:lineRule="auto"/>
        <w:jc w:val="both"/>
      </w:pPr>
      <w:r>
        <w:rPr>
          <w:rFonts w:ascii="微软雅黑" w:hAnsi="微软雅黑" w:eastAsia="微软雅黑"/>
          <w:szCs w:val="28"/>
        </w:rPr>
        <w:fldChar w:fldCharType="end"/>
      </w:r>
    </w:p>
    <w:p w14:paraId="767739A7">
      <w:pPr>
        <w:snapToGrid w:val="0"/>
        <w:spacing w:line="360" w:lineRule="auto"/>
        <w:jc w:val="both"/>
        <w:rPr>
          <w:rFonts w:ascii="方正小标宋简体" w:hAnsi="方正小标宋简体" w:eastAsia="方正小标宋简体" w:cs="方正小标宋简体"/>
          <w:b/>
          <w:kern w:val="44"/>
          <w:sz w:val="32"/>
          <w:szCs w:val="32"/>
        </w:rPr>
      </w:pPr>
      <w:r>
        <w:br w:type="page"/>
      </w:r>
    </w:p>
    <w:p w14:paraId="0469ABF6">
      <w:pPr>
        <w:pStyle w:val="32"/>
        <w:jc w:val="both"/>
      </w:pPr>
    </w:p>
    <w:p w14:paraId="7390B602">
      <w:pPr>
        <w:pStyle w:val="2"/>
      </w:pPr>
      <w:bookmarkStart w:id="1" w:name="_Toc20686"/>
      <w:r>
        <w:rPr>
          <w:rFonts w:hint="eastAsia"/>
        </w:rPr>
        <w:t>重点.关注</w:t>
      </w:r>
      <w:bookmarkEnd w:id="1"/>
    </w:p>
    <w:p w14:paraId="2D7E5C59"/>
    <w:p w14:paraId="479B4743">
      <w:pPr>
        <w:pStyle w:val="4"/>
      </w:pPr>
      <w:bookmarkStart w:id="2" w:name="_Toc29728"/>
      <w:r>
        <w:rPr>
          <w:rFonts w:hint="eastAsia"/>
        </w:rPr>
        <w:t>习近平：</w:t>
      </w:r>
      <w:r>
        <w:t>用中长期规划指导经济社会发展是党治国理政的一种重要方式</w:t>
      </w:r>
      <w:bookmarkEnd w:id="2"/>
    </w:p>
    <w:p w14:paraId="62264D02"/>
    <w:p w14:paraId="3A8097D3">
      <w:r>
        <w:t>6月16日出版的第12期《求是》杂志发表习近平总书记的重要文章，这是其 2015 年10月至2025年4月期间有关论述节录。文章强调，科学制定和接续实施五年规划是党治国理政重要经验和中国特色社会主义重要政治优势。从第一个五年计划到第十四个五年规划，主题是建设社会主义现代化国家，党在认识、战略和实践上不断发展，加速现代化进程。文章指出，党的二十大报告对中国式现代化进行顶层设计，实现各阶段目标需继续做好顶层设计。制定规划要顺应人民意愿，将加强顶层设计和问计于民统一。谋划“十五五”规划，要准确把握阶段性要求，围绕基本实现社会主义现代化目标确定任务，各地区要结合实际。</w:t>
      </w:r>
    </w:p>
    <w:p w14:paraId="139D0A6E"/>
    <w:p w14:paraId="0CFF356D">
      <w:r>
        <w:t>发文日期：2025年6月15日</w:t>
      </w:r>
    </w:p>
    <w:p w14:paraId="323281DF">
      <w:r>
        <w:t>发文单位：新华社</w:t>
      </w:r>
    </w:p>
    <w:p w14:paraId="3AE631AC">
      <w:pPr>
        <w:rPr>
          <w:rFonts w:hint="eastAsia" w:eastAsia="宋体"/>
          <w:lang w:val="en-US" w:eastAsia="zh-CN"/>
        </w:rPr>
      </w:pPr>
      <w:r>
        <w:t>原文链接：</w:t>
      </w:r>
      <w:r>
        <w:rPr>
          <w:rFonts w:hint="eastAsia"/>
        </w:rPr>
        <w:t>https://mp.weixin.qq.com/s/16Shpbz2Ccg1n5sPi_74qg</w:t>
      </w:r>
      <w:r>
        <w:rPr>
          <w:rFonts w:hint="eastAsia"/>
          <w:lang w:val="en-US" w:eastAsia="zh-CN"/>
        </w:rPr>
        <w:tab/>
      </w:r>
    </w:p>
    <w:p w14:paraId="41474509"/>
    <w:p w14:paraId="363BE335">
      <w:pPr>
        <w:pStyle w:val="2"/>
      </w:pPr>
      <w:bookmarkStart w:id="3" w:name="_Toc25394"/>
      <w:r>
        <w:rPr>
          <w:rFonts w:hint="eastAsia"/>
        </w:rPr>
        <w:t>政策.速递</w:t>
      </w:r>
      <w:bookmarkEnd w:id="3"/>
    </w:p>
    <w:p w14:paraId="653C3F02">
      <w:pPr>
        <w:pStyle w:val="3"/>
      </w:pPr>
      <w:bookmarkStart w:id="4" w:name="_Toc25687"/>
      <w:r>
        <w:rPr>
          <w:rFonts w:hint="eastAsia"/>
        </w:rPr>
        <w:t>中央</w:t>
      </w:r>
      <w:bookmarkEnd w:id="4"/>
      <w:r>
        <w:rPr>
          <w:rFonts w:hint="eastAsia"/>
        </w:rPr>
        <w:t xml:space="preserve"> </w:t>
      </w:r>
    </w:p>
    <w:p w14:paraId="19A64AA4">
      <w:pPr>
        <w:rPr>
          <w:rFonts w:hint="eastAsia"/>
        </w:rPr>
      </w:pPr>
    </w:p>
    <w:p w14:paraId="6B130467">
      <w:pPr>
        <w:pStyle w:val="4"/>
        <w:numPr>
          <w:ilvl w:val="0"/>
          <w:numId w:val="2"/>
        </w:numPr>
        <w:rPr>
          <w:rFonts w:hint="eastAsia"/>
        </w:rPr>
      </w:pPr>
      <w:bookmarkStart w:id="5" w:name="_Toc10637"/>
      <w:r>
        <w:t>《纺织工业数字化转型实施方案》</w:t>
      </w:r>
      <w:bookmarkEnd w:id="5"/>
    </w:p>
    <w:p w14:paraId="54199E0C"/>
    <w:p w14:paraId="46419826">
      <w:pPr>
        <w:rPr>
          <w:rFonts w:hint="eastAsia"/>
        </w:rPr>
      </w:pPr>
      <w:r>
        <w:t>近日，工业和信息化部等六部门联合印发《纺织工业数字化转型实施方案》。该方案聚焦4个方面，提出18项具体工作任务。明确两个阶段目标：到2027年，规模以上纺织企业关键业务环节全面数字化比例超70%，打造多个典型场景、标杆企业和集群/园区，培育推广典型解决方案；到2030年，实现纺织工业全价值链跃升。方案还聚焦纺织行业特点，给出工艺设计、印染车间智能排产等典型应用场景示例。目前我国纺织行业重点工业企业关键工序数控化率、数字化研发设计工具普及率较高，化纤、棉纺等领域龙头企业智能工厂达到世界领先水平。</w:t>
      </w:r>
    </w:p>
    <w:p w14:paraId="1D56CDFD"/>
    <w:p w14:paraId="64FC237B">
      <w:r>
        <w:t>发文日期：2025年6月17日</w:t>
      </w:r>
    </w:p>
    <w:p w14:paraId="16C3CB55">
      <w:r>
        <w:t>发文单位：工业和信息化部</w:t>
      </w:r>
      <w:r>
        <w:rPr>
          <w:rFonts w:hint="eastAsia"/>
        </w:rPr>
        <w:t>、</w:t>
      </w:r>
      <w:r>
        <w:t>教育部</w:t>
      </w:r>
      <w:r>
        <w:rPr>
          <w:rFonts w:hint="eastAsia"/>
        </w:rPr>
        <w:t>、</w:t>
      </w:r>
      <w:r>
        <w:t>人力资源社会保障部</w:t>
      </w:r>
      <w:r>
        <w:rPr>
          <w:rFonts w:hint="eastAsia"/>
        </w:rPr>
        <w:t>、</w:t>
      </w:r>
      <w:r>
        <w:t>中国人民银行</w:t>
      </w:r>
      <w:r>
        <w:rPr>
          <w:rFonts w:hint="eastAsia"/>
        </w:rPr>
        <w:t>、</w:t>
      </w:r>
      <w:r>
        <w:t>市场监管总局</w:t>
      </w:r>
      <w:r>
        <w:rPr>
          <w:rFonts w:hint="eastAsia"/>
        </w:rPr>
        <w:t>、</w:t>
      </w:r>
      <w:r>
        <w:t>国家数据局</w:t>
      </w:r>
    </w:p>
    <w:p w14:paraId="45ACBB3B">
      <w:pPr>
        <w:rPr>
          <w:rFonts w:hint="eastAsia"/>
        </w:rPr>
      </w:pPr>
      <w:r>
        <w:t>原文链接：</w:t>
      </w:r>
      <w:r>
        <w:rPr>
          <w:rFonts w:hint="eastAsia"/>
        </w:rPr>
        <w:t>https://mp.weixin.qq.com/s/TNAMK1JpeIPqX_o_QBxJNw</w:t>
      </w:r>
    </w:p>
    <w:p w14:paraId="07429887"/>
    <w:p w14:paraId="631CC02B">
      <w:pPr>
        <w:pStyle w:val="4"/>
        <w:numPr>
          <w:ilvl w:val="0"/>
          <w:numId w:val="2"/>
        </w:numPr>
        <w:rPr>
          <w:rFonts w:hint="eastAsia"/>
        </w:rPr>
      </w:pPr>
      <w:bookmarkStart w:id="6" w:name="_Toc9451"/>
      <w:r>
        <w:t>《工业和信息化部科技型企业孵化器管理办法》</w:t>
      </w:r>
      <w:bookmarkEnd w:id="6"/>
    </w:p>
    <w:p w14:paraId="1D99BF15"/>
    <w:p w14:paraId="16659733">
      <w:pPr>
        <w:rPr>
          <w:rFonts w:hint="eastAsia"/>
        </w:rPr>
      </w:pPr>
      <w:r>
        <w:t>近日，工业和信息化部印发《工业和信息化部科技型企业孵化器管理办法》并进行解读。《管理办法》出台旨在适应科技创新和产业创新深度融合的新要求，推动我国孵化器发展和统筹管理进入新阶段。其总体思路是推动孵化器从量的增长向质的提升转变，从提供服务向构建创新创业生态转变，体现在功能定位、管理体系、认定标准和工作机制四个方面。《管理办法》共7章29条，最大调整是在部级孵化器认定中设置标准级和卓越级两类。认定条件上，标准级重服务能力和孵化绩效，卓越级体现强产业属性等五方面。管理措施上，对孵化器动态管理，工业和信息化部负责认定、规划等，各省负责本地区管理。新认定的部级孵化器与原有国家级有政策衔接过渡期，至2027年12月31日。</w:t>
      </w:r>
    </w:p>
    <w:p w14:paraId="62B6E08B"/>
    <w:p w14:paraId="3B0D6C11">
      <w:r>
        <w:t>发文日期：2025年6月13日</w:t>
      </w:r>
    </w:p>
    <w:p w14:paraId="0F8A6DEF">
      <w:r>
        <w:t>发文单位：工业和信息化部</w:t>
      </w:r>
    </w:p>
    <w:p w14:paraId="6D6CCA80">
      <w:r>
        <w:t>原文链接：</w:t>
      </w:r>
      <w:r>
        <w:rPr>
          <w:rFonts w:hint="eastAsia"/>
        </w:rPr>
        <w:t>https://mp.weixin.qq.com/s/nxZ_GjNsccfFUeTE1r4cKw</w:t>
      </w:r>
    </w:p>
    <w:p w14:paraId="4C538766"/>
    <w:p w14:paraId="5B43C304">
      <w:pPr>
        <w:pStyle w:val="4"/>
        <w:numPr>
          <w:ilvl w:val="0"/>
          <w:numId w:val="2"/>
        </w:numPr>
      </w:pPr>
      <w:bookmarkStart w:id="7" w:name="_Toc8954"/>
      <w:r>
        <w:t>《汽车数据出境安全指引（2025版）（征求意见稿）》</w:t>
      </w:r>
      <w:bookmarkEnd w:id="7"/>
    </w:p>
    <w:p w14:paraId="0B754906"/>
    <w:p w14:paraId="2BB6DFFE">
      <w:r>
        <w:t>为贯彻相关法律法规，推动建立高效便利安全的汽车数据跨境流动机制，营造良好产业发展环境，在国家数据安全工作协调机制统筹指导下，工业和信息化部、国家网信办等八部门起草了《汽车数据出境安全指引（2025版）（征求意见稿）》，拟以规范性文件印发。目前面向社会公开征求意见，反馈截止时间为2025年7月13日。意见反馈可通过传真、邮箱或邮寄信件的方式，信件请在信封注明相关字样。</w:t>
      </w:r>
    </w:p>
    <w:p w14:paraId="385427FD"/>
    <w:p w14:paraId="248DFAD5">
      <w:r>
        <w:t>发文日期：2025年6月13日</w:t>
      </w:r>
    </w:p>
    <w:p w14:paraId="67B0418A">
      <w:r>
        <w:t>发文单位：工业和信息化部、国家互联网信息办公室、国家发展和改革委员会、国家数据局、公安部、自然资源部、交通运输部、国家市场监督管理总局</w:t>
      </w:r>
    </w:p>
    <w:p w14:paraId="35621778">
      <w:pPr>
        <w:rPr>
          <w:rFonts w:hint="eastAsia"/>
        </w:rPr>
      </w:pPr>
      <w:r>
        <w:t>原文链接：</w:t>
      </w:r>
      <w:r>
        <w:rPr>
          <w:rFonts w:hint="eastAsia"/>
        </w:rPr>
        <w:t>https://mp.weixin.qq.com/s/kQW51g3xdyAI78hfYbpFDA</w:t>
      </w:r>
    </w:p>
    <w:p w14:paraId="4C82FEC4"/>
    <w:p w14:paraId="766A9BE0">
      <w:pPr>
        <w:pStyle w:val="4"/>
        <w:numPr>
          <w:ilvl w:val="0"/>
          <w:numId w:val="2"/>
        </w:numPr>
      </w:pPr>
      <w:bookmarkStart w:id="8" w:name="_Toc9413"/>
      <w:r>
        <w:t>《关于征集高质量数据集典型案例的通知》</w:t>
      </w:r>
      <w:bookmarkEnd w:id="8"/>
    </w:p>
    <w:p w14:paraId="79E4AC80"/>
    <w:p w14:paraId="5A83A8E7">
      <w:pPr>
        <w:rPr>
          <w:rFonts w:hint="eastAsia"/>
          <w:lang w:val="en-US" w:eastAsia="zh-CN"/>
        </w:rPr>
      </w:pPr>
      <w:r>
        <w:t>为贯彻全国两会精神，落实“持续推进‘人工智能+’行动”部署，国家数据局组织开展高质量数据集典型案例征集活动。高质量数据集是训练高效人工智能模型的关键支撑，各地区、各领域已涌现一批成效显著的案例，总结推广经验有助于推动数据要素市场化配置改革与“人工智能+”行动。申报主体需为境内注册且信用良好的企事业单位等，征集方向涵盖数据集建设、运营等多方面，案例应具备先进性等特点且符合法规要求。</w:t>
      </w:r>
      <w:r>
        <w:rPr>
          <w:rFonts w:hint="eastAsia"/>
          <w:lang w:val="en-US" w:eastAsia="zh-CN"/>
        </w:rPr>
        <w:t xml:space="preserve"> </w:t>
      </w:r>
    </w:p>
    <w:p w14:paraId="642DC225">
      <w:pPr>
        <w:rPr>
          <w:rFonts w:hint="eastAsia"/>
          <w:lang w:val="en-US" w:eastAsia="zh-CN"/>
        </w:rPr>
      </w:pPr>
    </w:p>
    <w:p w14:paraId="794D635E">
      <w:r>
        <w:t>发文日期：2025年6月13日</w:t>
      </w:r>
    </w:p>
    <w:p w14:paraId="2B1D1E17">
      <w:r>
        <w:t>发文单位：国家数据局综合司</w:t>
      </w:r>
    </w:p>
    <w:p w14:paraId="101C3BEA">
      <w:r>
        <w:t>原文链接：</w:t>
      </w:r>
      <w:r>
        <w:rPr>
          <w:rFonts w:hint="eastAsia"/>
        </w:rPr>
        <w:t>https://mp.weixin.qq.com/s/nDpM8wzZaQJGYT17wxU7SA</w:t>
      </w:r>
    </w:p>
    <w:p w14:paraId="5E0B94AD"/>
    <w:p w14:paraId="02B62C1B"/>
    <w:p w14:paraId="7DF49120">
      <w:pPr>
        <w:pStyle w:val="4"/>
        <w:numPr>
          <w:ilvl w:val="0"/>
          <w:numId w:val="2"/>
        </w:numPr>
      </w:pPr>
      <w:bookmarkStart w:id="9" w:name="_Toc1585"/>
      <w:r>
        <w:t>《国家数据局数字科技和基础设施建设司2025年课题委托研究征集公告》</w:t>
      </w:r>
      <w:bookmarkEnd w:id="9"/>
    </w:p>
    <w:p w14:paraId="7185F9AD"/>
    <w:p w14:paraId="3B38EDEB">
      <w:r>
        <w:t>为贯彻相关精神与部署，聚焦数字科技和数据基础设施建设领域重大问题，国家数据局数字科技和基础设施建设司向社会公开征集课题研究承担单位。研究题目涵盖新型场景下高质量数据集建设路径、数据标注产业发展态势监测及商业模式、行业数据基础设施建设需求与解决方案、数据中心用电统计监测、数字人才协同培养模式、数字人才指标监测体系等6个方面。经评审遴选承担单位，每项课题给予10万元经费。课题执行至2025年12月。</w:t>
      </w:r>
    </w:p>
    <w:p w14:paraId="7AB243AD"/>
    <w:p w14:paraId="6B286BC6">
      <w:r>
        <w:t>发文日期：2025年6月17日</w:t>
      </w:r>
    </w:p>
    <w:p w14:paraId="5AC4895C">
      <w:r>
        <w:t>发文单位：国家数据局数字科技和基础设施建设司</w:t>
      </w:r>
    </w:p>
    <w:p w14:paraId="12D33809">
      <w:pPr>
        <w:rPr>
          <w:rFonts w:hint="eastAsia"/>
        </w:rPr>
      </w:pPr>
      <w:r>
        <w:t>原文链接：</w:t>
      </w:r>
      <w:r>
        <w:rPr>
          <w:rFonts w:hint="eastAsia"/>
        </w:rPr>
        <w:t>https://mp.weixin.qq.com/s/dDw8ZmOcneb3PR9hpKqJPw</w:t>
      </w:r>
    </w:p>
    <w:p w14:paraId="2763236E">
      <w:pPr>
        <w:rPr>
          <w:rFonts w:hint="eastAsia"/>
        </w:rPr>
      </w:pPr>
    </w:p>
    <w:p w14:paraId="27A5C299">
      <w:pPr>
        <w:pStyle w:val="4"/>
        <w:numPr>
          <w:ilvl w:val="0"/>
          <w:numId w:val="2"/>
        </w:numPr>
      </w:pPr>
      <w:bookmarkStart w:id="10" w:name="_Toc23931"/>
      <w:r>
        <w:t>《关于开展“水风光+”创新发展优秀实践案例征集工作的通知》</w:t>
      </w:r>
      <w:bookmarkEnd w:id="10"/>
    </w:p>
    <w:p w14:paraId="7B53422C"/>
    <w:p w14:paraId="0533F645">
      <w:r>
        <w:t>为贯彻创新驱动、碳达峰碳中和等战略，加快新型能源体系建设，支撑经济社会绿色转型，国家能源局综合司开展“水风光+”创新发展优秀实践案例征集工作。推荐案例要以水电为基础带动新能源及关联产业发展，在多方面有创新性，支撑项目需部分或全部建成投产。各省级能源主管部门及能源央企自愿申报，原则上每个单位不超5个案例，严禁弄虚作假。申报单位需于8月1日前将相关材料寄送至国家能源局新能源司并发送电子版。国家能源局将委托评估，有典型意义和推广价值的项目将向社会公布。</w:t>
      </w:r>
    </w:p>
    <w:p w14:paraId="743FF6B1"/>
    <w:p w14:paraId="553512CB">
      <w:r>
        <w:t>发文日期：2025年6月17日</w:t>
      </w:r>
    </w:p>
    <w:p w14:paraId="60AA9EDE">
      <w:r>
        <w:t>发文单位：国家能源局综合司</w:t>
      </w:r>
    </w:p>
    <w:p w14:paraId="4400728B">
      <w:r>
        <w:t>原文链接：</w:t>
      </w:r>
      <w:r>
        <w:rPr>
          <w:rFonts w:hint="eastAsia"/>
        </w:rPr>
        <w:t>https://mp.weixin.qq.com/s/D2jR6ZKXfiBjWdr75F8Jog</w:t>
      </w:r>
    </w:p>
    <w:p w14:paraId="177206A2"/>
    <w:p w14:paraId="1EAFCEE2">
      <w:pPr>
        <w:pStyle w:val="4"/>
        <w:numPr>
          <w:ilvl w:val="0"/>
          <w:numId w:val="2"/>
        </w:numPr>
      </w:pPr>
      <w:bookmarkStart w:id="11" w:name="_Toc5410"/>
      <w:r>
        <w:t>《关于组织开展2025年度重点行业能效“领跑者”企业推荐工作的通知》</w:t>
      </w:r>
      <w:bookmarkEnd w:id="11"/>
    </w:p>
    <w:p w14:paraId="1CB86E1C"/>
    <w:p w14:paraId="13442160">
      <w:r>
        <w:t>工业和信息化部、国家发展改革委、市场监管总局等三部门近日印发通知，部署开展2025年度重点行业能效“领跑者”企业推荐工作。推荐范围将聚焦石化化工、钢铁、有色金属、建材、轻工、纺织等行业，具体包括原油加工，煤制焦炭，煤制烯烃，乙烯，对二甲苯，精对苯二甲酸，甲醇，乙二醇，烧碱，聚氯乙烯，纯碱，电石，黄磷，合成氨，尿素，磷酸一铵，磷酸二铵，钛白粉，子午线轮胎，钢铁，铁合金冶炼，铜冶炼，铅冶炼，锌冶炼，电解铝，氧化铝，工业硅，镁冶炼，多晶硅，水泥熟料，平板玻璃，建筑陶瓷，卫生陶瓷，卫生纸原纸、纸巾原纸，棉、化纤及混纺机织物，针织物、纱线，粘胶短纤维，聚酯涤纶等38个细分行业，这些行业的符合基本要求的企业均可申报。</w:t>
      </w:r>
    </w:p>
    <w:p w14:paraId="6C79C21C"/>
    <w:p w14:paraId="6F6C6BF8">
      <w:r>
        <w:t>发文日期：2025年06月19日</w:t>
      </w:r>
    </w:p>
    <w:p w14:paraId="1869486D">
      <w:r>
        <w:t>发文单位：工信部、国家发改委、市场监管总局</w:t>
      </w:r>
    </w:p>
    <w:p w14:paraId="25235746">
      <w:pPr>
        <w:rPr>
          <w:rFonts w:hint="eastAsia"/>
        </w:rPr>
      </w:pPr>
      <w:r>
        <w:t>原文链接：</w:t>
      </w:r>
      <w:r>
        <w:rPr>
          <w:rFonts w:hint="eastAsia"/>
        </w:rPr>
        <w:t>https://mp.weixin.qq.com/s/I0MvrCqyH04FR13iZjQWYQ</w:t>
      </w:r>
    </w:p>
    <w:p w14:paraId="05ADD17A">
      <w:pPr>
        <w:pStyle w:val="3"/>
        <w:rPr>
          <w:rFonts w:hint="eastAsia"/>
        </w:rPr>
      </w:pPr>
    </w:p>
    <w:p w14:paraId="0E7BAF46">
      <w:pPr>
        <w:pStyle w:val="3"/>
      </w:pPr>
      <w:bookmarkStart w:id="12" w:name="_Toc25869"/>
      <w:r>
        <w:rPr>
          <w:rFonts w:hint="eastAsia"/>
        </w:rPr>
        <w:t>湖北省</w:t>
      </w:r>
      <w:bookmarkEnd w:id="12"/>
    </w:p>
    <w:p w14:paraId="2273DC3A"/>
    <w:p w14:paraId="4E801BDE"/>
    <w:p w14:paraId="4FEC49FC">
      <w:pPr>
        <w:pStyle w:val="4"/>
        <w:numPr>
          <w:ilvl w:val="0"/>
          <w:numId w:val="3"/>
        </w:numPr>
      </w:pPr>
      <w:bookmarkStart w:id="13" w:name="_Toc16985"/>
      <w:r>
        <w:t>《湖北省推进可信数据空间发展行动方案》</w:t>
      </w:r>
      <w:bookmarkEnd w:id="13"/>
    </w:p>
    <w:p w14:paraId="7DA0696C"/>
    <w:p w14:paraId="2CC5B45C">
      <w:r>
        <w:t>6月13日，湖北省数据局印发《湖北省推进可信数据空间发展行动方案》，旨在贯彻落实《可信数据空间发展行动计划（2024—2028年）》，构建数据基础设施体系，促进数据要素流通。方案明确到2028年建成30个以上可信数据空间等目标。在建设方面，分类推进城市、企业、行业、跨境和个人可信数据空间建设。面向重点领域，拓展产业链、企业数字化转型等应用。探索市场化运营机制，提升运营、管控、交互等能力。构建协同发展生态，强化产学研合作、培育数商体系等。同时，建立发展机制，加强统筹协调、加大政策支持、突出示范引领。</w:t>
      </w:r>
    </w:p>
    <w:p w14:paraId="56058F7D"/>
    <w:p w14:paraId="63807D2C">
      <w:r>
        <w:t>发文日期：2025年6月13日</w:t>
      </w:r>
    </w:p>
    <w:p w14:paraId="56A01F6D">
      <w:r>
        <w:t>发文单位：湖北省数据局</w:t>
      </w:r>
    </w:p>
    <w:p w14:paraId="3B4E5C52">
      <w:r>
        <w:t>原文链接：</w:t>
      </w:r>
      <w:r>
        <w:rPr>
          <w:rFonts w:hint="eastAsia"/>
        </w:rPr>
        <w:t>https://mp.weixin.qq.com/s/7x5W7cV9BWDy8vh-1x49Ng</w:t>
      </w:r>
    </w:p>
    <w:p w14:paraId="454E617A">
      <w:pPr>
        <w:rPr>
          <w:rFonts w:hint="eastAsia"/>
        </w:rPr>
      </w:pPr>
    </w:p>
    <w:p w14:paraId="32C4384E"/>
    <w:p w14:paraId="79B15D89">
      <w:pPr>
        <w:pStyle w:val="4"/>
        <w:numPr>
          <w:ilvl w:val="0"/>
          <w:numId w:val="2"/>
        </w:numPr>
      </w:pPr>
      <w:bookmarkStart w:id="14" w:name="_Toc28221"/>
      <w:r>
        <w:t>《</w:t>
      </w:r>
      <w:r>
        <w:rPr>
          <w:rFonts w:hint="eastAsia"/>
          <w:lang w:val="en-US" w:eastAsia="zh-CN"/>
        </w:rPr>
        <w:t>湖北</w:t>
      </w:r>
      <w:r>
        <w:t>省科技厅关于推荐申报国家重点研发计划高新技术成果产业化试点工作的通知》</w:t>
      </w:r>
      <w:bookmarkEnd w:id="14"/>
    </w:p>
    <w:p w14:paraId="0A575919"/>
    <w:p w14:paraId="2D79E061">
      <w:r>
        <w:t>湖北省科技厅拟根据工业和信息化部办公厅要求，组织开展国家重点研发计划高新技术成果产业化试点工作的申报及推荐。申报要求方面，各单位需按附件内容线上填报，落实科研诚信要求，加强对申报材料审核，杜绝不实与造假。申报及推荐程序包括网上填报，各单位通过指定平台注册填写信息并注意受理截止时间；组织推荐则由归口管理单位出具推荐函，申报单位需在截止日期前将加盖公章的推荐函电子版发送至指定邮箱，省科技厅统一审核推荐。</w:t>
      </w:r>
    </w:p>
    <w:p w14:paraId="5A3B3071"/>
    <w:p w14:paraId="4161A1BA">
      <w:r>
        <w:t>发文日期：2025年6月17日</w:t>
      </w:r>
    </w:p>
    <w:p w14:paraId="57365941">
      <w:r>
        <w:t>发文单位：湖北省科技厅</w:t>
      </w:r>
    </w:p>
    <w:p w14:paraId="432668CB">
      <w:pPr>
        <w:rPr>
          <w:rFonts w:hint="eastAsia"/>
        </w:rPr>
      </w:pPr>
      <w:r>
        <w:t>原文链接：</w:t>
      </w:r>
      <w:r>
        <w:rPr>
          <w:rFonts w:hint="eastAsia"/>
        </w:rPr>
        <w:t>https://mp.weixin.qq.com/s/_hQ-rozhXTsla1ke3CmPHg</w:t>
      </w:r>
    </w:p>
    <w:p w14:paraId="667C5820">
      <w:pPr>
        <w:rPr>
          <w:rFonts w:hint="eastAsia"/>
          <w:lang w:eastAsia="zh-CN"/>
        </w:rPr>
      </w:pPr>
    </w:p>
    <w:p w14:paraId="0A4E981F">
      <w:pPr>
        <w:rPr>
          <w:rFonts w:hint="eastAsia"/>
          <w:lang w:eastAsia="zh-CN"/>
        </w:rPr>
      </w:pPr>
    </w:p>
    <w:p w14:paraId="0042E0A0">
      <w:pPr>
        <w:pStyle w:val="4"/>
        <w:numPr>
          <w:ilvl w:val="0"/>
          <w:numId w:val="2"/>
        </w:numPr>
      </w:pPr>
      <w:bookmarkStart w:id="15" w:name="_Toc24174"/>
      <w:r>
        <w:t>《关于组织2025年湖北省数字</w:t>
      </w:r>
      <w:r>
        <w:rPr>
          <w:rFonts w:hint="eastAsia"/>
          <w:lang w:val="en-US" w:eastAsia="zh-CN"/>
        </w:rPr>
        <w:t>孪生</w:t>
      </w:r>
      <w:r>
        <w:t>工厂和无人工厂申报工作的通知》</w:t>
      </w:r>
      <w:bookmarkEnd w:id="15"/>
    </w:p>
    <w:p w14:paraId="450485DA"/>
    <w:p w14:paraId="1CCFE581">
      <w:pPr>
        <w:rPr>
          <w:rFonts w:hint="eastAsia"/>
          <w:lang w:val="en-US" w:eastAsia="zh-CN"/>
        </w:rPr>
      </w:pPr>
      <w:r>
        <w:t>为落实2025年省《政府工作报告》和省经信厅相关工作要点，加快新一代信息技术普及应用，现组织2025年湖北省数字孪生工厂和无人工厂申报工作。数字孪生工厂需在多场景应用数字孪生技术，能力成熟度分五个等级；无人工厂运用多种技术减少人工依赖，分产线级、车间级、工厂级三个等级。申报主体为湖北省内注册独立法人的工业企业，项目需在湖北且已建成投入使用。</w:t>
      </w:r>
      <w:r>
        <w:rPr>
          <w:rFonts w:hint="eastAsia"/>
          <w:lang w:val="en-US" w:eastAsia="zh-CN"/>
        </w:rPr>
        <w:t xml:space="preserve"> </w:t>
      </w:r>
    </w:p>
    <w:p w14:paraId="10BC2037">
      <w:pPr>
        <w:rPr>
          <w:rFonts w:hint="eastAsia"/>
          <w:lang w:val="en-US" w:eastAsia="zh-CN"/>
        </w:rPr>
      </w:pPr>
    </w:p>
    <w:p w14:paraId="046674AF">
      <w:r>
        <w:t>发文日期：2025年06月16日</w:t>
      </w:r>
    </w:p>
    <w:p w14:paraId="0510CF24">
      <w:r>
        <w:t>发文单位：湖北省经信厅</w:t>
      </w:r>
    </w:p>
    <w:p w14:paraId="0C6ACB5E">
      <w:r>
        <w:t>原文链接：</w:t>
      </w:r>
      <w:r>
        <w:rPr>
          <w:rFonts w:hint="eastAsia"/>
        </w:rPr>
        <w:t>https://mp.weixin.qq.com/s/Z2ofd_2AP4eanAln4qWrGw</w:t>
      </w:r>
    </w:p>
    <w:p w14:paraId="2DB328EC">
      <w:pPr>
        <w:rPr>
          <w:rFonts w:hint="eastAsia"/>
          <w:lang w:eastAsia="zh-CN"/>
        </w:rPr>
      </w:pPr>
    </w:p>
    <w:p w14:paraId="0CA29A01">
      <w:pPr>
        <w:rPr>
          <w:rFonts w:hint="eastAsia"/>
        </w:rPr>
      </w:pPr>
    </w:p>
    <w:p w14:paraId="029F9912">
      <w:pPr>
        <w:pStyle w:val="4"/>
        <w:numPr>
          <w:ilvl w:val="0"/>
          <w:numId w:val="2"/>
        </w:numPr>
      </w:pPr>
      <w:bookmarkStart w:id="16" w:name="_Toc13489"/>
      <w:r>
        <w:t>《武汉市推动科技金融高质量发展</w:t>
      </w:r>
      <w:r>
        <w:rPr>
          <w:rFonts w:hint="eastAsia"/>
        </w:rPr>
        <w:t>，</w:t>
      </w:r>
      <w:r>
        <w:t>加快建设全国科技金融中心行动方案（2025 - 2027年）》</w:t>
      </w:r>
      <w:bookmarkEnd w:id="16"/>
    </w:p>
    <w:p w14:paraId="4599A3B1"/>
    <w:p w14:paraId="5790C491">
      <w:r>
        <w:t>为构建适应科技创新的科技金融体制，建立多元化、接力式金融服务体系，支持科技创新与产业创新融合，加快建设全国科技金融中心，武汉制定本行动方案。总体目标是到2027年，设立超50家科技金融专营机构，股权投资基金规模破3000亿元，科技型企业贷款余额超5000亿元等。主要任务涵盖实施耐心资本培育、科技信贷提质、多层次资本市场建设、风险补偿分担和科技金融生态优化五项行动，涉及强化政府投资基金引导、扩大信贷投放、培育企业上市、发展科技保险等方面。保障措施包括建立牵头推进机制，争取中央驻汉金融单位支持，加强政策协调；建立目标任务和责任清单，跟踪落实情况；加大宣传推介，营造良好氛围。</w:t>
      </w:r>
    </w:p>
    <w:p w14:paraId="1E8C6DAB"/>
    <w:p w14:paraId="3113C111">
      <w:r>
        <w:t>发文日期：2025年6月13日</w:t>
      </w:r>
    </w:p>
    <w:p w14:paraId="77F08E97">
      <w:r>
        <w:t>发文单位：武汉市人民政府办公厅</w:t>
      </w:r>
    </w:p>
    <w:p w14:paraId="02A0D710">
      <w:r>
        <w:t>原文链接：</w:t>
      </w:r>
      <w:r>
        <w:rPr>
          <w:rFonts w:hint="eastAsia"/>
        </w:rPr>
        <w:t>https://mp.weixin.qq.com/s/96qlrLI-Y8krTPgo6suh9w</w:t>
      </w:r>
    </w:p>
    <w:p w14:paraId="4E497788"/>
    <w:p w14:paraId="7FAC2D0D">
      <w:pPr>
        <w:pStyle w:val="4"/>
        <w:numPr>
          <w:ilvl w:val="0"/>
          <w:numId w:val="2"/>
        </w:numPr>
      </w:pPr>
      <w:bookmarkStart w:id="17" w:name="_Toc30228"/>
      <w:r>
        <w:t>《</w:t>
      </w:r>
      <w:r>
        <w:rPr>
          <w:rFonts w:hint="eastAsia"/>
          <w:lang w:val="en-US" w:eastAsia="zh-CN"/>
        </w:rPr>
        <w:t>武汉市</w:t>
      </w:r>
      <w:r>
        <w:t>人形机器人产业三年行动方案》</w:t>
      </w:r>
      <w:bookmarkEnd w:id="17"/>
    </w:p>
    <w:p w14:paraId="57F72B1D"/>
    <w:p w14:paraId="58CA6025">
      <w:r>
        <w:t>6月13日，武汉正式发布人形机器人产业三年行动方案及政策措施。方案明确了产业发展“路线图”，为企业成长提供“工具箱”。</w:t>
      </w:r>
      <w:r>
        <w:rPr>
          <w:rFonts w:hint="eastAsia"/>
        </w:rPr>
        <w:t>根据此次发布的《方案》，武汉市将实施平台聚势、场景示范、整机领航、部组件筑基、生态培育等五大行动，加快发展人形机器人产业</w:t>
      </w:r>
      <w:r>
        <w:t>。</w:t>
      </w:r>
    </w:p>
    <w:p w14:paraId="216646B1"/>
    <w:p w14:paraId="6FDF43AA">
      <w:r>
        <w:t>发文日期：2025年6月19日</w:t>
      </w:r>
    </w:p>
    <w:p w14:paraId="76EE5CAB">
      <w:pPr>
        <w:rPr>
          <w:rFonts w:hint="default" w:eastAsia="宋体"/>
          <w:lang w:val="en-US" w:eastAsia="zh-CN"/>
        </w:rPr>
      </w:pPr>
      <w:r>
        <w:t>发文单位：武汉市人民政府办公厅</w:t>
      </w:r>
    </w:p>
    <w:p w14:paraId="0BDEA32A">
      <w:pPr>
        <w:rPr>
          <w:rFonts w:hint="eastAsia"/>
        </w:rPr>
      </w:pPr>
      <w:r>
        <w:t>原文链接：</w:t>
      </w:r>
      <w:r>
        <w:rPr>
          <w:rFonts w:hint="eastAsia"/>
        </w:rPr>
        <w:t>https://mp.weixin.qq.com/s/pnmtj0XlFpwJmSIgMzIWEA</w:t>
      </w:r>
    </w:p>
    <w:p w14:paraId="7B7CF486">
      <w:pPr>
        <w:rPr>
          <w:rFonts w:hint="eastAsia"/>
        </w:rPr>
      </w:pPr>
    </w:p>
    <w:p w14:paraId="67E30F70">
      <w:pPr>
        <w:pStyle w:val="4"/>
        <w:bidi w:val="0"/>
        <w:rPr>
          <w:rFonts w:hint="eastAsia"/>
          <w:lang w:eastAsia="zh-CN"/>
        </w:rPr>
      </w:pPr>
      <w:bookmarkStart w:id="18" w:name="_Toc31573"/>
      <w:r>
        <w:rPr>
          <w:rFonts w:hint="eastAsia"/>
          <w:lang w:eastAsia="zh-CN"/>
        </w:rPr>
        <w:t>《武汉市大力支持人工智能领域人才发展若干措施》</w:t>
      </w:r>
      <w:bookmarkEnd w:id="18"/>
    </w:p>
    <w:p w14:paraId="78F9B56E">
      <w:pPr>
        <w:rPr>
          <w:rFonts w:hint="eastAsia"/>
          <w:lang w:eastAsia="zh-CN"/>
        </w:rPr>
      </w:pPr>
    </w:p>
    <w:p w14:paraId="73C59797">
      <w:pPr>
        <w:rPr>
          <w:rFonts w:hint="eastAsia"/>
          <w:lang w:eastAsia="zh-CN"/>
        </w:rPr>
      </w:pPr>
      <w:r>
        <w:rPr>
          <w:rFonts w:hint="eastAsia"/>
          <w:lang w:eastAsia="zh-CN"/>
        </w:rPr>
        <w:t>近日，武汉印发《武汉市大力支持人工智能领域人才发展若干措施》。《措施》</w:t>
      </w:r>
      <w:r>
        <w:rPr>
          <w:rFonts w:hint="eastAsia"/>
          <w:lang w:val="en-US" w:eastAsia="zh-CN"/>
        </w:rPr>
        <w:t>包括加大人工智能领域高层次人才引进和支持力度、支持用人主体招引人工智能领域人才、加强人工智能领域人才自主培育、支持人工智能领域人才在汉创业、创新人工智能领域人才使用和评价机制、搭建人工智能领域人才交流合作平台、做好人工智能领域人才服务保障等方面。方案除了</w:t>
      </w:r>
      <w:r>
        <w:rPr>
          <w:rFonts w:hint="eastAsia"/>
          <w:lang w:eastAsia="zh-CN"/>
        </w:rPr>
        <w:t>给予直接资金扶持、金融贷款、创业场地、场景支持以及安居保障等普适性政策外，还呈现出花真金“投早”、大规模进企、强生态聚势三大亮点。</w:t>
      </w:r>
    </w:p>
    <w:p w14:paraId="53119D9B">
      <w:bookmarkStart w:id="24" w:name="_GoBack"/>
      <w:bookmarkEnd w:id="24"/>
    </w:p>
    <w:p w14:paraId="70E22D00">
      <w:r>
        <w:t>发文日期：2025年6月</w:t>
      </w:r>
      <w:r>
        <w:rPr>
          <w:rFonts w:hint="eastAsia"/>
          <w:lang w:val="en-US" w:eastAsia="zh-CN"/>
        </w:rPr>
        <w:t>20</w:t>
      </w:r>
      <w:r>
        <w:t>日</w:t>
      </w:r>
    </w:p>
    <w:p w14:paraId="7B035A8E">
      <w:pPr>
        <w:rPr>
          <w:rFonts w:hint="default" w:eastAsia="宋体"/>
          <w:lang w:val="en-US" w:eastAsia="zh-CN"/>
        </w:rPr>
      </w:pPr>
      <w:r>
        <w:t>发文单位：武汉市人民政府办公厅</w:t>
      </w:r>
    </w:p>
    <w:p w14:paraId="14EF8F03">
      <w:pPr>
        <w:rPr>
          <w:rFonts w:hint="eastAsia"/>
        </w:rPr>
      </w:pPr>
      <w:r>
        <w:t>原文链接：</w:t>
      </w:r>
      <w:r>
        <w:rPr>
          <w:rFonts w:hint="eastAsia"/>
        </w:rPr>
        <w:t>https://mp.weixin.qq.com/s/Jlo8bk4BzhDP0EPeF8FBhg</w:t>
      </w:r>
    </w:p>
    <w:p w14:paraId="4D82F188">
      <w:pPr>
        <w:rPr>
          <w:rFonts w:hint="eastAsia"/>
        </w:rPr>
      </w:pPr>
    </w:p>
    <w:p w14:paraId="0DE5EC56">
      <w:pPr>
        <w:pStyle w:val="2"/>
      </w:pPr>
      <w:bookmarkStart w:id="19" w:name="_Toc3460"/>
      <w:r>
        <w:rPr>
          <w:rFonts w:hint="eastAsia"/>
        </w:rPr>
        <w:t>热点.资讯</w:t>
      </w:r>
      <w:bookmarkEnd w:id="19"/>
    </w:p>
    <w:p w14:paraId="2C157322">
      <w:pPr>
        <w:rPr>
          <w:rFonts w:hint="eastAsia"/>
        </w:rPr>
      </w:pPr>
    </w:p>
    <w:p w14:paraId="7C4D234A">
      <w:pPr>
        <w:pStyle w:val="4"/>
        <w:numPr>
          <w:ilvl w:val="0"/>
          <w:numId w:val="4"/>
        </w:numPr>
        <w:rPr>
          <w:rFonts w:hint="eastAsia"/>
        </w:rPr>
      </w:pPr>
      <w:bookmarkStart w:id="20" w:name="_Toc13968"/>
      <w:r>
        <w:t>第四次上海合作组织成员国信息通信技术发展部门负责人会议举行</w:t>
      </w:r>
      <w:bookmarkEnd w:id="20"/>
    </w:p>
    <w:p w14:paraId="0BF96F7D"/>
    <w:p w14:paraId="7059B898">
      <w:r>
        <w:t>6月17日，第四次上合组织成员国信息通信技术发展部门负责人会议在新疆克拉玛依举行。工信部副部长熊继军主持会议并发言，新疆相关领导及上合组织副秘书长出席会议并致辞。熊继军表示，中国走出数字化转型赋能可持续发展道路，愿与各方加强合作，促进上合组织国家合作升级。上合组织成员国、对话伙伴代表作主旨发言并探讨未来合作方向。会议审议通过《上海合作组织成员国数字化转型行动计划》，确认下次会议在吉尔吉斯斯坦举办并签署纪要。同期举办中国—上海合作组织数字技术合作发展论坛，熊继军提出四项合作倡议。会前，熊继军与多国相关部门负责人就双边合作交换意见。</w:t>
      </w:r>
    </w:p>
    <w:p w14:paraId="3B2E5A7F"/>
    <w:p w14:paraId="51943D0B">
      <w:r>
        <w:t>发文日期：2025年6月17日</w:t>
      </w:r>
    </w:p>
    <w:p w14:paraId="619E6E80">
      <w:r>
        <w:t>发文单位：工业和信息化部</w:t>
      </w:r>
    </w:p>
    <w:p w14:paraId="189BE8BD">
      <w:r>
        <w:t>原文链接：</w:t>
      </w:r>
      <w:r>
        <w:rPr>
          <w:rFonts w:hint="eastAsia"/>
        </w:rPr>
        <w:t>https://mp.weixin.qq.com/s/kcLJ9fnb2KtoIIDt6Po_9A</w:t>
      </w:r>
    </w:p>
    <w:p w14:paraId="70558337"/>
    <w:p w14:paraId="5DD000CA">
      <w:pPr>
        <w:pStyle w:val="4"/>
        <w:numPr>
          <w:ilvl w:val="0"/>
          <w:numId w:val="2"/>
        </w:numPr>
        <w:rPr>
          <w:rFonts w:hint="eastAsia"/>
        </w:rPr>
      </w:pPr>
      <w:bookmarkStart w:id="21" w:name="_Toc3156"/>
      <w:r>
        <w:t>第三届软件创新发展大会在武汉圆满召开</w:t>
      </w:r>
      <w:bookmarkEnd w:id="21"/>
    </w:p>
    <w:p w14:paraId="11B61C20"/>
    <w:p w14:paraId="71744B67">
      <w:r>
        <w:t>6月13日，第三届软件创新发展大会在武汉光谷希尔顿酒店开幕。湖北省副省长、武汉市长等出席并致辞，超1200名嘉宾参会。会上，多位专家做前瞻性主旨报告，为产业发展指明方向。中部六省省会城市升级协作，签约开展国家级工业软件中试验证平台建设及生态合作。大会揭晓杰出软件工程师和优秀开源开发者，24个软件项目现场签约，金额超45亿。还首次设立工业软件喻家山论坛，发起“喻家山倡议”。软件企业代表分享经验，圆桌交流剖析产业机遇，互动市集展示创新产品，推动产业链融合。</w:t>
      </w:r>
    </w:p>
    <w:p w14:paraId="37FC2446"/>
    <w:p w14:paraId="768195C8">
      <w:r>
        <w:t>发文日期：2025年6月13日</w:t>
      </w:r>
    </w:p>
    <w:p w14:paraId="21C2350F">
      <w:r>
        <w:t>发文单位：武汉市经信局</w:t>
      </w:r>
    </w:p>
    <w:p w14:paraId="54D62587">
      <w:r>
        <w:t>原文链接：</w:t>
      </w:r>
      <w:r>
        <w:rPr>
          <w:rFonts w:hint="eastAsia"/>
        </w:rPr>
        <w:t>https://mp.weixin.qq.com/s/mv0wG4XuO6JkVcucraAmOg</w:t>
      </w:r>
    </w:p>
    <w:p w14:paraId="0911B491"/>
    <w:p w14:paraId="1E011B24">
      <w:pPr>
        <w:pStyle w:val="4"/>
        <w:numPr>
          <w:ilvl w:val="0"/>
          <w:numId w:val="2"/>
        </w:numPr>
      </w:pPr>
      <w:bookmarkStart w:id="22" w:name="_Toc2369"/>
      <w:r>
        <w:t>2025年“数据要素×”大赛“数据洞察与人工智能”赛道启动会</w:t>
      </w:r>
      <w:r>
        <w:rPr>
          <w:rFonts w:hint="eastAsia"/>
        </w:rPr>
        <w:t>在武汉举办</w:t>
      </w:r>
      <w:bookmarkEnd w:id="22"/>
    </w:p>
    <w:p w14:paraId="0194654E"/>
    <w:p w14:paraId="70E168CE">
      <w:r>
        <w:t>“数据要素×”大赛是国家数据局联合20多个部委和机构举办的全国首个聚焦数据要素开发应用的全国性大赛，旨在推动数据要素在各领域应用和创新。经省政府同意，湖北省数据局等15个部门举办2025年“数据要素×”大赛湖北分赛，特别设置“数据洞察与人工智能”赛道，探索数据要素与人工智能融合创新模式。6月24日上午，该赛道启动会将在武汉东湖高新区武汉人工智能产业园召开，诚邀全省人工智能领域企业、科研机构、高校代表报名。活动内容包括省数据局介绍大赛方案等、市数据局解读数据标注行动方案、专家主题演讲及典型案例分享。</w:t>
      </w:r>
    </w:p>
    <w:p w14:paraId="61026146"/>
    <w:p w14:paraId="68ABD66D">
      <w:r>
        <w:t>发文日期：2025年6月18日</w:t>
      </w:r>
    </w:p>
    <w:p w14:paraId="744AAA4D">
      <w:r>
        <w:t>发文单位：湖北省数据局</w:t>
      </w:r>
    </w:p>
    <w:p w14:paraId="3519A5BD">
      <w:r>
        <w:t>原文链接：</w:t>
      </w:r>
      <w:r>
        <w:rPr>
          <w:rFonts w:hint="eastAsia"/>
        </w:rPr>
        <w:t>https://mp.weixin.qq.com/s/YtMJasPg6FGRzmsp_lshiw</w:t>
      </w:r>
    </w:p>
    <w:p w14:paraId="7DC54599"/>
    <w:p w14:paraId="4A54E902">
      <w:pPr>
        <w:pStyle w:val="4"/>
        <w:numPr>
          <w:ilvl w:val="0"/>
          <w:numId w:val="2"/>
        </w:numPr>
        <w:bidi w:val="0"/>
        <w:rPr>
          <w:rFonts w:hint="eastAsia"/>
        </w:rPr>
      </w:pPr>
      <w:bookmarkStart w:id="23" w:name="_Toc1278"/>
      <w:r>
        <w:rPr>
          <w:rFonts w:hint="eastAsia"/>
        </w:rPr>
        <w:t>武汉数字经济跃升全国十强</w:t>
      </w:r>
      <w:bookmarkEnd w:id="23"/>
    </w:p>
    <w:p w14:paraId="7ECA13A6">
      <w:pPr>
        <w:rPr>
          <w:rFonts w:hint="eastAsia"/>
        </w:rPr>
      </w:pPr>
    </w:p>
    <w:p w14:paraId="719EF20D">
      <w:pPr>
        <w:rPr>
          <w:rFonts w:hint="eastAsia"/>
        </w:rPr>
      </w:pPr>
      <w:r>
        <w:rPr>
          <w:rFonts w:hint="eastAsia"/>
        </w:rPr>
        <w:t>6月13日，武汉市召开推动科技创新和产业创新融合发展系列新闻发布会。会上获悉，武汉市数字经济规模占地区生产总值比重超过50％，在2024全国数字经济百强市中排名第10、较上年前进1位，在中国数字生态指数2024中排名第6、较上次前进3位，数据要素市场发展居中部城市之首。</w:t>
      </w:r>
    </w:p>
    <w:p w14:paraId="53AD0383">
      <w:pPr>
        <w:rPr>
          <w:rFonts w:hint="eastAsia"/>
        </w:rPr>
      </w:pPr>
    </w:p>
    <w:p w14:paraId="05F8CBEF">
      <w:r>
        <w:t>发文日期：2025年6月1</w:t>
      </w:r>
      <w:r>
        <w:rPr>
          <w:rFonts w:hint="eastAsia"/>
          <w:lang w:val="en-US" w:eastAsia="zh-CN"/>
        </w:rPr>
        <w:t>3</w:t>
      </w:r>
      <w:r>
        <w:t>日</w:t>
      </w:r>
    </w:p>
    <w:p w14:paraId="4082BD63">
      <w:r>
        <w:t>发文单位：湖北省数据局</w:t>
      </w:r>
    </w:p>
    <w:p w14:paraId="678FE96C">
      <w:pPr>
        <w:rPr>
          <w:rFonts w:hint="eastAsia"/>
        </w:rPr>
      </w:pPr>
      <w:r>
        <w:t>原文链接：</w:t>
      </w:r>
      <w:r>
        <w:rPr>
          <w:rFonts w:hint="eastAsia"/>
        </w:rPr>
        <w:t>https://sjj.hubei.gov.cn/bmdt/sjjyw/sj/202506/t20250617_5695454.shtml</w:t>
      </w: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微软雅黑"/>
    <w:panose1 w:val="020B0604020202020204"/>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B0604020202020204"/>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AC9BA">
    <w:pPr>
      <w:pStyle w:val="12"/>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A32925">
                          <w:pPr>
                            <w:pStyle w:val="12"/>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06A32925">
                    <w:pPr>
                      <w:pStyle w:val="12"/>
                    </w:pPr>
                    <w:r>
                      <w:fldChar w:fldCharType="begin"/>
                    </w:r>
                    <w:r>
                      <w:instrText xml:space="preserve"> PAGE  \* MERGEFORMAT </w:instrText>
                    </w:r>
                    <w:r>
                      <w:fldChar w:fldCharType="separate"/>
                    </w:r>
                    <w:r>
                      <w:t>20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1AAF6"/>
    <w:multiLevelType w:val="singleLevel"/>
    <w:tmpl w:val="9661AAF6"/>
    <w:lvl w:ilvl="0" w:tentative="0">
      <w:start w:val="1"/>
      <w:numFmt w:val="decimal"/>
      <w:pStyle w:val="4"/>
      <w:lvlText w:val="(%1)"/>
      <w:lvlJc w:val="left"/>
      <w:pPr>
        <w:ind w:left="425" w:hanging="425"/>
      </w:pPr>
      <w:rPr>
        <w:rFont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1"/>
  <w:bordersDoNotSurroundFooter w:val="1"/>
  <w:hideSpellingErrors/>
  <w:hideGrammaticalErrors/>
  <w:documentProtection w:enforcement="0"/>
  <w:defaultTabStop w:val="36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B87749"/>
    <w:rsid w:val="00005CCC"/>
    <w:rsid w:val="00010FD5"/>
    <w:rsid w:val="00026FE8"/>
    <w:rsid w:val="000410FC"/>
    <w:rsid w:val="00047104"/>
    <w:rsid w:val="000536EC"/>
    <w:rsid w:val="000629A4"/>
    <w:rsid w:val="00072F84"/>
    <w:rsid w:val="000733D6"/>
    <w:rsid w:val="00073967"/>
    <w:rsid w:val="00075948"/>
    <w:rsid w:val="00084D11"/>
    <w:rsid w:val="00085151"/>
    <w:rsid w:val="00096DDE"/>
    <w:rsid w:val="000A4340"/>
    <w:rsid w:val="000A44D2"/>
    <w:rsid w:val="000A44FC"/>
    <w:rsid w:val="000A4642"/>
    <w:rsid w:val="000A547C"/>
    <w:rsid w:val="000A613C"/>
    <w:rsid w:val="000E632C"/>
    <w:rsid w:val="000F0F72"/>
    <w:rsid w:val="000F3299"/>
    <w:rsid w:val="001069AF"/>
    <w:rsid w:val="00116665"/>
    <w:rsid w:val="00130104"/>
    <w:rsid w:val="00142016"/>
    <w:rsid w:val="001444EC"/>
    <w:rsid w:val="00152E21"/>
    <w:rsid w:val="0017095E"/>
    <w:rsid w:val="00170B7B"/>
    <w:rsid w:val="00174B07"/>
    <w:rsid w:val="00177F10"/>
    <w:rsid w:val="00180460"/>
    <w:rsid w:val="00181702"/>
    <w:rsid w:val="00182B8E"/>
    <w:rsid w:val="00192AD6"/>
    <w:rsid w:val="0019332D"/>
    <w:rsid w:val="00193C78"/>
    <w:rsid w:val="00196B7E"/>
    <w:rsid w:val="001A238A"/>
    <w:rsid w:val="001A4F2E"/>
    <w:rsid w:val="001B3F5C"/>
    <w:rsid w:val="001B4228"/>
    <w:rsid w:val="001B6511"/>
    <w:rsid w:val="001D2978"/>
    <w:rsid w:val="001E0014"/>
    <w:rsid w:val="001E30C9"/>
    <w:rsid w:val="001E69CA"/>
    <w:rsid w:val="001F7350"/>
    <w:rsid w:val="001F79CE"/>
    <w:rsid w:val="00203822"/>
    <w:rsid w:val="00207F33"/>
    <w:rsid w:val="0021682C"/>
    <w:rsid w:val="0021704E"/>
    <w:rsid w:val="00223274"/>
    <w:rsid w:val="0022351D"/>
    <w:rsid w:val="00226199"/>
    <w:rsid w:val="00226B79"/>
    <w:rsid w:val="002374D3"/>
    <w:rsid w:val="00237F42"/>
    <w:rsid w:val="00241E27"/>
    <w:rsid w:val="00242B16"/>
    <w:rsid w:val="00244B4D"/>
    <w:rsid w:val="00247E53"/>
    <w:rsid w:val="0025353D"/>
    <w:rsid w:val="00257943"/>
    <w:rsid w:val="002632E5"/>
    <w:rsid w:val="00266FF5"/>
    <w:rsid w:val="00270D04"/>
    <w:rsid w:val="00281DCB"/>
    <w:rsid w:val="00283AC6"/>
    <w:rsid w:val="00284BFD"/>
    <w:rsid w:val="00290211"/>
    <w:rsid w:val="002904EF"/>
    <w:rsid w:val="00291686"/>
    <w:rsid w:val="00292B47"/>
    <w:rsid w:val="002A1B62"/>
    <w:rsid w:val="002A5076"/>
    <w:rsid w:val="002A725C"/>
    <w:rsid w:val="002C0CBB"/>
    <w:rsid w:val="002C119B"/>
    <w:rsid w:val="002E0917"/>
    <w:rsid w:val="002E2F64"/>
    <w:rsid w:val="00303573"/>
    <w:rsid w:val="003247E7"/>
    <w:rsid w:val="003265BB"/>
    <w:rsid w:val="00332003"/>
    <w:rsid w:val="003326FD"/>
    <w:rsid w:val="00335212"/>
    <w:rsid w:val="00344659"/>
    <w:rsid w:val="00347B0A"/>
    <w:rsid w:val="003514D1"/>
    <w:rsid w:val="00356C86"/>
    <w:rsid w:val="00357AB7"/>
    <w:rsid w:val="00362DF4"/>
    <w:rsid w:val="003744C4"/>
    <w:rsid w:val="00374F36"/>
    <w:rsid w:val="003759AD"/>
    <w:rsid w:val="00386112"/>
    <w:rsid w:val="00392B90"/>
    <w:rsid w:val="003C20C2"/>
    <w:rsid w:val="003C222D"/>
    <w:rsid w:val="003C799E"/>
    <w:rsid w:val="003D4097"/>
    <w:rsid w:val="003D4658"/>
    <w:rsid w:val="003F4C02"/>
    <w:rsid w:val="004174BD"/>
    <w:rsid w:val="004251FF"/>
    <w:rsid w:val="00443896"/>
    <w:rsid w:val="00443EC9"/>
    <w:rsid w:val="0044715A"/>
    <w:rsid w:val="004554A4"/>
    <w:rsid w:val="004565D4"/>
    <w:rsid w:val="00460BCD"/>
    <w:rsid w:val="00462F76"/>
    <w:rsid w:val="00467FB9"/>
    <w:rsid w:val="00471127"/>
    <w:rsid w:val="00474903"/>
    <w:rsid w:val="00480050"/>
    <w:rsid w:val="00485558"/>
    <w:rsid w:val="00486B4C"/>
    <w:rsid w:val="00491190"/>
    <w:rsid w:val="00494369"/>
    <w:rsid w:val="00496390"/>
    <w:rsid w:val="004A7F09"/>
    <w:rsid w:val="004C360C"/>
    <w:rsid w:val="004C4AF1"/>
    <w:rsid w:val="004C6666"/>
    <w:rsid w:val="004D4702"/>
    <w:rsid w:val="004E76D9"/>
    <w:rsid w:val="004F35B3"/>
    <w:rsid w:val="004F789F"/>
    <w:rsid w:val="00500CAF"/>
    <w:rsid w:val="00503AAE"/>
    <w:rsid w:val="00506E3E"/>
    <w:rsid w:val="00512F38"/>
    <w:rsid w:val="005163DD"/>
    <w:rsid w:val="00522EBB"/>
    <w:rsid w:val="00524612"/>
    <w:rsid w:val="00530199"/>
    <w:rsid w:val="005367FB"/>
    <w:rsid w:val="00542AF1"/>
    <w:rsid w:val="00545A0F"/>
    <w:rsid w:val="005472F2"/>
    <w:rsid w:val="005567E4"/>
    <w:rsid w:val="00575E24"/>
    <w:rsid w:val="00581AA2"/>
    <w:rsid w:val="005922C3"/>
    <w:rsid w:val="00593EF4"/>
    <w:rsid w:val="00596438"/>
    <w:rsid w:val="005A06ED"/>
    <w:rsid w:val="005A12BE"/>
    <w:rsid w:val="005A1588"/>
    <w:rsid w:val="005B1F83"/>
    <w:rsid w:val="005B51B7"/>
    <w:rsid w:val="005B72D5"/>
    <w:rsid w:val="005C2DD0"/>
    <w:rsid w:val="005D1336"/>
    <w:rsid w:val="005D44E9"/>
    <w:rsid w:val="005D5319"/>
    <w:rsid w:val="00610FA0"/>
    <w:rsid w:val="006340C8"/>
    <w:rsid w:val="00650888"/>
    <w:rsid w:val="00651258"/>
    <w:rsid w:val="00654172"/>
    <w:rsid w:val="00660798"/>
    <w:rsid w:val="00661BE7"/>
    <w:rsid w:val="00662654"/>
    <w:rsid w:val="00665176"/>
    <w:rsid w:val="00671B63"/>
    <w:rsid w:val="00671FCB"/>
    <w:rsid w:val="00674BEF"/>
    <w:rsid w:val="00682D16"/>
    <w:rsid w:val="00692F93"/>
    <w:rsid w:val="00696E0A"/>
    <w:rsid w:val="006A23AC"/>
    <w:rsid w:val="006A5042"/>
    <w:rsid w:val="006B2C3E"/>
    <w:rsid w:val="006B5123"/>
    <w:rsid w:val="006B5F46"/>
    <w:rsid w:val="006C77FE"/>
    <w:rsid w:val="006D1B29"/>
    <w:rsid w:val="006D1F86"/>
    <w:rsid w:val="006D2A43"/>
    <w:rsid w:val="006E0D01"/>
    <w:rsid w:val="006E0D45"/>
    <w:rsid w:val="006F0BC8"/>
    <w:rsid w:val="006F4974"/>
    <w:rsid w:val="00702101"/>
    <w:rsid w:val="00714E1D"/>
    <w:rsid w:val="0072325C"/>
    <w:rsid w:val="00736A16"/>
    <w:rsid w:val="00751845"/>
    <w:rsid w:val="00753A25"/>
    <w:rsid w:val="00756153"/>
    <w:rsid w:val="00774FB2"/>
    <w:rsid w:val="00777579"/>
    <w:rsid w:val="007844BB"/>
    <w:rsid w:val="007857F5"/>
    <w:rsid w:val="00785FFC"/>
    <w:rsid w:val="00787A3C"/>
    <w:rsid w:val="00796E01"/>
    <w:rsid w:val="007A04B7"/>
    <w:rsid w:val="007B35F1"/>
    <w:rsid w:val="007B5C8E"/>
    <w:rsid w:val="007B6A37"/>
    <w:rsid w:val="007C0439"/>
    <w:rsid w:val="007D4435"/>
    <w:rsid w:val="007E100E"/>
    <w:rsid w:val="007E3DA8"/>
    <w:rsid w:val="007E40C9"/>
    <w:rsid w:val="007E75B3"/>
    <w:rsid w:val="007F7649"/>
    <w:rsid w:val="008079D8"/>
    <w:rsid w:val="00822DFE"/>
    <w:rsid w:val="008235E0"/>
    <w:rsid w:val="00831B9D"/>
    <w:rsid w:val="00844B88"/>
    <w:rsid w:val="00861386"/>
    <w:rsid w:val="00862697"/>
    <w:rsid w:val="00866592"/>
    <w:rsid w:val="0087419C"/>
    <w:rsid w:val="0087699F"/>
    <w:rsid w:val="00881707"/>
    <w:rsid w:val="008817BF"/>
    <w:rsid w:val="00893693"/>
    <w:rsid w:val="00894AAE"/>
    <w:rsid w:val="00895458"/>
    <w:rsid w:val="00897379"/>
    <w:rsid w:val="008A4AD6"/>
    <w:rsid w:val="008A4B13"/>
    <w:rsid w:val="008B1650"/>
    <w:rsid w:val="008B5DE9"/>
    <w:rsid w:val="008C2B23"/>
    <w:rsid w:val="008D7A71"/>
    <w:rsid w:val="008E24B7"/>
    <w:rsid w:val="008E6263"/>
    <w:rsid w:val="008E6A6D"/>
    <w:rsid w:val="008E725F"/>
    <w:rsid w:val="008E7906"/>
    <w:rsid w:val="008F0C27"/>
    <w:rsid w:val="00902F69"/>
    <w:rsid w:val="009050E0"/>
    <w:rsid w:val="00914D24"/>
    <w:rsid w:val="00922D05"/>
    <w:rsid w:val="0092303A"/>
    <w:rsid w:val="00925B1E"/>
    <w:rsid w:val="009271A1"/>
    <w:rsid w:val="00930C1E"/>
    <w:rsid w:val="00931E3E"/>
    <w:rsid w:val="00944B94"/>
    <w:rsid w:val="00945405"/>
    <w:rsid w:val="009475C0"/>
    <w:rsid w:val="00950E2E"/>
    <w:rsid w:val="009535CB"/>
    <w:rsid w:val="00965217"/>
    <w:rsid w:val="009704D2"/>
    <w:rsid w:val="009770CC"/>
    <w:rsid w:val="00985B48"/>
    <w:rsid w:val="00993B24"/>
    <w:rsid w:val="00994908"/>
    <w:rsid w:val="00994D1A"/>
    <w:rsid w:val="009A7360"/>
    <w:rsid w:val="009C31BB"/>
    <w:rsid w:val="009C56E5"/>
    <w:rsid w:val="009D0FF5"/>
    <w:rsid w:val="009E1921"/>
    <w:rsid w:val="009E3A1D"/>
    <w:rsid w:val="00A003C5"/>
    <w:rsid w:val="00A01BB1"/>
    <w:rsid w:val="00A11B1F"/>
    <w:rsid w:val="00A154ED"/>
    <w:rsid w:val="00A15554"/>
    <w:rsid w:val="00A1581F"/>
    <w:rsid w:val="00A17A19"/>
    <w:rsid w:val="00A17D7C"/>
    <w:rsid w:val="00A262B3"/>
    <w:rsid w:val="00A27674"/>
    <w:rsid w:val="00A3067E"/>
    <w:rsid w:val="00A309B8"/>
    <w:rsid w:val="00A37825"/>
    <w:rsid w:val="00A41E1A"/>
    <w:rsid w:val="00A43255"/>
    <w:rsid w:val="00A5112A"/>
    <w:rsid w:val="00A51200"/>
    <w:rsid w:val="00A54AA9"/>
    <w:rsid w:val="00A60179"/>
    <w:rsid w:val="00A62735"/>
    <w:rsid w:val="00A64947"/>
    <w:rsid w:val="00A74BCE"/>
    <w:rsid w:val="00A74D0B"/>
    <w:rsid w:val="00A80772"/>
    <w:rsid w:val="00A80D79"/>
    <w:rsid w:val="00A91FF5"/>
    <w:rsid w:val="00A962CD"/>
    <w:rsid w:val="00AA112B"/>
    <w:rsid w:val="00AA2D23"/>
    <w:rsid w:val="00AB768F"/>
    <w:rsid w:val="00AD192A"/>
    <w:rsid w:val="00AD1C32"/>
    <w:rsid w:val="00AE49A2"/>
    <w:rsid w:val="00AF6A69"/>
    <w:rsid w:val="00B049A3"/>
    <w:rsid w:val="00B07E19"/>
    <w:rsid w:val="00B172F3"/>
    <w:rsid w:val="00B32CB2"/>
    <w:rsid w:val="00B37EC7"/>
    <w:rsid w:val="00B40DC3"/>
    <w:rsid w:val="00B40E7D"/>
    <w:rsid w:val="00B410B6"/>
    <w:rsid w:val="00B41DB6"/>
    <w:rsid w:val="00B45E66"/>
    <w:rsid w:val="00B5013F"/>
    <w:rsid w:val="00B50A3C"/>
    <w:rsid w:val="00B55677"/>
    <w:rsid w:val="00B55995"/>
    <w:rsid w:val="00B620A4"/>
    <w:rsid w:val="00B62CED"/>
    <w:rsid w:val="00B636D4"/>
    <w:rsid w:val="00B637B0"/>
    <w:rsid w:val="00B658B9"/>
    <w:rsid w:val="00B7031B"/>
    <w:rsid w:val="00B70E70"/>
    <w:rsid w:val="00B72EDD"/>
    <w:rsid w:val="00B7595B"/>
    <w:rsid w:val="00B9189B"/>
    <w:rsid w:val="00B9617D"/>
    <w:rsid w:val="00BA708B"/>
    <w:rsid w:val="00BC25F5"/>
    <w:rsid w:val="00BC6A2A"/>
    <w:rsid w:val="00BD777B"/>
    <w:rsid w:val="00BD7F06"/>
    <w:rsid w:val="00BF513F"/>
    <w:rsid w:val="00BF7920"/>
    <w:rsid w:val="00C04033"/>
    <w:rsid w:val="00C07003"/>
    <w:rsid w:val="00C2292F"/>
    <w:rsid w:val="00C26AC4"/>
    <w:rsid w:val="00C32DF0"/>
    <w:rsid w:val="00C44AF7"/>
    <w:rsid w:val="00C47FD2"/>
    <w:rsid w:val="00C56626"/>
    <w:rsid w:val="00C6252C"/>
    <w:rsid w:val="00C71565"/>
    <w:rsid w:val="00C77B17"/>
    <w:rsid w:val="00C82EED"/>
    <w:rsid w:val="00CA3DF8"/>
    <w:rsid w:val="00CA46D9"/>
    <w:rsid w:val="00CA507E"/>
    <w:rsid w:val="00CA6027"/>
    <w:rsid w:val="00CB23CC"/>
    <w:rsid w:val="00CB32F6"/>
    <w:rsid w:val="00CB4E5C"/>
    <w:rsid w:val="00CB62F7"/>
    <w:rsid w:val="00CC30F4"/>
    <w:rsid w:val="00CC416D"/>
    <w:rsid w:val="00CE4B2D"/>
    <w:rsid w:val="00CE5664"/>
    <w:rsid w:val="00D15B85"/>
    <w:rsid w:val="00D43077"/>
    <w:rsid w:val="00D50E81"/>
    <w:rsid w:val="00D57D31"/>
    <w:rsid w:val="00D61DDF"/>
    <w:rsid w:val="00D63F24"/>
    <w:rsid w:val="00D72FF6"/>
    <w:rsid w:val="00D750EF"/>
    <w:rsid w:val="00D77C0A"/>
    <w:rsid w:val="00D81DB0"/>
    <w:rsid w:val="00D858EE"/>
    <w:rsid w:val="00D87720"/>
    <w:rsid w:val="00D95B69"/>
    <w:rsid w:val="00DA0D0C"/>
    <w:rsid w:val="00DA5187"/>
    <w:rsid w:val="00DB4691"/>
    <w:rsid w:val="00DC421F"/>
    <w:rsid w:val="00DC693F"/>
    <w:rsid w:val="00DE0AEE"/>
    <w:rsid w:val="00DE3B08"/>
    <w:rsid w:val="00DE4A98"/>
    <w:rsid w:val="00DE5C6B"/>
    <w:rsid w:val="00DF30E6"/>
    <w:rsid w:val="00DF6839"/>
    <w:rsid w:val="00E00F2A"/>
    <w:rsid w:val="00E136C1"/>
    <w:rsid w:val="00E15105"/>
    <w:rsid w:val="00E15D98"/>
    <w:rsid w:val="00E26D62"/>
    <w:rsid w:val="00E27961"/>
    <w:rsid w:val="00E32459"/>
    <w:rsid w:val="00E32F4F"/>
    <w:rsid w:val="00E353E8"/>
    <w:rsid w:val="00E551E8"/>
    <w:rsid w:val="00E560B0"/>
    <w:rsid w:val="00E567B1"/>
    <w:rsid w:val="00E62A84"/>
    <w:rsid w:val="00E66922"/>
    <w:rsid w:val="00E67FB9"/>
    <w:rsid w:val="00E7169B"/>
    <w:rsid w:val="00E71865"/>
    <w:rsid w:val="00E94C18"/>
    <w:rsid w:val="00EA79BE"/>
    <w:rsid w:val="00EB0883"/>
    <w:rsid w:val="00EC0011"/>
    <w:rsid w:val="00EC2DD6"/>
    <w:rsid w:val="00EC538B"/>
    <w:rsid w:val="00ED283F"/>
    <w:rsid w:val="00EE54C6"/>
    <w:rsid w:val="00EF2981"/>
    <w:rsid w:val="00EF40BC"/>
    <w:rsid w:val="00F002E1"/>
    <w:rsid w:val="00F10529"/>
    <w:rsid w:val="00F16D2A"/>
    <w:rsid w:val="00F17EAE"/>
    <w:rsid w:val="00F300FA"/>
    <w:rsid w:val="00F31E2B"/>
    <w:rsid w:val="00F328C7"/>
    <w:rsid w:val="00F34E15"/>
    <w:rsid w:val="00F41973"/>
    <w:rsid w:val="00F75C8A"/>
    <w:rsid w:val="00F83D16"/>
    <w:rsid w:val="00F87A9E"/>
    <w:rsid w:val="00F90ED7"/>
    <w:rsid w:val="00F96377"/>
    <w:rsid w:val="00FA7F25"/>
    <w:rsid w:val="00FC69EA"/>
    <w:rsid w:val="00FD2E8F"/>
    <w:rsid w:val="00FD4BB5"/>
    <w:rsid w:val="00FF3D58"/>
    <w:rsid w:val="00FF3E41"/>
    <w:rsid w:val="01170E3A"/>
    <w:rsid w:val="015D5504"/>
    <w:rsid w:val="016347D7"/>
    <w:rsid w:val="01743E73"/>
    <w:rsid w:val="01C45D06"/>
    <w:rsid w:val="021D04ED"/>
    <w:rsid w:val="02313F99"/>
    <w:rsid w:val="02727A8F"/>
    <w:rsid w:val="027D7504"/>
    <w:rsid w:val="02957F4A"/>
    <w:rsid w:val="02AD29B2"/>
    <w:rsid w:val="03181066"/>
    <w:rsid w:val="03634626"/>
    <w:rsid w:val="03D352ED"/>
    <w:rsid w:val="04772A4B"/>
    <w:rsid w:val="0582467D"/>
    <w:rsid w:val="05926AFC"/>
    <w:rsid w:val="05D77E4F"/>
    <w:rsid w:val="05D84CA5"/>
    <w:rsid w:val="05E0200A"/>
    <w:rsid w:val="061B1990"/>
    <w:rsid w:val="064550D0"/>
    <w:rsid w:val="066A47CE"/>
    <w:rsid w:val="06B141BC"/>
    <w:rsid w:val="07031442"/>
    <w:rsid w:val="07A34B98"/>
    <w:rsid w:val="07AC7C25"/>
    <w:rsid w:val="07BD5E3D"/>
    <w:rsid w:val="081F17B3"/>
    <w:rsid w:val="087D09B3"/>
    <w:rsid w:val="088A7506"/>
    <w:rsid w:val="08944458"/>
    <w:rsid w:val="08D556E5"/>
    <w:rsid w:val="08DE1DFC"/>
    <w:rsid w:val="09063232"/>
    <w:rsid w:val="09362972"/>
    <w:rsid w:val="0A15616C"/>
    <w:rsid w:val="0A6C3DC0"/>
    <w:rsid w:val="0A747118"/>
    <w:rsid w:val="0AA4793D"/>
    <w:rsid w:val="0B0A42C4"/>
    <w:rsid w:val="0B2F4186"/>
    <w:rsid w:val="0B5F4794"/>
    <w:rsid w:val="0B7926DE"/>
    <w:rsid w:val="0BC85D5B"/>
    <w:rsid w:val="0BD82C59"/>
    <w:rsid w:val="0C160487"/>
    <w:rsid w:val="0C317648"/>
    <w:rsid w:val="0C7451AE"/>
    <w:rsid w:val="0C9617E4"/>
    <w:rsid w:val="0C9F6FE3"/>
    <w:rsid w:val="0D173E04"/>
    <w:rsid w:val="0D2E2D13"/>
    <w:rsid w:val="0D354ACD"/>
    <w:rsid w:val="0D492902"/>
    <w:rsid w:val="0D6F10B3"/>
    <w:rsid w:val="0D8536BD"/>
    <w:rsid w:val="0D8F4EFE"/>
    <w:rsid w:val="0E293FE3"/>
    <w:rsid w:val="0E3E25FE"/>
    <w:rsid w:val="0E4D5CB6"/>
    <w:rsid w:val="0EA46E2D"/>
    <w:rsid w:val="0EFF5127"/>
    <w:rsid w:val="0F210A3A"/>
    <w:rsid w:val="0F415C16"/>
    <w:rsid w:val="0F607679"/>
    <w:rsid w:val="10086D9C"/>
    <w:rsid w:val="102A466F"/>
    <w:rsid w:val="105812FF"/>
    <w:rsid w:val="111C0739"/>
    <w:rsid w:val="111E1B8C"/>
    <w:rsid w:val="11610DAE"/>
    <w:rsid w:val="116A724E"/>
    <w:rsid w:val="116D60A1"/>
    <w:rsid w:val="117A72EF"/>
    <w:rsid w:val="11FD46BF"/>
    <w:rsid w:val="120B5F4D"/>
    <w:rsid w:val="12323823"/>
    <w:rsid w:val="124F42B7"/>
    <w:rsid w:val="12834530"/>
    <w:rsid w:val="13901E1C"/>
    <w:rsid w:val="13A7230D"/>
    <w:rsid w:val="14EF1875"/>
    <w:rsid w:val="14F325C5"/>
    <w:rsid w:val="15026D53"/>
    <w:rsid w:val="15B4486D"/>
    <w:rsid w:val="15CA2F2E"/>
    <w:rsid w:val="15E74C42"/>
    <w:rsid w:val="16CB5F30"/>
    <w:rsid w:val="16F2389F"/>
    <w:rsid w:val="16F643D6"/>
    <w:rsid w:val="171C5435"/>
    <w:rsid w:val="172D2B29"/>
    <w:rsid w:val="17E217ED"/>
    <w:rsid w:val="17F00444"/>
    <w:rsid w:val="18517FB6"/>
    <w:rsid w:val="188E75F7"/>
    <w:rsid w:val="18A44462"/>
    <w:rsid w:val="18D81447"/>
    <w:rsid w:val="191E1382"/>
    <w:rsid w:val="193F7A6A"/>
    <w:rsid w:val="19600F94"/>
    <w:rsid w:val="199A28AA"/>
    <w:rsid w:val="1A650426"/>
    <w:rsid w:val="1AA03612"/>
    <w:rsid w:val="1BCB75FC"/>
    <w:rsid w:val="1BDA0F1B"/>
    <w:rsid w:val="1BFF5B23"/>
    <w:rsid w:val="1C777DA5"/>
    <w:rsid w:val="1C7E467E"/>
    <w:rsid w:val="1D0D671B"/>
    <w:rsid w:val="1D305121"/>
    <w:rsid w:val="1D36397B"/>
    <w:rsid w:val="1D4B182A"/>
    <w:rsid w:val="1D5C48CC"/>
    <w:rsid w:val="1D835251"/>
    <w:rsid w:val="1DD943FB"/>
    <w:rsid w:val="1DE87A80"/>
    <w:rsid w:val="1E194C81"/>
    <w:rsid w:val="1E3E561C"/>
    <w:rsid w:val="1E68566C"/>
    <w:rsid w:val="1E95273B"/>
    <w:rsid w:val="1EA47B74"/>
    <w:rsid w:val="1F8B4401"/>
    <w:rsid w:val="1FFF5FBA"/>
    <w:rsid w:val="21554059"/>
    <w:rsid w:val="216B2E85"/>
    <w:rsid w:val="218872DA"/>
    <w:rsid w:val="218F2E30"/>
    <w:rsid w:val="21BF16DB"/>
    <w:rsid w:val="21C443C4"/>
    <w:rsid w:val="223C67F4"/>
    <w:rsid w:val="224A458F"/>
    <w:rsid w:val="22942040"/>
    <w:rsid w:val="22DA671D"/>
    <w:rsid w:val="23050835"/>
    <w:rsid w:val="231A7D53"/>
    <w:rsid w:val="23887B38"/>
    <w:rsid w:val="238B1360"/>
    <w:rsid w:val="23BD28FC"/>
    <w:rsid w:val="24013DB9"/>
    <w:rsid w:val="24441950"/>
    <w:rsid w:val="248D76DC"/>
    <w:rsid w:val="249A5A1E"/>
    <w:rsid w:val="24A36916"/>
    <w:rsid w:val="25172BDE"/>
    <w:rsid w:val="25744A0D"/>
    <w:rsid w:val="25902C01"/>
    <w:rsid w:val="259A51CD"/>
    <w:rsid w:val="25D56865"/>
    <w:rsid w:val="26082272"/>
    <w:rsid w:val="262178C9"/>
    <w:rsid w:val="264755DA"/>
    <w:rsid w:val="2661459D"/>
    <w:rsid w:val="267E0CAB"/>
    <w:rsid w:val="26A84EBA"/>
    <w:rsid w:val="26EA363F"/>
    <w:rsid w:val="270F0823"/>
    <w:rsid w:val="27144592"/>
    <w:rsid w:val="278B23EE"/>
    <w:rsid w:val="278B7B24"/>
    <w:rsid w:val="27C03641"/>
    <w:rsid w:val="281318C7"/>
    <w:rsid w:val="28541E37"/>
    <w:rsid w:val="285F3CB1"/>
    <w:rsid w:val="286928C5"/>
    <w:rsid w:val="289C366A"/>
    <w:rsid w:val="28A2214A"/>
    <w:rsid w:val="2936694E"/>
    <w:rsid w:val="2996455E"/>
    <w:rsid w:val="29DB04A2"/>
    <w:rsid w:val="29EE50B4"/>
    <w:rsid w:val="29FE7B47"/>
    <w:rsid w:val="2A367640"/>
    <w:rsid w:val="2A48356C"/>
    <w:rsid w:val="2ABC75C8"/>
    <w:rsid w:val="2B12230A"/>
    <w:rsid w:val="2B7E1510"/>
    <w:rsid w:val="2B8051DB"/>
    <w:rsid w:val="2BAA31B3"/>
    <w:rsid w:val="2BC63FD4"/>
    <w:rsid w:val="2C0D4F8D"/>
    <w:rsid w:val="2C376A9B"/>
    <w:rsid w:val="2C3A1B18"/>
    <w:rsid w:val="2C3F0EDD"/>
    <w:rsid w:val="2C4C4F3B"/>
    <w:rsid w:val="2C60078F"/>
    <w:rsid w:val="2C646B95"/>
    <w:rsid w:val="2C7E1414"/>
    <w:rsid w:val="2C810E08"/>
    <w:rsid w:val="2C8E59C0"/>
    <w:rsid w:val="2CBA6A70"/>
    <w:rsid w:val="2CD504F2"/>
    <w:rsid w:val="2D0F4C79"/>
    <w:rsid w:val="2D1D55AF"/>
    <w:rsid w:val="2D2B1461"/>
    <w:rsid w:val="2DC147E3"/>
    <w:rsid w:val="2EA90867"/>
    <w:rsid w:val="2EAD7087"/>
    <w:rsid w:val="2F454A5C"/>
    <w:rsid w:val="2FC43258"/>
    <w:rsid w:val="2FE467A7"/>
    <w:rsid w:val="302C011A"/>
    <w:rsid w:val="302C34A7"/>
    <w:rsid w:val="303A22C6"/>
    <w:rsid w:val="304940D8"/>
    <w:rsid w:val="30517430"/>
    <w:rsid w:val="30C3032E"/>
    <w:rsid w:val="30F37EDC"/>
    <w:rsid w:val="31055CDB"/>
    <w:rsid w:val="313C17BF"/>
    <w:rsid w:val="314A714A"/>
    <w:rsid w:val="315423FA"/>
    <w:rsid w:val="324507AD"/>
    <w:rsid w:val="33200AD0"/>
    <w:rsid w:val="3344327C"/>
    <w:rsid w:val="338B4F0A"/>
    <w:rsid w:val="33CC223D"/>
    <w:rsid w:val="345179FF"/>
    <w:rsid w:val="34814F15"/>
    <w:rsid w:val="34826328"/>
    <w:rsid w:val="34984755"/>
    <w:rsid w:val="34E959C3"/>
    <w:rsid w:val="34F85D6A"/>
    <w:rsid w:val="34FC2804"/>
    <w:rsid w:val="34FF4777"/>
    <w:rsid w:val="35120222"/>
    <w:rsid w:val="3518714F"/>
    <w:rsid w:val="353D3435"/>
    <w:rsid w:val="354A6EEA"/>
    <w:rsid w:val="356B1CF3"/>
    <w:rsid w:val="35AF70D3"/>
    <w:rsid w:val="37654E9C"/>
    <w:rsid w:val="3784633D"/>
    <w:rsid w:val="38213B8C"/>
    <w:rsid w:val="382373DA"/>
    <w:rsid w:val="383B0B04"/>
    <w:rsid w:val="38591578"/>
    <w:rsid w:val="38AC16A8"/>
    <w:rsid w:val="38CF7D58"/>
    <w:rsid w:val="38F0269B"/>
    <w:rsid w:val="3A372F4A"/>
    <w:rsid w:val="3A7C1D7A"/>
    <w:rsid w:val="3AAD7959"/>
    <w:rsid w:val="3AD068AC"/>
    <w:rsid w:val="3ADB44C6"/>
    <w:rsid w:val="3AED5FA8"/>
    <w:rsid w:val="3B285284"/>
    <w:rsid w:val="3B2C319C"/>
    <w:rsid w:val="3B2D2566"/>
    <w:rsid w:val="3B387B37"/>
    <w:rsid w:val="3B68647D"/>
    <w:rsid w:val="3B9C1C00"/>
    <w:rsid w:val="3BAF2C97"/>
    <w:rsid w:val="3C074E47"/>
    <w:rsid w:val="3C756255"/>
    <w:rsid w:val="3C9E39FD"/>
    <w:rsid w:val="3C9F4DD0"/>
    <w:rsid w:val="3D0D46DF"/>
    <w:rsid w:val="3D254A9A"/>
    <w:rsid w:val="3D3C5A02"/>
    <w:rsid w:val="3D430E91"/>
    <w:rsid w:val="3D723C25"/>
    <w:rsid w:val="3D8F5CCA"/>
    <w:rsid w:val="3D910454"/>
    <w:rsid w:val="3D964F1B"/>
    <w:rsid w:val="3E0C2560"/>
    <w:rsid w:val="3EB02237"/>
    <w:rsid w:val="3EB80B41"/>
    <w:rsid w:val="3EE65C63"/>
    <w:rsid w:val="3FCF6608"/>
    <w:rsid w:val="40476BB4"/>
    <w:rsid w:val="4092377C"/>
    <w:rsid w:val="40AA78B9"/>
    <w:rsid w:val="411E6EBB"/>
    <w:rsid w:val="41B079AE"/>
    <w:rsid w:val="41FF0A9A"/>
    <w:rsid w:val="42417218"/>
    <w:rsid w:val="43B55C44"/>
    <w:rsid w:val="44A633D7"/>
    <w:rsid w:val="450B6BAA"/>
    <w:rsid w:val="45531639"/>
    <w:rsid w:val="45EC57D9"/>
    <w:rsid w:val="465467E3"/>
    <w:rsid w:val="466D03B6"/>
    <w:rsid w:val="467A4130"/>
    <w:rsid w:val="46ED3D62"/>
    <w:rsid w:val="46F030A7"/>
    <w:rsid w:val="46FE5A27"/>
    <w:rsid w:val="472165E1"/>
    <w:rsid w:val="472D42FC"/>
    <w:rsid w:val="472D7E58"/>
    <w:rsid w:val="474447A0"/>
    <w:rsid w:val="474B1F88"/>
    <w:rsid w:val="47B50093"/>
    <w:rsid w:val="47CE3835"/>
    <w:rsid w:val="47E938E8"/>
    <w:rsid w:val="47F548C0"/>
    <w:rsid w:val="48543A65"/>
    <w:rsid w:val="48551120"/>
    <w:rsid w:val="489A6008"/>
    <w:rsid w:val="48CE1A32"/>
    <w:rsid w:val="492B6619"/>
    <w:rsid w:val="49356079"/>
    <w:rsid w:val="4957634E"/>
    <w:rsid w:val="496F10FC"/>
    <w:rsid w:val="49881CCB"/>
    <w:rsid w:val="49975FBC"/>
    <w:rsid w:val="49D13AE4"/>
    <w:rsid w:val="49E1480A"/>
    <w:rsid w:val="49FB653F"/>
    <w:rsid w:val="4A4B3E0B"/>
    <w:rsid w:val="4A5D44B5"/>
    <w:rsid w:val="4A6437D4"/>
    <w:rsid w:val="4A8F086C"/>
    <w:rsid w:val="4AB070BD"/>
    <w:rsid w:val="4AE46E2A"/>
    <w:rsid w:val="4B086260"/>
    <w:rsid w:val="4B792C11"/>
    <w:rsid w:val="4C6C6665"/>
    <w:rsid w:val="4C993854"/>
    <w:rsid w:val="4C9D782D"/>
    <w:rsid w:val="4CBA0C3C"/>
    <w:rsid w:val="4CC773C4"/>
    <w:rsid w:val="4CE81B67"/>
    <w:rsid w:val="4CF077D9"/>
    <w:rsid w:val="4D211BA8"/>
    <w:rsid w:val="4E816CDB"/>
    <w:rsid w:val="4EC5185F"/>
    <w:rsid w:val="4F0516BA"/>
    <w:rsid w:val="4F7A2315"/>
    <w:rsid w:val="4F9273F2"/>
    <w:rsid w:val="4FB31056"/>
    <w:rsid w:val="501D04C6"/>
    <w:rsid w:val="50224539"/>
    <w:rsid w:val="50675167"/>
    <w:rsid w:val="509B115C"/>
    <w:rsid w:val="50E705D7"/>
    <w:rsid w:val="50F773EF"/>
    <w:rsid w:val="50FA6AF3"/>
    <w:rsid w:val="51040E29"/>
    <w:rsid w:val="51AC2CF6"/>
    <w:rsid w:val="51CF2789"/>
    <w:rsid w:val="51EE696A"/>
    <w:rsid w:val="52E60BBD"/>
    <w:rsid w:val="53537FC2"/>
    <w:rsid w:val="537A576C"/>
    <w:rsid w:val="538D6EF1"/>
    <w:rsid w:val="53E24E79"/>
    <w:rsid w:val="54051CBA"/>
    <w:rsid w:val="54627517"/>
    <w:rsid w:val="54C301E3"/>
    <w:rsid w:val="54CD3E95"/>
    <w:rsid w:val="54FE1085"/>
    <w:rsid w:val="5507618C"/>
    <w:rsid w:val="555313D1"/>
    <w:rsid w:val="555465EE"/>
    <w:rsid w:val="5630606F"/>
    <w:rsid w:val="56431446"/>
    <w:rsid w:val="564D2F1F"/>
    <w:rsid w:val="56601D30"/>
    <w:rsid w:val="56864980"/>
    <w:rsid w:val="56BD287A"/>
    <w:rsid w:val="57617D64"/>
    <w:rsid w:val="579023A5"/>
    <w:rsid w:val="579D2991"/>
    <w:rsid w:val="57EF105C"/>
    <w:rsid w:val="58831FCD"/>
    <w:rsid w:val="58A81A34"/>
    <w:rsid w:val="597D4298"/>
    <w:rsid w:val="59CC3500"/>
    <w:rsid w:val="5A17089F"/>
    <w:rsid w:val="5A2B78A9"/>
    <w:rsid w:val="5AC204A2"/>
    <w:rsid w:val="5ADE079F"/>
    <w:rsid w:val="5ADF2CEC"/>
    <w:rsid w:val="5B4C6A20"/>
    <w:rsid w:val="5B74302C"/>
    <w:rsid w:val="5B93792A"/>
    <w:rsid w:val="5B9F4190"/>
    <w:rsid w:val="5BBE44A1"/>
    <w:rsid w:val="5C0F2120"/>
    <w:rsid w:val="5CC2508E"/>
    <w:rsid w:val="5CC95CE6"/>
    <w:rsid w:val="5CF04714"/>
    <w:rsid w:val="5CF641B7"/>
    <w:rsid w:val="5CFA7B5F"/>
    <w:rsid w:val="5CFD12BC"/>
    <w:rsid w:val="5D872105"/>
    <w:rsid w:val="5DCE519B"/>
    <w:rsid w:val="5DDC2951"/>
    <w:rsid w:val="5E042794"/>
    <w:rsid w:val="5E8E75A3"/>
    <w:rsid w:val="5E9860A7"/>
    <w:rsid w:val="5EBC232F"/>
    <w:rsid w:val="5EC0678A"/>
    <w:rsid w:val="5ED877D8"/>
    <w:rsid w:val="5EE240B6"/>
    <w:rsid w:val="5F1A5C6D"/>
    <w:rsid w:val="5F2F7A39"/>
    <w:rsid w:val="5FA814DF"/>
    <w:rsid w:val="5FE82FD2"/>
    <w:rsid w:val="5FED58DF"/>
    <w:rsid w:val="6040616F"/>
    <w:rsid w:val="60B168B0"/>
    <w:rsid w:val="60C5514D"/>
    <w:rsid w:val="60D96503"/>
    <w:rsid w:val="60DD148F"/>
    <w:rsid w:val="60FF3D49"/>
    <w:rsid w:val="61305322"/>
    <w:rsid w:val="6159154D"/>
    <w:rsid w:val="61994C8C"/>
    <w:rsid w:val="61A65755"/>
    <w:rsid w:val="61BA65BF"/>
    <w:rsid w:val="62373E29"/>
    <w:rsid w:val="628F77C1"/>
    <w:rsid w:val="62922B86"/>
    <w:rsid w:val="62B83782"/>
    <w:rsid w:val="62F67905"/>
    <w:rsid w:val="63344D9C"/>
    <w:rsid w:val="6372336A"/>
    <w:rsid w:val="63852965"/>
    <w:rsid w:val="63B719CA"/>
    <w:rsid w:val="63B87749"/>
    <w:rsid w:val="63E92F01"/>
    <w:rsid w:val="64063AB3"/>
    <w:rsid w:val="64255857"/>
    <w:rsid w:val="64371776"/>
    <w:rsid w:val="64371EBE"/>
    <w:rsid w:val="64565DD5"/>
    <w:rsid w:val="646903D7"/>
    <w:rsid w:val="647B624F"/>
    <w:rsid w:val="64B47B11"/>
    <w:rsid w:val="64E2382D"/>
    <w:rsid w:val="652C145A"/>
    <w:rsid w:val="652E3534"/>
    <w:rsid w:val="6614440A"/>
    <w:rsid w:val="678E46C4"/>
    <w:rsid w:val="6800730B"/>
    <w:rsid w:val="681B5ADF"/>
    <w:rsid w:val="685E210F"/>
    <w:rsid w:val="686065CC"/>
    <w:rsid w:val="689D00AB"/>
    <w:rsid w:val="68A94442"/>
    <w:rsid w:val="68BC5CCF"/>
    <w:rsid w:val="694B1CA9"/>
    <w:rsid w:val="696848C8"/>
    <w:rsid w:val="69D87C9F"/>
    <w:rsid w:val="69F0323B"/>
    <w:rsid w:val="6A333F49"/>
    <w:rsid w:val="6A3D7B02"/>
    <w:rsid w:val="6A6F3824"/>
    <w:rsid w:val="6AB204F0"/>
    <w:rsid w:val="6AE125CF"/>
    <w:rsid w:val="6AF97ECD"/>
    <w:rsid w:val="6B356F25"/>
    <w:rsid w:val="6C6121CE"/>
    <w:rsid w:val="6C7822A9"/>
    <w:rsid w:val="6C9B0687"/>
    <w:rsid w:val="6CCD0C34"/>
    <w:rsid w:val="6D2B360C"/>
    <w:rsid w:val="6DD94EB7"/>
    <w:rsid w:val="6ED65668"/>
    <w:rsid w:val="6F5F3C10"/>
    <w:rsid w:val="6F7D619A"/>
    <w:rsid w:val="6F9F35B4"/>
    <w:rsid w:val="6FCA71E0"/>
    <w:rsid w:val="6FD827A7"/>
    <w:rsid w:val="703145D9"/>
    <w:rsid w:val="706C1141"/>
    <w:rsid w:val="706E7C9E"/>
    <w:rsid w:val="707324D0"/>
    <w:rsid w:val="70CF5032"/>
    <w:rsid w:val="71856DEF"/>
    <w:rsid w:val="71A130D0"/>
    <w:rsid w:val="71DA004A"/>
    <w:rsid w:val="726B69B0"/>
    <w:rsid w:val="728A0291"/>
    <w:rsid w:val="729F531D"/>
    <w:rsid w:val="72CF47E7"/>
    <w:rsid w:val="72ED48AE"/>
    <w:rsid w:val="730361B9"/>
    <w:rsid w:val="734466F5"/>
    <w:rsid w:val="738D5656"/>
    <w:rsid w:val="73EA2043"/>
    <w:rsid w:val="742740AC"/>
    <w:rsid w:val="74310511"/>
    <w:rsid w:val="743A2B40"/>
    <w:rsid w:val="745F7336"/>
    <w:rsid w:val="74923BF4"/>
    <w:rsid w:val="74C44810"/>
    <w:rsid w:val="74CF773B"/>
    <w:rsid w:val="750202C6"/>
    <w:rsid w:val="75475CD9"/>
    <w:rsid w:val="75B354EE"/>
    <w:rsid w:val="75BC3DFE"/>
    <w:rsid w:val="76A06528"/>
    <w:rsid w:val="76BD44A5"/>
    <w:rsid w:val="76DB2792"/>
    <w:rsid w:val="77091498"/>
    <w:rsid w:val="77BA7B83"/>
    <w:rsid w:val="77EA05CE"/>
    <w:rsid w:val="785D1817"/>
    <w:rsid w:val="786C5947"/>
    <w:rsid w:val="78861E4A"/>
    <w:rsid w:val="78D37FAF"/>
    <w:rsid w:val="78F57EFF"/>
    <w:rsid w:val="79BF5E05"/>
    <w:rsid w:val="79F71BE1"/>
    <w:rsid w:val="7A0D60DE"/>
    <w:rsid w:val="7A0F5025"/>
    <w:rsid w:val="7A16003B"/>
    <w:rsid w:val="7A367DDC"/>
    <w:rsid w:val="7A6A4943"/>
    <w:rsid w:val="7AE600D4"/>
    <w:rsid w:val="7AEC35AA"/>
    <w:rsid w:val="7B0A28DC"/>
    <w:rsid w:val="7B0B390C"/>
    <w:rsid w:val="7B8109A5"/>
    <w:rsid w:val="7BBA0FB3"/>
    <w:rsid w:val="7BF21F72"/>
    <w:rsid w:val="7C0029ED"/>
    <w:rsid w:val="7C9B21DA"/>
    <w:rsid w:val="7CAC5049"/>
    <w:rsid w:val="7CE31C56"/>
    <w:rsid w:val="7D5A1A2C"/>
    <w:rsid w:val="7D686286"/>
    <w:rsid w:val="7D757A64"/>
    <w:rsid w:val="7D921F97"/>
    <w:rsid w:val="7DA34981"/>
    <w:rsid w:val="7DA83736"/>
    <w:rsid w:val="7DB9757F"/>
    <w:rsid w:val="7E104461"/>
    <w:rsid w:val="7F1F3F5C"/>
    <w:rsid w:val="7F39186C"/>
    <w:rsid w:val="7F6E5771"/>
    <w:rsid w:val="7FCE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keepNext/>
      <w:keepLines/>
      <w:adjustRightInd w:val="0"/>
      <w:snapToGrid w:val="0"/>
      <w:spacing w:line="360" w:lineRule="auto"/>
      <w:jc w:val="center"/>
      <w:outlineLvl w:val="0"/>
    </w:pPr>
    <w:rPr>
      <w:rFonts w:ascii="方正小标宋简体" w:hAnsi="方正小标宋简体" w:eastAsia="方正小标宋简体" w:cs="方正小标宋简体"/>
      <w:b/>
      <w:kern w:val="44"/>
      <w:sz w:val="32"/>
      <w:szCs w:val="32"/>
    </w:rPr>
  </w:style>
  <w:style w:type="paragraph" w:styleId="3">
    <w:name w:val="heading 2"/>
    <w:basedOn w:val="1"/>
    <w:next w:val="1"/>
    <w:link w:val="44"/>
    <w:unhideWhenUsed/>
    <w:qFormat/>
    <w:uiPriority w:val="0"/>
    <w:pPr>
      <w:snapToGrid w:val="0"/>
      <w:jc w:val="center"/>
      <w:outlineLvl w:val="1"/>
    </w:pPr>
    <w:rPr>
      <w:rFonts w:ascii="仿宋_GB2312" w:hAnsi="仿宋_GB2312" w:eastAsia="仿宋_GB2312" w:cs="仿宋_GB2312"/>
      <w:b/>
      <w:bCs/>
      <w:sz w:val="32"/>
      <w:szCs w:val="32"/>
    </w:rPr>
  </w:style>
  <w:style w:type="paragraph" w:styleId="4">
    <w:name w:val="heading 3"/>
    <w:basedOn w:val="3"/>
    <w:next w:val="1"/>
    <w:link w:val="34"/>
    <w:unhideWhenUsed/>
    <w:qFormat/>
    <w:uiPriority w:val="0"/>
    <w:pPr>
      <w:numPr>
        <w:ilvl w:val="0"/>
        <w:numId w:val="1"/>
      </w:numPr>
      <w:jc w:val="left"/>
      <w:outlineLvl w:val="2"/>
    </w:pPr>
  </w:style>
  <w:style w:type="character" w:default="1" w:styleId="25">
    <w:name w:val="Default Paragraph Font"/>
    <w:semiHidden/>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1440"/>
    </w:pPr>
    <w:rPr>
      <w:rFonts w:asciiTheme="minorHAnsi" w:hAnsiTheme="minorHAnsi" w:cstheme="minorHAnsi"/>
      <w:sz w:val="18"/>
      <w:szCs w:val="18"/>
    </w:r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annotation text"/>
    <w:basedOn w:val="1"/>
    <w:link w:val="42"/>
    <w:qFormat/>
    <w:uiPriority w:val="0"/>
  </w:style>
  <w:style w:type="paragraph" w:styleId="8">
    <w:name w:val="toc 5"/>
    <w:basedOn w:val="1"/>
    <w:next w:val="1"/>
    <w:qFormat/>
    <w:uiPriority w:val="0"/>
    <w:pPr>
      <w:ind w:left="960"/>
    </w:pPr>
    <w:rPr>
      <w:rFonts w:asciiTheme="minorHAnsi" w:hAnsiTheme="minorHAnsi" w:cstheme="minorHAnsi"/>
      <w:sz w:val="18"/>
      <w:szCs w:val="18"/>
    </w:rPr>
  </w:style>
  <w:style w:type="paragraph" w:styleId="9">
    <w:name w:val="toc 3"/>
    <w:basedOn w:val="1"/>
    <w:next w:val="1"/>
    <w:qFormat/>
    <w:uiPriority w:val="39"/>
    <w:pPr>
      <w:ind w:left="480"/>
    </w:pPr>
    <w:rPr>
      <w:rFonts w:asciiTheme="minorHAnsi" w:hAnsiTheme="minorHAnsi" w:cstheme="minorHAnsi"/>
      <w:i/>
      <w:iCs/>
      <w:sz w:val="20"/>
      <w:szCs w:val="20"/>
    </w:rPr>
  </w:style>
  <w:style w:type="paragraph" w:styleId="10">
    <w:name w:val="toc 8"/>
    <w:basedOn w:val="1"/>
    <w:next w:val="1"/>
    <w:qFormat/>
    <w:uiPriority w:val="0"/>
    <w:pPr>
      <w:ind w:left="1680"/>
    </w:pPr>
    <w:rPr>
      <w:rFonts w:asciiTheme="minorHAnsi" w:hAnsiTheme="minorHAnsi" w:cstheme="minorHAnsi"/>
      <w:sz w:val="18"/>
      <w:szCs w:val="18"/>
    </w:rPr>
  </w:style>
  <w:style w:type="paragraph" w:styleId="11">
    <w:name w:val="Balloon Text"/>
    <w:basedOn w:val="1"/>
    <w:link w:val="41"/>
    <w:qFormat/>
    <w:uiPriority w:val="0"/>
    <w:rPr>
      <w:sz w:val="18"/>
      <w:szCs w:val="18"/>
    </w:rPr>
  </w:style>
  <w:style w:type="paragraph" w:styleId="12">
    <w:name w:val="footer"/>
    <w:basedOn w:val="1"/>
    <w:qFormat/>
    <w:uiPriority w:val="0"/>
    <w:pPr>
      <w:tabs>
        <w:tab w:val="center" w:pos="4153"/>
        <w:tab w:val="right" w:pos="8306"/>
      </w:tabs>
      <w:snapToGrid w:val="0"/>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39"/>
    <w:pPr>
      <w:tabs>
        <w:tab w:val="right" w:leader="dot" w:pos="8296"/>
      </w:tabs>
      <w:spacing w:before="120" w:after="120"/>
      <w:jc w:val="center"/>
    </w:pPr>
    <w:rPr>
      <w:rFonts w:asciiTheme="minorHAnsi" w:hAnsiTheme="minorHAnsi" w:cstheme="minorHAnsi"/>
      <w:b/>
      <w:bCs/>
      <w:caps/>
      <w:sz w:val="20"/>
      <w:szCs w:val="20"/>
    </w:rPr>
  </w:style>
  <w:style w:type="paragraph" w:styleId="15">
    <w:name w:val="toc 4"/>
    <w:basedOn w:val="1"/>
    <w:next w:val="1"/>
    <w:qFormat/>
    <w:uiPriority w:val="0"/>
    <w:pPr>
      <w:ind w:left="720"/>
    </w:pPr>
    <w:rPr>
      <w:rFonts w:asciiTheme="minorHAnsi" w:hAnsiTheme="minorHAnsi" w:cstheme="minorHAnsi"/>
      <w:sz w:val="18"/>
      <w:szCs w:val="18"/>
    </w:rPr>
  </w:style>
  <w:style w:type="paragraph" w:styleId="16">
    <w:name w:val="toc 6"/>
    <w:basedOn w:val="1"/>
    <w:next w:val="1"/>
    <w:qFormat/>
    <w:uiPriority w:val="0"/>
    <w:pPr>
      <w:ind w:left="1200"/>
    </w:pPr>
    <w:rPr>
      <w:rFonts w:asciiTheme="minorHAnsi" w:hAnsiTheme="minorHAnsi" w:cstheme="minorHAnsi"/>
      <w:sz w:val="18"/>
      <w:szCs w:val="18"/>
    </w:rPr>
  </w:style>
  <w:style w:type="paragraph" w:styleId="17">
    <w:name w:val="table of figures"/>
    <w:basedOn w:val="1"/>
    <w:next w:val="1"/>
    <w:qFormat/>
    <w:uiPriority w:val="99"/>
    <w:pPr>
      <w:ind w:left="200" w:leftChars="200" w:hanging="200" w:hangingChars="200"/>
    </w:pPr>
  </w:style>
  <w:style w:type="paragraph" w:styleId="18">
    <w:name w:val="toc 2"/>
    <w:basedOn w:val="1"/>
    <w:next w:val="1"/>
    <w:qFormat/>
    <w:uiPriority w:val="39"/>
    <w:pPr>
      <w:ind w:left="240"/>
    </w:pPr>
    <w:rPr>
      <w:rFonts w:asciiTheme="minorHAnsi" w:hAnsiTheme="minorHAnsi" w:cstheme="minorHAnsi"/>
      <w:smallCaps/>
      <w:sz w:val="20"/>
      <w:szCs w:val="20"/>
    </w:rPr>
  </w:style>
  <w:style w:type="paragraph" w:styleId="19">
    <w:name w:val="toc 9"/>
    <w:basedOn w:val="1"/>
    <w:next w:val="1"/>
    <w:qFormat/>
    <w:uiPriority w:val="0"/>
    <w:pPr>
      <w:ind w:left="1920"/>
    </w:pPr>
    <w:rPr>
      <w:rFonts w:asciiTheme="minorHAnsi" w:hAnsiTheme="minorHAnsi" w:cstheme="minorHAnsi"/>
      <w:sz w:val="18"/>
      <w:szCs w:val="18"/>
    </w:rPr>
  </w:style>
  <w:style w:type="paragraph" w:styleId="20">
    <w:name w:val="Normal (Web)"/>
    <w:basedOn w:val="1"/>
    <w:qFormat/>
    <w:uiPriority w:val="0"/>
    <w:rPr>
      <w:rFonts w:ascii="Calibri" w:hAnsi="Calibri" w:cs="Times New Roman"/>
    </w:rPr>
  </w:style>
  <w:style w:type="paragraph" w:styleId="21">
    <w:name w:val="Title"/>
    <w:basedOn w:val="1"/>
    <w:next w:val="1"/>
    <w:link w:val="36"/>
    <w:qFormat/>
    <w:uiPriority w:val="0"/>
    <w:pPr>
      <w:spacing w:before="240" w:after="60"/>
      <w:jc w:val="center"/>
      <w:outlineLvl w:val="0"/>
    </w:pPr>
    <w:rPr>
      <w:rFonts w:asciiTheme="majorHAnsi" w:hAnsiTheme="majorHAnsi" w:eastAsiaTheme="majorEastAsia" w:cstheme="majorBidi"/>
      <w:b/>
      <w:bCs/>
      <w:sz w:val="32"/>
      <w:szCs w:val="32"/>
    </w:rPr>
  </w:style>
  <w:style w:type="paragraph" w:styleId="22">
    <w:name w:val="annotation subject"/>
    <w:basedOn w:val="7"/>
    <w:next w:val="7"/>
    <w:link w:val="43"/>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basedOn w:val="25"/>
    <w:qFormat/>
    <w:uiPriority w:val="0"/>
    <w:rPr>
      <w:color w:val="954F72" w:themeColor="followedHyperlink"/>
      <w:u w:val="single"/>
      <w14:textFill>
        <w14:solidFill>
          <w14:schemeClr w14:val="folHlink"/>
        </w14:solidFill>
      </w14:textFill>
    </w:rPr>
  </w:style>
  <w:style w:type="character" w:styleId="28">
    <w:name w:val="Hyperlink"/>
    <w:basedOn w:val="25"/>
    <w:qFormat/>
    <w:uiPriority w:val="99"/>
    <w:rPr>
      <w:color w:val="0000FF"/>
      <w:u w:val="single"/>
    </w:rPr>
  </w:style>
  <w:style w:type="character" w:styleId="29">
    <w:name w:val="annotation reference"/>
    <w:basedOn w:val="25"/>
    <w:qFormat/>
    <w:uiPriority w:val="0"/>
    <w:rPr>
      <w:sz w:val="21"/>
      <w:szCs w:val="21"/>
    </w:rPr>
  </w:style>
  <w:style w:type="character" w:customStyle="1" w:styleId="30">
    <w:name w:val="font91"/>
    <w:basedOn w:val="25"/>
    <w:qFormat/>
    <w:uiPriority w:val="0"/>
    <w:rPr>
      <w:rFonts w:ascii="Arial" w:hAnsi="Arial" w:cs="Arial"/>
      <w:color w:val="000000"/>
      <w:sz w:val="16"/>
      <w:szCs w:val="16"/>
      <w:u w:val="none"/>
    </w:rPr>
  </w:style>
  <w:style w:type="character" w:customStyle="1" w:styleId="31">
    <w:name w:val="font51"/>
    <w:basedOn w:val="25"/>
    <w:qFormat/>
    <w:uiPriority w:val="0"/>
    <w:rPr>
      <w:rFonts w:hint="eastAsia" w:ascii="宋体" w:hAnsi="宋体" w:eastAsia="宋体" w:cs="宋体"/>
      <w:color w:val="000000"/>
      <w:sz w:val="16"/>
      <w:szCs w:val="16"/>
      <w:u w:val="none"/>
    </w:rPr>
  </w:style>
  <w:style w:type="paragraph" w:customStyle="1" w:styleId="32">
    <w:name w:val="文字"/>
    <w:qFormat/>
    <w:uiPriority w:val="0"/>
    <w:pPr>
      <w:adjustRightInd w:val="0"/>
      <w:snapToGrid w:val="0"/>
      <w:spacing w:line="360" w:lineRule="auto"/>
      <w:ind w:firstLine="560" w:firstLineChars="200"/>
    </w:pPr>
    <w:rPr>
      <w:rFonts w:ascii="仿宋_GB2312" w:hAnsi="仿宋_GB2312" w:eastAsia="仿宋_GB2312" w:cs="仿宋_GB2312"/>
      <w:bCs/>
      <w:kern w:val="44"/>
      <w:sz w:val="28"/>
      <w:szCs w:val="28"/>
      <w:lang w:val="en-US" w:eastAsia="zh-CN" w:bidi="ar-SA"/>
    </w:rPr>
  </w:style>
  <w:style w:type="paragraph" w:styleId="33">
    <w:name w:val="List Paragraph"/>
    <w:basedOn w:val="1"/>
    <w:unhideWhenUsed/>
    <w:qFormat/>
    <w:uiPriority w:val="99"/>
    <w:pPr>
      <w:ind w:firstLine="420" w:firstLineChars="200"/>
    </w:pPr>
  </w:style>
  <w:style w:type="character" w:customStyle="1" w:styleId="34">
    <w:name w:val="标题 3 字符"/>
    <w:link w:val="4"/>
    <w:semiHidden/>
    <w:qFormat/>
    <w:uiPriority w:val="0"/>
    <w:rPr>
      <w:rFonts w:ascii="仿宋_GB2312" w:hAnsi="仿宋_GB2312" w:eastAsia="仿宋_GB2312" w:cs="仿宋_GB2312"/>
      <w:b/>
      <w:bCs/>
      <w:sz w:val="32"/>
      <w:szCs w:val="32"/>
      <w:lang w:val="en-US" w:eastAsia="zh-CN" w:bidi="ar-SA"/>
    </w:rPr>
  </w:style>
  <w:style w:type="character" w:customStyle="1" w:styleId="35">
    <w:name w:val="未处理的提及1"/>
    <w:basedOn w:val="25"/>
    <w:semiHidden/>
    <w:unhideWhenUsed/>
    <w:qFormat/>
    <w:uiPriority w:val="99"/>
    <w:rPr>
      <w:color w:val="605E5C"/>
      <w:shd w:val="clear" w:color="auto" w:fill="E1DFDD"/>
    </w:rPr>
  </w:style>
  <w:style w:type="character" w:customStyle="1" w:styleId="36">
    <w:name w:val="标题 字符"/>
    <w:basedOn w:val="25"/>
    <w:link w:val="21"/>
    <w:qFormat/>
    <w:uiPriority w:val="0"/>
    <w:rPr>
      <w:rFonts w:asciiTheme="majorHAnsi" w:hAnsiTheme="majorHAnsi" w:eastAsiaTheme="majorEastAsia" w:cstheme="majorBidi"/>
      <w:b/>
      <w:bCs/>
      <w:sz w:val="32"/>
      <w:szCs w:val="32"/>
    </w:rPr>
  </w:style>
  <w:style w:type="character" w:customStyle="1" w:styleId="37">
    <w:name w:val="不明显强调1"/>
    <w:basedOn w:val="25"/>
    <w:qFormat/>
    <w:uiPriority w:val="19"/>
    <w:rPr>
      <w:i/>
      <w:iCs/>
      <w:color w:val="404040" w:themeColor="text1" w:themeTint="BF"/>
      <w14:textFill>
        <w14:solidFill>
          <w14:schemeClr w14:val="tx1">
            <w14:lumMod w14:val="75000"/>
            <w14:lumOff w14:val="25000"/>
          </w14:schemeClr>
        </w14:solidFill>
      </w14:textFill>
    </w:rPr>
  </w:style>
  <w:style w:type="paragraph" w:customStyle="1" w:styleId="38">
    <w:name w:val="表格文字"/>
    <w:basedOn w:val="32"/>
    <w:qFormat/>
    <w:uiPriority w:val="0"/>
    <w:pPr>
      <w:ind w:left="-2" w:leftChars="-1" w:firstLine="0" w:firstLineChars="0"/>
    </w:pPr>
  </w:style>
  <w:style w:type="character" w:customStyle="1" w:styleId="39">
    <w:name w:val="未处理的提及2"/>
    <w:basedOn w:val="25"/>
    <w:semiHidden/>
    <w:unhideWhenUsed/>
    <w:qFormat/>
    <w:uiPriority w:val="99"/>
    <w:rPr>
      <w:color w:val="605E5C"/>
      <w:shd w:val="clear" w:color="auto" w:fill="E1DFDD"/>
    </w:rPr>
  </w:style>
  <w:style w:type="table" w:customStyle="1" w:styleId="40">
    <w:name w:val="无格式表格 21"/>
    <w:basedOn w:val="2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41">
    <w:name w:val="批注框文本 字符"/>
    <w:basedOn w:val="25"/>
    <w:link w:val="11"/>
    <w:qFormat/>
    <w:uiPriority w:val="0"/>
    <w:rPr>
      <w:rFonts w:ascii="宋体" w:hAnsi="宋体" w:cs="宋体"/>
      <w:sz w:val="18"/>
      <w:szCs w:val="18"/>
    </w:rPr>
  </w:style>
  <w:style w:type="character" w:customStyle="1" w:styleId="42">
    <w:name w:val="批注文字 字符"/>
    <w:basedOn w:val="25"/>
    <w:link w:val="7"/>
    <w:qFormat/>
    <w:uiPriority w:val="0"/>
    <w:rPr>
      <w:rFonts w:ascii="宋体" w:hAnsi="宋体" w:cs="宋体"/>
      <w:sz w:val="24"/>
      <w:szCs w:val="24"/>
    </w:rPr>
  </w:style>
  <w:style w:type="character" w:customStyle="1" w:styleId="43">
    <w:name w:val="批注主题 字符"/>
    <w:basedOn w:val="42"/>
    <w:link w:val="22"/>
    <w:qFormat/>
    <w:uiPriority w:val="0"/>
    <w:rPr>
      <w:rFonts w:ascii="宋体" w:hAnsi="宋体" w:cs="宋体"/>
      <w:b/>
      <w:bCs/>
      <w:sz w:val="24"/>
      <w:szCs w:val="24"/>
    </w:rPr>
  </w:style>
  <w:style w:type="character" w:customStyle="1" w:styleId="44">
    <w:name w:val="标题 2 字符"/>
    <w:link w:val="3"/>
    <w:qFormat/>
    <w:uiPriority w:val="0"/>
    <w:rPr>
      <w:rFonts w:ascii="仿宋_GB2312" w:hAnsi="仿宋_GB2312" w:eastAsia="仿宋_GB2312" w:cs="仿宋_GB2312"/>
      <w:b/>
      <w:bCs/>
      <w:sz w:val="32"/>
      <w:szCs w:val="32"/>
      <w:lang w:val="en-US" w:eastAsia="zh-CN" w:bidi="ar-SA"/>
    </w:rPr>
  </w:style>
  <w:style w:type="table" w:customStyle="1" w:styleId="45">
    <w:name w:val="清单表 3 - 着色 11"/>
    <w:basedOn w:val="23"/>
    <w:qFormat/>
    <w:uiPriority w:val="48"/>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14:textFill>
          <w14:solidFill>
            <w14:schemeClr w14:val="bg1"/>
          </w14:solidFill>
        </w14:textFill>
      </w:rPr>
      <w:tcPr>
        <w:shd w:val="clear" w:color="auto" w:fill="5B9BD5" w:themeFill="accent1"/>
      </w:tcPr>
    </w:tblStylePr>
    <w:tblStylePr w:type="lastRow">
      <w:rPr>
        <w:b/>
        <w:bCs/>
      </w:rPr>
      <w:tcPr>
        <w:tcBorders>
          <w:top w:val="double" w:color="5B9BD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1" w:sz="4" w:space="0"/>
          <w:right w:val="single" w:color="5B9BD5" w:themeColor="accent1" w:sz="4" w:space="0"/>
        </w:tcBorders>
      </w:tcPr>
    </w:tblStylePr>
    <w:tblStylePr w:type="band1Horz">
      <w:tcPr>
        <w:tcBorders>
          <w:top w:val="single" w:color="5B9BD5" w:themeColor="accent1" w:sz="4" w:space="0"/>
          <w:bottom w:val="single" w:color="5B9BD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1" w:sz="4" w:space="0"/>
          <w:left w:val="nil"/>
        </w:tcBorders>
      </w:tcPr>
    </w:tblStylePr>
    <w:tblStylePr w:type="swCell">
      <w:tcPr>
        <w:tcBorders>
          <w:top w:val="double" w:color="5B9BD5" w:themeColor="accent1" w:sz="4" w:space="0"/>
          <w:right w:val="nil"/>
        </w:tcBorders>
      </w:tcPr>
    </w:tblStylePr>
  </w:style>
  <w:style w:type="character" w:customStyle="1" w:styleId="46">
    <w:name w:val="未处理的提及3"/>
    <w:basedOn w:val="25"/>
    <w:semiHidden/>
    <w:unhideWhenUsed/>
    <w:qFormat/>
    <w:uiPriority w:val="99"/>
    <w:rPr>
      <w:color w:val="605E5C"/>
      <w:shd w:val="clear" w:color="auto" w:fill="E1DFDD"/>
    </w:rPr>
  </w:style>
  <w:style w:type="character" w:customStyle="1" w:styleId="47">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C3BAC36-F210-9F4C-9C50-1EBF9DC4E1A4}">
  <ds:schemaRefs/>
</ds:datastoreItem>
</file>

<file path=docProps/app.xml><?xml version="1.0" encoding="utf-8"?>
<Properties xmlns="http://schemas.openxmlformats.org/officeDocument/2006/extended-properties" xmlns:vt="http://schemas.openxmlformats.org/officeDocument/2006/docPropsVTypes">
  <Template>Normal.dotm</Template>
  <Company>集团总部</Company>
  <Pages>9</Pages>
  <Words>5331</Words>
  <Characters>6408</Characters>
  <Lines>62</Lines>
  <Paragraphs>17</Paragraphs>
  <TotalTime>3</TotalTime>
  <ScaleCrop>false</ScaleCrop>
  <LinksUpToDate>false</LinksUpToDate>
  <CharactersWithSpaces>6459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2025-03-16T05:36:00Z</dcterms:created>
  <dc:creator>任毅</dc:creator>
  <cp:lastModifiedBy>蓝天小云</cp:lastModifiedBy>
  <dcterms:modified xsi:type="dcterms:W3CDTF">2025-06-20T06:29:37Z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69B2ADB5A24B4895ACC8D6450E190A22</vt:lpwstr>
  </property>
  <property fmtid="{D5CDD505-2E9C-101B-9397-08002B2CF9AE}" pid="4" name="KSOTemplateDocerSaveRecord">
    <vt:lpwstr>eyJoZGlkIjoiYTAyYWMzNzNkNTc2NDA5ZjJhMjk3NmNmMDFlMDMyNGIiLCJ1c2VySWQiOiIzNTY3OTY0OTMifQ==</vt:lpwstr>
  </property>
</Properties>
</file>