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30334C">
      <w:pPr>
        <w:snapToGrid w:val="0"/>
        <w:spacing w:line="360" w:lineRule="auto"/>
        <w:ind w:firstLine="897"/>
        <w:jc w:val="both"/>
        <w:rPr>
          <w:rFonts w:ascii="黑体" w:hAnsi="黑体" w:eastAsia="黑体" w:cs="黑体"/>
          <w:b/>
          <w:bCs/>
          <w:sz w:val="44"/>
          <w:szCs w:val="52"/>
        </w:rPr>
      </w:pPr>
    </w:p>
    <w:p w14:paraId="1D726450">
      <w:pPr>
        <w:snapToGrid w:val="0"/>
        <w:spacing w:line="360" w:lineRule="auto"/>
        <w:ind w:firstLine="897"/>
        <w:jc w:val="both"/>
        <w:rPr>
          <w:rFonts w:ascii="黑体" w:hAnsi="黑体" w:eastAsia="黑体" w:cs="黑体"/>
          <w:b/>
          <w:bCs/>
          <w:sz w:val="44"/>
          <w:szCs w:val="52"/>
        </w:rPr>
      </w:pPr>
    </w:p>
    <w:p w14:paraId="189DC712">
      <w:pPr>
        <w:snapToGrid w:val="0"/>
        <w:spacing w:line="360" w:lineRule="auto"/>
        <w:ind w:firstLine="897"/>
        <w:jc w:val="both"/>
        <w:rPr>
          <w:rFonts w:ascii="黑体" w:hAnsi="黑体" w:eastAsia="黑体" w:cs="黑体"/>
          <w:b/>
          <w:bCs/>
          <w:sz w:val="44"/>
          <w:szCs w:val="52"/>
        </w:rPr>
      </w:pPr>
    </w:p>
    <w:p w14:paraId="3FC599BD">
      <w:pPr>
        <w:snapToGrid w:val="0"/>
        <w:spacing w:line="360" w:lineRule="auto"/>
        <w:ind w:firstLine="897"/>
        <w:jc w:val="both"/>
        <w:rPr>
          <w:rFonts w:ascii="黑体" w:hAnsi="黑体" w:eastAsia="黑体" w:cs="黑体"/>
          <w:b/>
          <w:bCs/>
          <w:sz w:val="44"/>
          <w:szCs w:val="52"/>
        </w:rPr>
      </w:pPr>
    </w:p>
    <w:p w14:paraId="00278D5D">
      <w:pPr>
        <w:snapToGrid w:val="0"/>
        <w:spacing w:line="360" w:lineRule="auto"/>
        <w:ind w:firstLine="897"/>
        <w:jc w:val="both"/>
        <w:rPr>
          <w:rFonts w:ascii="黑体" w:hAnsi="黑体" w:eastAsia="黑体" w:cs="黑体"/>
          <w:b/>
          <w:bCs/>
          <w:sz w:val="44"/>
          <w:szCs w:val="52"/>
        </w:rPr>
      </w:pPr>
    </w:p>
    <w:p w14:paraId="5D9F7C82">
      <w:pPr>
        <w:snapToGrid w:val="0"/>
        <w:spacing w:line="360" w:lineRule="auto"/>
        <w:ind w:firstLine="897"/>
        <w:jc w:val="both"/>
        <w:rPr>
          <w:rFonts w:ascii="黑体" w:hAnsi="黑体" w:eastAsia="黑体" w:cs="黑体"/>
          <w:b/>
          <w:bCs/>
          <w:sz w:val="44"/>
          <w:szCs w:val="52"/>
        </w:rPr>
      </w:pPr>
    </w:p>
    <w:p w14:paraId="6002290B">
      <w:pPr>
        <w:snapToGrid w:val="0"/>
        <w:spacing w:line="360" w:lineRule="auto"/>
        <w:ind w:firstLine="897"/>
        <w:jc w:val="center"/>
        <w:rPr>
          <w:rFonts w:ascii="黑体" w:hAnsi="黑体" w:eastAsia="黑体" w:cs="黑体"/>
          <w:b/>
          <w:bCs/>
          <w:sz w:val="44"/>
          <w:szCs w:val="52"/>
        </w:rPr>
      </w:pPr>
      <w:r>
        <w:rPr>
          <w:rFonts w:hint="eastAsia" w:ascii="黑体" w:hAnsi="黑体" w:eastAsia="黑体" w:cs="黑体"/>
          <w:b/>
          <w:bCs/>
          <w:sz w:val="44"/>
          <w:szCs w:val="52"/>
        </w:rPr>
        <w:t xml:space="preserve"> 每周政策速递</w:t>
      </w:r>
    </w:p>
    <w:p w14:paraId="49B54A9F">
      <w:pPr>
        <w:snapToGrid w:val="0"/>
        <w:spacing w:line="360" w:lineRule="auto"/>
        <w:ind w:firstLine="897"/>
        <w:jc w:val="center"/>
        <w:rPr>
          <w:rFonts w:ascii="黑体" w:hAnsi="黑体" w:eastAsia="黑体" w:cs="黑体"/>
          <w:b/>
          <w:bCs/>
          <w:sz w:val="44"/>
          <w:szCs w:val="52"/>
        </w:rPr>
      </w:pPr>
      <w:r>
        <w:rPr>
          <w:rFonts w:hint="eastAsia" w:ascii="黑体" w:hAnsi="黑体" w:eastAsia="黑体" w:cs="黑体"/>
          <w:b/>
          <w:bCs/>
          <w:sz w:val="44"/>
          <w:szCs w:val="52"/>
        </w:rPr>
        <w:t>（</w:t>
      </w:r>
      <w:r>
        <w:rPr>
          <w:rFonts w:hint="eastAsia" w:ascii="黑体" w:hAnsi="黑体" w:eastAsia="黑体" w:cs="黑体"/>
          <w:b/>
          <w:bCs/>
          <w:sz w:val="44"/>
          <w:szCs w:val="52"/>
          <w:lang w:val="en-US" w:eastAsia="zh-CN"/>
        </w:rPr>
        <w:t>6</w:t>
      </w:r>
      <w:r>
        <w:rPr>
          <w:rFonts w:hint="eastAsia" w:ascii="黑体" w:hAnsi="黑体" w:eastAsia="黑体" w:cs="黑体"/>
          <w:b/>
          <w:bCs/>
          <w:sz w:val="44"/>
          <w:szCs w:val="52"/>
        </w:rPr>
        <w:t>月</w:t>
      </w:r>
      <w:r>
        <w:rPr>
          <w:rFonts w:hint="eastAsia" w:ascii="黑体" w:hAnsi="黑体" w:eastAsia="黑体" w:cs="黑体"/>
          <w:b/>
          <w:bCs/>
          <w:sz w:val="44"/>
          <w:szCs w:val="52"/>
          <w:lang w:val="en-US" w:eastAsia="zh-CN"/>
        </w:rPr>
        <w:t>20</w:t>
      </w:r>
      <w:r>
        <w:rPr>
          <w:rFonts w:hint="eastAsia" w:ascii="黑体" w:hAnsi="黑体" w:eastAsia="黑体" w:cs="黑体"/>
          <w:b/>
          <w:bCs/>
          <w:sz w:val="44"/>
          <w:szCs w:val="52"/>
        </w:rPr>
        <w:t>日-</w:t>
      </w:r>
      <w:r>
        <w:rPr>
          <w:rFonts w:hint="eastAsia" w:ascii="黑体" w:hAnsi="黑体" w:eastAsia="黑体" w:cs="黑体"/>
          <w:b/>
          <w:bCs/>
          <w:sz w:val="44"/>
          <w:szCs w:val="52"/>
          <w:lang w:val="en-US" w:eastAsia="zh-CN"/>
        </w:rPr>
        <w:t>6</w:t>
      </w:r>
      <w:r>
        <w:rPr>
          <w:rFonts w:hint="eastAsia" w:ascii="黑体" w:hAnsi="黑体" w:eastAsia="黑体" w:cs="黑体"/>
          <w:b/>
          <w:bCs/>
          <w:sz w:val="44"/>
          <w:szCs w:val="52"/>
        </w:rPr>
        <w:t>月</w:t>
      </w:r>
      <w:r>
        <w:rPr>
          <w:rFonts w:hint="eastAsia" w:ascii="黑体" w:hAnsi="黑体" w:eastAsia="黑体" w:cs="黑体"/>
          <w:b/>
          <w:bCs/>
          <w:sz w:val="44"/>
          <w:szCs w:val="52"/>
          <w:lang w:val="en-US" w:eastAsia="zh-CN"/>
        </w:rPr>
        <w:t>27</w:t>
      </w:r>
      <w:r>
        <w:rPr>
          <w:rFonts w:hint="eastAsia" w:ascii="黑体" w:hAnsi="黑体" w:eastAsia="黑体" w:cs="黑体"/>
          <w:b/>
          <w:bCs/>
          <w:sz w:val="44"/>
          <w:szCs w:val="52"/>
        </w:rPr>
        <w:t>日）</w:t>
      </w:r>
    </w:p>
    <w:p w14:paraId="555F551E">
      <w:pPr>
        <w:snapToGrid w:val="0"/>
        <w:spacing w:line="360" w:lineRule="auto"/>
        <w:ind w:firstLine="720"/>
        <w:jc w:val="center"/>
        <w:rPr>
          <w:sz w:val="36"/>
          <w:szCs w:val="44"/>
        </w:rPr>
      </w:pPr>
    </w:p>
    <w:p w14:paraId="1BBA3328">
      <w:pPr>
        <w:snapToGrid w:val="0"/>
        <w:spacing w:line="360" w:lineRule="auto"/>
        <w:ind w:firstLine="720"/>
        <w:jc w:val="center"/>
        <w:rPr>
          <w:sz w:val="36"/>
          <w:szCs w:val="44"/>
        </w:rPr>
      </w:pPr>
    </w:p>
    <w:p w14:paraId="47ECA664">
      <w:pPr>
        <w:snapToGrid w:val="0"/>
        <w:spacing w:line="360" w:lineRule="auto"/>
        <w:ind w:firstLine="720"/>
        <w:jc w:val="center"/>
        <w:rPr>
          <w:sz w:val="36"/>
          <w:szCs w:val="44"/>
        </w:rPr>
      </w:pPr>
    </w:p>
    <w:p w14:paraId="621928D3">
      <w:pPr>
        <w:snapToGrid w:val="0"/>
        <w:spacing w:line="360" w:lineRule="auto"/>
        <w:ind w:firstLine="720"/>
        <w:jc w:val="center"/>
        <w:rPr>
          <w:sz w:val="36"/>
          <w:szCs w:val="44"/>
        </w:rPr>
      </w:pPr>
    </w:p>
    <w:p w14:paraId="172DDBCD">
      <w:pPr>
        <w:snapToGrid w:val="0"/>
        <w:spacing w:line="360" w:lineRule="auto"/>
        <w:jc w:val="center"/>
        <w:rPr>
          <w:sz w:val="28"/>
          <w:szCs w:val="36"/>
        </w:rPr>
      </w:pPr>
    </w:p>
    <w:p w14:paraId="4F7F58AE">
      <w:pPr>
        <w:snapToGrid w:val="0"/>
        <w:spacing w:line="360" w:lineRule="auto"/>
        <w:jc w:val="center"/>
        <w:rPr>
          <w:sz w:val="28"/>
          <w:szCs w:val="36"/>
        </w:rPr>
      </w:pPr>
    </w:p>
    <w:p w14:paraId="0B76DE71">
      <w:pPr>
        <w:snapToGrid w:val="0"/>
        <w:spacing w:line="360" w:lineRule="auto"/>
        <w:jc w:val="center"/>
        <w:rPr>
          <w:sz w:val="28"/>
          <w:szCs w:val="36"/>
        </w:rPr>
      </w:pPr>
    </w:p>
    <w:p w14:paraId="24C487AA">
      <w:pPr>
        <w:snapToGrid w:val="0"/>
        <w:spacing w:line="360" w:lineRule="auto"/>
        <w:jc w:val="center"/>
        <w:rPr>
          <w:sz w:val="28"/>
          <w:szCs w:val="36"/>
        </w:rPr>
      </w:pPr>
    </w:p>
    <w:p w14:paraId="012ECE2B">
      <w:pPr>
        <w:snapToGrid w:val="0"/>
        <w:spacing w:line="360" w:lineRule="auto"/>
        <w:jc w:val="center"/>
        <w:rPr>
          <w:sz w:val="28"/>
          <w:szCs w:val="36"/>
        </w:rPr>
      </w:pPr>
    </w:p>
    <w:p w14:paraId="50B34A26">
      <w:pPr>
        <w:snapToGrid w:val="0"/>
        <w:spacing w:line="360" w:lineRule="auto"/>
        <w:jc w:val="center"/>
        <w:rPr>
          <w:sz w:val="28"/>
          <w:szCs w:val="36"/>
        </w:rPr>
      </w:pPr>
    </w:p>
    <w:p w14:paraId="5125022F">
      <w:pPr>
        <w:snapToGrid w:val="0"/>
        <w:spacing w:line="360" w:lineRule="auto"/>
        <w:jc w:val="center"/>
        <w:rPr>
          <w:sz w:val="28"/>
          <w:szCs w:val="36"/>
        </w:rPr>
      </w:pPr>
    </w:p>
    <w:p w14:paraId="41EA7610">
      <w:pPr>
        <w:snapToGrid w:val="0"/>
        <w:spacing w:line="360" w:lineRule="auto"/>
        <w:ind w:firstLine="560"/>
        <w:jc w:val="both"/>
      </w:pPr>
    </w:p>
    <w:p w14:paraId="7E4363B5">
      <w:pPr>
        <w:pStyle w:val="2"/>
        <w:jc w:val="both"/>
        <w:sectPr>
          <w:pgSz w:w="11906" w:h="16838"/>
          <w:pgMar w:top="1440" w:right="1800" w:bottom="1440" w:left="1800" w:header="851" w:footer="992" w:gutter="0"/>
          <w:cols w:space="425" w:num="1"/>
          <w:docGrid w:type="lines" w:linePitch="312" w:charSpace="0"/>
        </w:sectPr>
      </w:pPr>
    </w:p>
    <w:p w14:paraId="043E20BD">
      <w:pPr>
        <w:pStyle w:val="2"/>
        <w:jc w:val="both"/>
      </w:pPr>
      <w:bookmarkStart w:id="0" w:name="_Toc10055"/>
      <w:r>
        <w:rPr>
          <w:rFonts w:hint="eastAsia"/>
        </w:rPr>
        <w:t>目录</w:t>
      </w:r>
      <w:bookmarkEnd w:id="0"/>
    </w:p>
    <w:p w14:paraId="30C24C8A">
      <w:pPr>
        <w:pStyle w:val="15"/>
        <w:tabs>
          <w:tab w:val="right" w:leader="dot" w:pos="8306"/>
          <w:tab w:val="clear" w:pos="8296"/>
        </w:tabs>
      </w:pPr>
      <w:r>
        <w:rPr>
          <w:rFonts w:ascii="微软雅黑" w:hAnsi="微软雅黑" w:eastAsia="微软雅黑"/>
          <w:sz w:val="21"/>
          <w:szCs w:val="21"/>
        </w:rPr>
        <w:fldChar w:fldCharType="begin"/>
      </w:r>
      <w:r>
        <w:rPr>
          <w:rFonts w:ascii="微软雅黑" w:hAnsi="微软雅黑" w:eastAsia="微软雅黑"/>
          <w:sz w:val="21"/>
          <w:szCs w:val="21"/>
        </w:rPr>
        <w:instrText xml:space="preserve"> TOC \o "1-3" \h \z \u </w:instrText>
      </w:r>
      <w:r>
        <w:rPr>
          <w:rFonts w:ascii="微软雅黑" w:hAnsi="微软雅黑" w:eastAsia="微软雅黑"/>
          <w:sz w:val="21"/>
          <w:szCs w:val="21"/>
        </w:rPr>
        <w:fldChar w:fldCharType="separate"/>
      </w:r>
      <w:r>
        <w:rPr>
          <w:rFonts w:ascii="微软雅黑" w:hAnsi="微软雅黑" w:eastAsia="微软雅黑"/>
          <w:szCs w:val="21"/>
        </w:rPr>
        <w:fldChar w:fldCharType="begin"/>
      </w:r>
      <w:r>
        <w:rPr>
          <w:rFonts w:ascii="微软雅黑" w:hAnsi="微软雅黑" w:eastAsia="微软雅黑"/>
          <w:szCs w:val="21"/>
        </w:rPr>
        <w:instrText xml:space="preserve"> HYPERLINK \l _Toc10055 </w:instrText>
      </w:r>
      <w:r>
        <w:rPr>
          <w:rFonts w:ascii="微软雅黑" w:hAnsi="微软雅黑" w:eastAsia="微软雅黑"/>
          <w:szCs w:val="21"/>
        </w:rPr>
        <w:fldChar w:fldCharType="separate"/>
      </w:r>
      <w:r>
        <w:rPr>
          <w:rFonts w:hint="eastAsia"/>
        </w:rPr>
        <w:t>目录</w:t>
      </w:r>
      <w:r>
        <w:tab/>
      </w:r>
      <w:r>
        <w:fldChar w:fldCharType="begin"/>
      </w:r>
      <w:r>
        <w:instrText xml:space="preserve"> PAGEREF _Toc10055 \h </w:instrText>
      </w:r>
      <w:r>
        <w:fldChar w:fldCharType="separate"/>
      </w:r>
      <w:r>
        <w:t>1</w:t>
      </w:r>
      <w:r>
        <w:fldChar w:fldCharType="end"/>
      </w:r>
      <w:r>
        <w:rPr>
          <w:rFonts w:ascii="微软雅黑" w:hAnsi="微软雅黑" w:eastAsia="微软雅黑"/>
          <w:szCs w:val="21"/>
        </w:rPr>
        <w:fldChar w:fldCharType="end"/>
      </w:r>
    </w:p>
    <w:p w14:paraId="55B40DE9">
      <w:pPr>
        <w:pStyle w:val="15"/>
        <w:tabs>
          <w:tab w:val="right" w:leader="dot" w:pos="8306"/>
          <w:tab w:val="clear" w:pos="8296"/>
        </w:tabs>
      </w:pPr>
      <w:r>
        <w:rPr>
          <w:rFonts w:ascii="微软雅黑" w:hAnsi="微软雅黑" w:eastAsia="微软雅黑"/>
          <w:szCs w:val="28"/>
        </w:rPr>
        <w:fldChar w:fldCharType="begin"/>
      </w:r>
      <w:r>
        <w:rPr>
          <w:rFonts w:ascii="微软雅黑" w:hAnsi="微软雅黑" w:eastAsia="微软雅黑"/>
          <w:szCs w:val="28"/>
        </w:rPr>
        <w:instrText xml:space="preserve"> HYPERLINK \l _Toc19021 </w:instrText>
      </w:r>
      <w:r>
        <w:rPr>
          <w:rFonts w:ascii="微软雅黑" w:hAnsi="微软雅黑" w:eastAsia="微软雅黑"/>
          <w:szCs w:val="28"/>
        </w:rPr>
        <w:fldChar w:fldCharType="separate"/>
      </w:r>
      <w:r>
        <w:rPr>
          <w:rFonts w:hint="eastAsia"/>
        </w:rPr>
        <w:t>重点.关注</w:t>
      </w:r>
      <w:r>
        <w:tab/>
      </w:r>
      <w:r>
        <w:fldChar w:fldCharType="begin"/>
      </w:r>
      <w:r>
        <w:instrText xml:space="preserve"> PAGEREF _Toc19021 \h </w:instrText>
      </w:r>
      <w:r>
        <w:fldChar w:fldCharType="separate"/>
      </w:r>
      <w:r>
        <w:t>2</w:t>
      </w:r>
      <w:r>
        <w:fldChar w:fldCharType="end"/>
      </w:r>
      <w:r>
        <w:rPr>
          <w:rFonts w:ascii="微软雅黑" w:hAnsi="微软雅黑" w:eastAsia="微软雅黑"/>
          <w:szCs w:val="28"/>
        </w:rPr>
        <w:fldChar w:fldCharType="end"/>
      </w:r>
    </w:p>
    <w:p w14:paraId="30A00B42">
      <w:pPr>
        <w:pStyle w:val="10"/>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_Toc21919 </w:instrText>
      </w:r>
      <w:r>
        <w:rPr>
          <w:rFonts w:ascii="微软雅黑" w:hAnsi="微软雅黑" w:eastAsia="微软雅黑"/>
          <w:szCs w:val="28"/>
        </w:rPr>
        <w:fldChar w:fldCharType="separate"/>
      </w:r>
      <w:r>
        <w:rPr>
          <w:rFonts w:hint="default"/>
          <w:lang w:val="en-US" w:eastAsia="zh-CN"/>
        </w:rPr>
        <w:t xml:space="preserve">(1) </w:t>
      </w:r>
      <w:r>
        <w:rPr>
          <w:rFonts w:hint="eastAsia"/>
        </w:rPr>
        <w:t>2025年中央财政支持</w:t>
      </w:r>
      <w:r>
        <w:rPr>
          <w:rFonts w:hint="eastAsia"/>
          <w:lang w:eastAsia="zh-CN"/>
        </w:rPr>
        <w:t>，</w:t>
      </w:r>
      <w:r>
        <w:rPr>
          <w:rFonts w:hint="eastAsia"/>
        </w:rPr>
        <w:t>普惠金融发展示范区名单公布</w:t>
      </w:r>
      <w:r>
        <w:tab/>
      </w:r>
      <w:r>
        <w:fldChar w:fldCharType="begin"/>
      </w:r>
      <w:r>
        <w:instrText xml:space="preserve"> PAGEREF _Toc21919 \h </w:instrText>
      </w:r>
      <w:r>
        <w:fldChar w:fldCharType="separate"/>
      </w:r>
      <w:r>
        <w:t>2</w:t>
      </w:r>
      <w:r>
        <w:fldChar w:fldCharType="end"/>
      </w:r>
      <w:r>
        <w:rPr>
          <w:rFonts w:ascii="微软雅黑" w:hAnsi="微软雅黑" w:eastAsia="微软雅黑"/>
          <w:szCs w:val="28"/>
        </w:rPr>
        <w:fldChar w:fldCharType="end"/>
      </w:r>
    </w:p>
    <w:p w14:paraId="26E59048">
      <w:pPr>
        <w:pStyle w:val="15"/>
        <w:tabs>
          <w:tab w:val="right" w:leader="dot" w:pos="8306"/>
          <w:tab w:val="clear" w:pos="8296"/>
        </w:tabs>
      </w:pPr>
      <w:r>
        <w:rPr>
          <w:rFonts w:ascii="微软雅黑" w:hAnsi="微软雅黑" w:eastAsia="微软雅黑"/>
          <w:szCs w:val="28"/>
        </w:rPr>
        <w:fldChar w:fldCharType="begin"/>
      </w:r>
      <w:r>
        <w:rPr>
          <w:rFonts w:ascii="微软雅黑" w:hAnsi="微软雅黑" w:eastAsia="微软雅黑"/>
          <w:szCs w:val="28"/>
        </w:rPr>
        <w:instrText xml:space="preserve"> HYPERLINK \l _Toc26921 </w:instrText>
      </w:r>
      <w:r>
        <w:rPr>
          <w:rFonts w:ascii="微软雅黑" w:hAnsi="微软雅黑" w:eastAsia="微软雅黑"/>
          <w:szCs w:val="28"/>
        </w:rPr>
        <w:fldChar w:fldCharType="separate"/>
      </w:r>
      <w:r>
        <w:rPr>
          <w:rFonts w:hint="eastAsia"/>
        </w:rPr>
        <w:t>政策.速递</w:t>
      </w:r>
      <w:r>
        <w:tab/>
      </w:r>
      <w:r>
        <w:fldChar w:fldCharType="begin"/>
      </w:r>
      <w:r>
        <w:instrText xml:space="preserve"> PAGEREF _Toc26921 \h </w:instrText>
      </w:r>
      <w:r>
        <w:fldChar w:fldCharType="separate"/>
      </w:r>
      <w:r>
        <w:t>2</w:t>
      </w:r>
      <w:r>
        <w:fldChar w:fldCharType="end"/>
      </w:r>
      <w:r>
        <w:rPr>
          <w:rFonts w:ascii="微软雅黑" w:hAnsi="微软雅黑" w:eastAsia="微软雅黑"/>
          <w:szCs w:val="28"/>
        </w:rPr>
        <w:fldChar w:fldCharType="end"/>
      </w:r>
    </w:p>
    <w:p w14:paraId="163A19CA">
      <w:pPr>
        <w:pStyle w:val="1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_Toc5625 </w:instrText>
      </w:r>
      <w:r>
        <w:rPr>
          <w:rFonts w:ascii="微软雅黑" w:hAnsi="微软雅黑" w:eastAsia="微软雅黑"/>
          <w:szCs w:val="28"/>
        </w:rPr>
        <w:fldChar w:fldCharType="separate"/>
      </w:r>
      <w:r>
        <w:rPr>
          <w:rFonts w:hint="eastAsia"/>
        </w:rPr>
        <w:t>中央</w:t>
      </w:r>
      <w:r>
        <w:tab/>
      </w:r>
      <w:r>
        <w:fldChar w:fldCharType="begin"/>
      </w:r>
      <w:r>
        <w:instrText xml:space="preserve"> PAGEREF _Toc5625 \h </w:instrText>
      </w:r>
      <w:r>
        <w:fldChar w:fldCharType="separate"/>
      </w:r>
      <w:r>
        <w:t>2</w:t>
      </w:r>
      <w:r>
        <w:fldChar w:fldCharType="end"/>
      </w:r>
      <w:r>
        <w:rPr>
          <w:rFonts w:ascii="微软雅黑" w:hAnsi="微软雅黑" w:eastAsia="微软雅黑"/>
          <w:szCs w:val="28"/>
        </w:rPr>
        <w:fldChar w:fldCharType="end"/>
      </w:r>
    </w:p>
    <w:p w14:paraId="0B788BC9">
      <w:pPr>
        <w:pStyle w:val="10"/>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_Toc372 </w:instrText>
      </w:r>
      <w:r>
        <w:rPr>
          <w:rFonts w:ascii="微软雅黑" w:hAnsi="微软雅黑" w:eastAsia="微软雅黑"/>
          <w:szCs w:val="28"/>
        </w:rPr>
        <w:fldChar w:fldCharType="separate"/>
      </w:r>
      <w:r>
        <w:rPr>
          <w:rFonts w:hint="default"/>
        </w:rPr>
        <w:t xml:space="preserve">(1) </w:t>
      </w:r>
      <w:r>
        <w:rPr>
          <w:rFonts w:hint="eastAsia"/>
        </w:rPr>
        <w:t>《关于开展2025年度智能工厂梯度培育行动的通知》</w:t>
      </w:r>
      <w:r>
        <w:tab/>
      </w:r>
      <w:r>
        <w:fldChar w:fldCharType="begin"/>
      </w:r>
      <w:r>
        <w:instrText xml:space="preserve"> PAGEREF _Toc372 \h </w:instrText>
      </w:r>
      <w:r>
        <w:fldChar w:fldCharType="separate"/>
      </w:r>
      <w:r>
        <w:t>2</w:t>
      </w:r>
      <w:r>
        <w:fldChar w:fldCharType="end"/>
      </w:r>
      <w:r>
        <w:rPr>
          <w:rFonts w:ascii="微软雅黑" w:hAnsi="微软雅黑" w:eastAsia="微软雅黑"/>
          <w:szCs w:val="28"/>
        </w:rPr>
        <w:fldChar w:fldCharType="end"/>
      </w:r>
    </w:p>
    <w:p w14:paraId="11C9ADDD">
      <w:pPr>
        <w:pStyle w:val="10"/>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_Toc12465 </w:instrText>
      </w:r>
      <w:r>
        <w:rPr>
          <w:rFonts w:ascii="微软雅黑" w:hAnsi="微软雅黑" w:eastAsia="微软雅黑"/>
          <w:szCs w:val="28"/>
        </w:rPr>
        <w:fldChar w:fldCharType="separate"/>
      </w:r>
      <w:r>
        <w:rPr>
          <w:rFonts w:hint="default"/>
        </w:rPr>
        <w:t xml:space="preserve">(2) </w:t>
      </w:r>
      <w:r>
        <w:rPr>
          <w:rFonts w:hint="eastAsia"/>
        </w:rPr>
        <w:t>《黄金产业高质量发展实施方案（2025—2027年）》</w:t>
      </w:r>
      <w:r>
        <w:tab/>
      </w:r>
      <w:r>
        <w:fldChar w:fldCharType="begin"/>
      </w:r>
      <w:r>
        <w:instrText xml:space="preserve"> PAGEREF _Toc12465 \h </w:instrText>
      </w:r>
      <w:r>
        <w:fldChar w:fldCharType="separate"/>
      </w:r>
      <w:r>
        <w:t>2</w:t>
      </w:r>
      <w:r>
        <w:fldChar w:fldCharType="end"/>
      </w:r>
      <w:r>
        <w:rPr>
          <w:rFonts w:ascii="微软雅黑" w:hAnsi="微软雅黑" w:eastAsia="微软雅黑"/>
          <w:szCs w:val="28"/>
        </w:rPr>
        <w:fldChar w:fldCharType="end"/>
      </w:r>
    </w:p>
    <w:p w14:paraId="0BDAAB57">
      <w:pPr>
        <w:pStyle w:val="10"/>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_Toc14239 </w:instrText>
      </w:r>
      <w:r>
        <w:rPr>
          <w:rFonts w:ascii="微软雅黑" w:hAnsi="微软雅黑" w:eastAsia="微软雅黑"/>
          <w:szCs w:val="28"/>
        </w:rPr>
        <w:fldChar w:fldCharType="separate"/>
      </w:r>
      <w:r>
        <w:rPr>
          <w:rFonts w:hint="default"/>
        </w:rPr>
        <w:t xml:space="preserve">(3) </w:t>
      </w:r>
      <w:r>
        <w:rPr>
          <w:rFonts w:hint="eastAsia"/>
        </w:rPr>
        <w:t>《关于金融支持提振和扩大消费的指导意见》</w:t>
      </w:r>
      <w:r>
        <w:tab/>
      </w:r>
      <w:r>
        <w:fldChar w:fldCharType="begin"/>
      </w:r>
      <w:r>
        <w:instrText xml:space="preserve"> PAGEREF _Toc14239 \h </w:instrText>
      </w:r>
      <w:r>
        <w:fldChar w:fldCharType="separate"/>
      </w:r>
      <w:r>
        <w:t>3</w:t>
      </w:r>
      <w:r>
        <w:fldChar w:fldCharType="end"/>
      </w:r>
      <w:r>
        <w:rPr>
          <w:rFonts w:ascii="微软雅黑" w:hAnsi="微软雅黑" w:eastAsia="微软雅黑"/>
          <w:szCs w:val="28"/>
        </w:rPr>
        <w:fldChar w:fldCharType="end"/>
      </w:r>
    </w:p>
    <w:p w14:paraId="7B4D9DCE">
      <w:pPr>
        <w:pStyle w:val="10"/>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_Toc26584 </w:instrText>
      </w:r>
      <w:r>
        <w:rPr>
          <w:rFonts w:ascii="微软雅黑" w:hAnsi="微软雅黑" w:eastAsia="微软雅黑"/>
          <w:szCs w:val="28"/>
        </w:rPr>
        <w:fldChar w:fldCharType="separate"/>
      </w:r>
      <w:r>
        <w:rPr>
          <w:rFonts w:hint="default"/>
        </w:rPr>
        <w:t xml:space="preserve">(4) </w:t>
      </w:r>
      <w:r>
        <w:rPr>
          <w:rFonts w:hint="eastAsia"/>
        </w:rPr>
        <w:t>《银行业保险业普惠金融高质量发展实施方案》</w:t>
      </w:r>
      <w:r>
        <w:tab/>
      </w:r>
      <w:r>
        <w:fldChar w:fldCharType="begin"/>
      </w:r>
      <w:r>
        <w:instrText xml:space="preserve"> PAGEREF _Toc26584 \h </w:instrText>
      </w:r>
      <w:r>
        <w:fldChar w:fldCharType="separate"/>
      </w:r>
      <w:r>
        <w:t>3</w:t>
      </w:r>
      <w:r>
        <w:fldChar w:fldCharType="end"/>
      </w:r>
      <w:r>
        <w:rPr>
          <w:rFonts w:ascii="微软雅黑" w:hAnsi="微软雅黑" w:eastAsia="微软雅黑"/>
          <w:szCs w:val="28"/>
        </w:rPr>
        <w:fldChar w:fldCharType="end"/>
      </w:r>
    </w:p>
    <w:p w14:paraId="112AE811">
      <w:pPr>
        <w:pStyle w:val="1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_Toc16210 </w:instrText>
      </w:r>
      <w:r>
        <w:rPr>
          <w:rFonts w:ascii="微软雅黑" w:hAnsi="微软雅黑" w:eastAsia="微软雅黑"/>
          <w:szCs w:val="28"/>
        </w:rPr>
        <w:fldChar w:fldCharType="separate"/>
      </w:r>
      <w:r>
        <w:rPr>
          <w:rFonts w:hint="eastAsia"/>
        </w:rPr>
        <w:t>湖北省</w:t>
      </w:r>
      <w:r>
        <w:tab/>
      </w:r>
      <w:r>
        <w:fldChar w:fldCharType="begin"/>
      </w:r>
      <w:r>
        <w:instrText xml:space="preserve"> PAGEREF _Toc16210 \h </w:instrText>
      </w:r>
      <w:r>
        <w:fldChar w:fldCharType="separate"/>
      </w:r>
      <w:r>
        <w:t>4</w:t>
      </w:r>
      <w:r>
        <w:fldChar w:fldCharType="end"/>
      </w:r>
      <w:r>
        <w:rPr>
          <w:rFonts w:ascii="微软雅黑" w:hAnsi="微软雅黑" w:eastAsia="微软雅黑"/>
          <w:szCs w:val="28"/>
        </w:rPr>
        <w:fldChar w:fldCharType="end"/>
      </w:r>
    </w:p>
    <w:p w14:paraId="7C5403CC">
      <w:pPr>
        <w:pStyle w:val="10"/>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_Toc6888 </w:instrText>
      </w:r>
      <w:r>
        <w:rPr>
          <w:rFonts w:ascii="微软雅黑" w:hAnsi="微软雅黑" w:eastAsia="微软雅黑"/>
          <w:szCs w:val="28"/>
        </w:rPr>
        <w:fldChar w:fldCharType="separate"/>
      </w:r>
      <w:r>
        <w:rPr>
          <w:rFonts w:hint="default"/>
        </w:rPr>
        <w:t xml:space="preserve">(1) </w:t>
      </w:r>
      <w:r>
        <w:rPr>
          <w:rFonts w:hint="eastAsia"/>
        </w:rPr>
        <w:t>《湖北省人民政府办公厅关于新发展阶段创新招商引资工作的指导意见》</w:t>
      </w:r>
      <w:r>
        <w:tab/>
      </w:r>
      <w:r>
        <w:fldChar w:fldCharType="begin"/>
      </w:r>
      <w:r>
        <w:instrText xml:space="preserve"> PAGEREF _Toc6888 \h </w:instrText>
      </w:r>
      <w:r>
        <w:fldChar w:fldCharType="separate"/>
      </w:r>
      <w:r>
        <w:t>4</w:t>
      </w:r>
      <w:r>
        <w:fldChar w:fldCharType="end"/>
      </w:r>
      <w:r>
        <w:rPr>
          <w:rFonts w:ascii="微软雅黑" w:hAnsi="微软雅黑" w:eastAsia="微软雅黑"/>
          <w:szCs w:val="28"/>
        </w:rPr>
        <w:fldChar w:fldCharType="end"/>
      </w:r>
    </w:p>
    <w:p w14:paraId="51220A36">
      <w:pPr>
        <w:pStyle w:val="10"/>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_Toc21192 </w:instrText>
      </w:r>
      <w:r>
        <w:rPr>
          <w:rFonts w:ascii="微软雅黑" w:hAnsi="微软雅黑" w:eastAsia="微软雅黑"/>
          <w:szCs w:val="28"/>
        </w:rPr>
        <w:fldChar w:fldCharType="separate"/>
      </w:r>
      <w:r>
        <w:rPr>
          <w:rFonts w:hint="default"/>
        </w:rPr>
        <w:t xml:space="preserve">(2) </w:t>
      </w:r>
      <w:r>
        <w:rPr>
          <w:rFonts w:hint="eastAsia"/>
        </w:rPr>
        <w:t>《关于组织开展2025年度“61020”科技创新成果推荐工作的通知》</w:t>
      </w:r>
      <w:r>
        <w:tab/>
      </w:r>
      <w:r>
        <w:fldChar w:fldCharType="begin"/>
      </w:r>
      <w:r>
        <w:instrText xml:space="preserve"> PAGEREF _Toc21192 \h </w:instrText>
      </w:r>
      <w:r>
        <w:fldChar w:fldCharType="separate"/>
      </w:r>
      <w:r>
        <w:t>4</w:t>
      </w:r>
      <w:r>
        <w:fldChar w:fldCharType="end"/>
      </w:r>
      <w:r>
        <w:rPr>
          <w:rFonts w:ascii="微软雅黑" w:hAnsi="微软雅黑" w:eastAsia="微软雅黑"/>
          <w:szCs w:val="28"/>
        </w:rPr>
        <w:fldChar w:fldCharType="end"/>
      </w:r>
    </w:p>
    <w:p w14:paraId="04E0B6E2">
      <w:pPr>
        <w:pStyle w:val="10"/>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_Toc14641 </w:instrText>
      </w:r>
      <w:r>
        <w:rPr>
          <w:rFonts w:ascii="微软雅黑" w:hAnsi="微软雅黑" w:eastAsia="微软雅黑"/>
          <w:szCs w:val="28"/>
        </w:rPr>
        <w:fldChar w:fldCharType="separate"/>
      </w:r>
      <w:r>
        <w:rPr>
          <w:rFonts w:hint="default"/>
        </w:rPr>
        <w:t xml:space="preserve">(3) </w:t>
      </w:r>
      <w:r>
        <w:rPr>
          <w:rFonts w:hint="eastAsia"/>
        </w:rPr>
        <w:t>《关于做好2025年“卓越工程师壮大行动”卓越工程师引进专项申报推荐工作的通知》</w:t>
      </w:r>
      <w:r>
        <w:tab/>
      </w:r>
      <w:r>
        <w:fldChar w:fldCharType="begin"/>
      </w:r>
      <w:r>
        <w:instrText xml:space="preserve"> PAGEREF _Toc14641 \h </w:instrText>
      </w:r>
      <w:r>
        <w:fldChar w:fldCharType="separate"/>
      </w:r>
      <w:r>
        <w:t>4</w:t>
      </w:r>
      <w:r>
        <w:fldChar w:fldCharType="end"/>
      </w:r>
      <w:r>
        <w:rPr>
          <w:rFonts w:ascii="微软雅黑" w:hAnsi="微软雅黑" w:eastAsia="微软雅黑"/>
          <w:szCs w:val="28"/>
        </w:rPr>
        <w:fldChar w:fldCharType="end"/>
      </w:r>
    </w:p>
    <w:p w14:paraId="7B5F2B70">
      <w:pPr>
        <w:pStyle w:val="10"/>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_Toc21005 </w:instrText>
      </w:r>
      <w:r>
        <w:rPr>
          <w:rFonts w:ascii="微软雅黑" w:hAnsi="微软雅黑" w:eastAsia="微软雅黑"/>
          <w:szCs w:val="28"/>
        </w:rPr>
        <w:fldChar w:fldCharType="separate"/>
      </w:r>
      <w:r>
        <w:rPr>
          <w:rFonts w:hint="default"/>
        </w:rPr>
        <w:t xml:space="preserve">(4) </w:t>
      </w:r>
      <w:r>
        <w:rPr>
          <w:rFonts w:hint="eastAsia"/>
        </w:rPr>
        <w:t>《省科技厅关于推荐申报国家重点研发计划“氢能技术”“储能与智能电网技术”重点专项2025年度项目的通知》</w:t>
      </w:r>
      <w:r>
        <w:tab/>
      </w:r>
      <w:r>
        <w:fldChar w:fldCharType="begin"/>
      </w:r>
      <w:r>
        <w:instrText xml:space="preserve"> PAGEREF _Toc21005 \h </w:instrText>
      </w:r>
      <w:r>
        <w:fldChar w:fldCharType="separate"/>
      </w:r>
      <w:r>
        <w:t>5</w:t>
      </w:r>
      <w:r>
        <w:fldChar w:fldCharType="end"/>
      </w:r>
      <w:r>
        <w:rPr>
          <w:rFonts w:ascii="微软雅黑" w:hAnsi="微软雅黑" w:eastAsia="微软雅黑"/>
          <w:szCs w:val="28"/>
        </w:rPr>
        <w:fldChar w:fldCharType="end"/>
      </w:r>
    </w:p>
    <w:p w14:paraId="5D2665F7">
      <w:pPr>
        <w:pStyle w:val="10"/>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_Toc160 </w:instrText>
      </w:r>
      <w:r>
        <w:rPr>
          <w:rFonts w:ascii="微软雅黑" w:hAnsi="微软雅黑" w:eastAsia="微软雅黑"/>
          <w:szCs w:val="28"/>
        </w:rPr>
        <w:fldChar w:fldCharType="separate"/>
      </w:r>
      <w:r>
        <w:rPr>
          <w:rFonts w:hint="default"/>
        </w:rPr>
        <w:t xml:space="preserve">(5) </w:t>
      </w:r>
      <w:r>
        <w:rPr>
          <w:rFonts w:hint="eastAsia"/>
          <w:lang w:val="en-US" w:eastAsia="zh-CN"/>
        </w:rPr>
        <w:t>武汉</w:t>
      </w:r>
      <w:r>
        <w:rPr>
          <w:rFonts w:hint="eastAsia"/>
        </w:rPr>
        <w:t>《关于开展武汉市人工智能场景创新能力征集的通知》</w:t>
      </w:r>
      <w:r>
        <w:tab/>
      </w:r>
      <w:r>
        <w:fldChar w:fldCharType="begin"/>
      </w:r>
      <w:r>
        <w:instrText xml:space="preserve"> PAGEREF _Toc160 \h </w:instrText>
      </w:r>
      <w:r>
        <w:fldChar w:fldCharType="separate"/>
      </w:r>
      <w:r>
        <w:t>5</w:t>
      </w:r>
      <w:r>
        <w:fldChar w:fldCharType="end"/>
      </w:r>
      <w:r>
        <w:rPr>
          <w:rFonts w:ascii="微软雅黑" w:hAnsi="微软雅黑" w:eastAsia="微软雅黑"/>
          <w:szCs w:val="28"/>
        </w:rPr>
        <w:fldChar w:fldCharType="end"/>
      </w:r>
    </w:p>
    <w:p w14:paraId="78E07F93">
      <w:pPr>
        <w:pStyle w:val="10"/>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_Toc12581 </w:instrText>
      </w:r>
      <w:r>
        <w:rPr>
          <w:rFonts w:ascii="微软雅黑" w:hAnsi="微软雅黑" w:eastAsia="微软雅黑"/>
          <w:szCs w:val="28"/>
        </w:rPr>
        <w:fldChar w:fldCharType="separate"/>
      </w:r>
      <w:r>
        <w:rPr>
          <w:rFonts w:hint="default"/>
        </w:rPr>
        <w:t xml:space="preserve">(6) </w:t>
      </w:r>
      <w:r>
        <w:rPr>
          <w:rFonts w:hint="eastAsia"/>
          <w:lang w:val="en-US" w:eastAsia="zh-CN"/>
        </w:rPr>
        <w:t>黄石</w:t>
      </w:r>
      <w:r>
        <w:rPr>
          <w:rFonts w:hint="eastAsia"/>
        </w:rPr>
        <w:t>《黄石市推进人工智能（AI）城市建设2025行动计划》</w:t>
      </w:r>
      <w:r>
        <w:tab/>
      </w:r>
      <w:r>
        <w:fldChar w:fldCharType="begin"/>
      </w:r>
      <w:r>
        <w:instrText xml:space="preserve"> PAGEREF _Toc12581 \h </w:instrText>
      </w:r>
      <w:r>
        <w:fldChar w:fldCharType="separate"/>
      </w:r>
      <w:r>
        <w:t>5</w:t>
      </w:r>
      <w:r>
        <w:fldChar w:fldCharType="end"/>
      </w:r>
      <w:r>
        <w:rPr>
          <w:rFonts w:ascii="微软雅黑" w:hAnsi="微软雅黑" w:eastAsia="微软雅黑"/>
          <w:szCs w:val="28"/>
        </w:rPr>
        <w:fldChar w:fldCharType="end"/>
      </w:r>
    </w:p>
    <w:p w14:paraId="5904AD8F">
      <w:pPr>
        <w:pStyle w:val="15"/>
        <w:tabs>
          <w:tab w:val="right" w:leader="dot" w:pos="8306"/>
          <w:tab w:val="clear" w:pos="8296"/>
        </w:tabs>
      </w:pPr>
      <w:r>
        <w:rPr>
          <w:rFonts w:ascii="微软雅黑" w:hAnsi="微软雅黑" w:eastAsia="微软雅黑"/>
          <w:szCs w:val="28"/>
        </w:rPr>
        <w:fldChar w:fldCharType="begin"/>
      </w:r>
      <w:r>
        <w:rPr>
          <w:rFonts w:ascii="微软雅黑" w:hAnsi="微软雅黑" w:eastAsia="微软雅黑"/>
          <w:szCs w:val="28"/>
        </w:rPr>
        <w:instrText xml:space="preserve"> HYPERLINK \l _Toc13260 </w:instrText>
      </w:r>
      <w:r>
        <w:rPr>
          <w:rFonts w:ascii="微软雅黑" w:hAnsi="微软雅黑" w:eastAsia="微软雅黑"/>
          <w:szCs w:val="28"/>
        </w:rPr>
        <w:fldChar w:fldCharType="separate"/>
      </w:r>
      <w:r>
        <w:rPr>
          <w:rFonts w:hint="eastAsia"/>
        </w:rPr>
        <w:t>热点.资讯</w:t>
      </w:r>
      <w:r>
        <w:tab/>
      </w:r>
      <w:r>
        <w:fldChar w:fldCharType="begin"/>
      </w:r>
      <w:r>
        <w:instrText xml:space="preserve"> PAGEREF _Toc13260 \h </w:instrText>
      </w:r>
      <w:r>
        <w:fldChar w:fldCharType="separate"/>
      </w:r>
      <w:r>
        <w:t>6</w:t>
      </w:r>
      <w:r>
        <w:fldChar w:fldCharType="end"/>
      </w:r>
      <w:r>
        <w:rPr>
          <w:rFonts w:ascii="微软雅黑" w:hAnsi="微软雅黑" w:eastAsia="微软雅黑"/>
          <w:szCs w:val="28"/>
        </w:rPr>
        <w:fldChar w:fldCharType="end"/>
      </w:r>
    </w:p>
    <w:p w14:paraId="2861797F">
      <w:pPr>
        <w:pStyle w:val="10"/>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_Toc21602 </w:instrText>
      </w:r>
      <w:r>
        <w:rPr>
          <w:rFonts w:ascii="微软雅黑" w:hAnsi="微软雅黑" w:eastAsia="微软雅黑"/>
          <w:szCs w:val="28"/>
        </w:rPr>
        <w:fldChar w:fldCharType="separate"/>
      </w:r>
      <w:r>
        <w:rPr>
          <w:rFonts w:hint="default"/>
        </w:rPr>
        <w:t xml:space="preserve">(1) </w:t>
      </w:r>
      <w:r>
        <w:rPr>
          <w:rFonts w:hint="eastAsia"/>
        </w:rPr>
        <w:t>央地共建粤港澳大湾区国际科技创新中心工作推进会在广州召开</w:t>
      </w:r>
      <w:r>
        <w:tab/>
      </w:r>
      <w:r>
        <w:fldChar w:fldCharType="begin"/>
      </w:r>
      <w:r>
        <w:instrText xml:space="preserve"> PAGEREF _Toc21602 \h </w:instrText>
      </w:r>
      <w:r>
        <w:fldChar w:fldCharType="separate"/>
      </w:r>
      <w:r>
        <w:t>6</w:t>
      </w:r>
      <w:r>
        <w:fldChar w:fldCharType="end"/>
      </w:r>
      <w:r>
        <w:rPr>
          <w:rFonts w:ascii="微软雅黑" w:hAnsi="微软雅黑" w:eastAsia="微软雅黑"/>
          <w:szCs w:val="28"/>
        </w:rPr>
        <w:fldChar w:fldCharType="end"/>
      </w:r>
    </w:p>
    <w:p w14:paraId="01E47070">
      <w:pPr>
        <w:pStyle w:val="10"/>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_Toc2420 </w:instrText>
      </w:r>
      <w:r>
        <w:rPr>
          <w:rFonts w:ascii="微软雅黑" w:hAnsi="微软雅黑" w:eastAsia="微软雅黑"/>
          <w:szCs w:val="28"/>
        </w:rPr>
        <w:fldChar w:fldCharType="separate"/>
      </w:r>
      <w:r>
        <w:rPr>
          <w:rFonts w:hint="default"/>
        </w:rPr>
        <w:t xml:space="preserve">(2) </w:t>
      </w:r>
      <w:r>
        <w:rPr>
          <w:rFonts w:hint="eastAsia"/>
        </w:rPr>
        <w:t>中国人民银行与香港金融管理局联合举办跨境支付通启动仪式</w:t>
      </w:r>
      <w:r>
        <w:tab/>
      </w:r>
      <w:r>
        <w:fldChar w:fldCharType="begin"/>
      </w:r>
      <w:r>
        <w:instrText xml:space="preserve"> PAGEREF _Toc2420 \h </w:instrText>
      </w:r>
      <w:r>
        <w:fldChar w:fldCharType="separate"/>
      </w:r>
      <w:r>
        <w:t>6</w:t>
      </w:r>
      <w:r>
        <w:fldChar w:fldCharType="end"/>
      </w:r>
      <w:r>
        <w:rPr>
          <w:rFonts w:ascii="微软雅黑" w:hAnsi="微软雅黑" w:eastAsia="微软雅黑"/>
          <w:szCs w:val="28"/>
        </w:rPr>
        <w:fldChar w:fldCharType="end"/>
      </w:r>
    </w:p>
    <w:p w14:paraId="6A6BB3F7">
      <w:pPr>
        <w:pStyle w:val="10"/>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_Toc13426 </w:instrText>
      </w:r>
      <w:r>
        <w:rPr>
          <w:rFonts w:ascii="微软雅黑" w:hAnsi="微软雅黑" w:eastAsia="微软雅黑"/>
          <w:szCs w:val="28"/>
        </w:rPr>
        <w:fldChar w:fldCharType="separate"/>
      </w:r>
      <w:r>
        <w:rPr>
          <w:rFonts w:hint="default"/>
        </w:rPr>
        <w:t xml:space="preserve">(3) </w:t>
      </w:r>
      <w:r>
        <w:rPr>
          <w:rFonts w:hint="eastAsia"/>
        </w:rPr>
        <w:t>上海合作组织能源部长会议及配套活动召开</w:t>
      </w:r>
      <w:r>
        <w:tab/>
      </w:r>
      <w:r>
        <w:fldChar w:fldCharType="begin"/>
      </w:r>
      <w:r>
        <w:instrText xml:space="preserve"> PAGEREF _Toc13426 \h </w:instrText>
      </w:r>
      <w:r>
        <w:fldChar w:fldCharType="separate"/>
      </w:r>
      <w:r>
        <w:t>7</w:t>
      </w:r>
      <w:r>
        <w:fldChar w:fldCharType="end"/>
      </w:r>
      <w:r>
        <w:rPr>
          <w:rFonts w:ascii="微软雅黑" w:hAnsi="微软雅黑" w:eastAsia="微软雅黑"/>
          <w:szCs w:val="28"/>
        </w:rPr>
        <w:fldChar w:fldCharType="end"/>
      </w:r>
    </w:p>
    <w:p w14:paraId="1BD870B5">
      <w:pPr>
        <w:pStyle w:val="10"/>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_Toc26828 </w:instrText>
      </w:r>
      <w:r>
        <w:rPr>
          <w:rFonts w:ascii="微软雅黑" w:hAnsi="微软雅黑" w:eastAsia="微软雅黑"/>
          <w:szCs w:val="28"/>
        </w:rPr>
        <w:fldChar w:fldCharType="separate"/>
      </w:r>
      <w:r>
        <w:rPr>
          <w:rFonts w:hint="default"/>
        </w:rPr>
        <w:t xml:space="preserve">(4) </w:t>
      </w:r>
      <w:r>
        <w:rPr>
          <w:rFonts w:hint="eastAsia"/>
        </w:rPr>
        <w:t>2025年“数据要素×”大赛湖北分赛“数据洞察与人工智能”赛道启动</w:t>
      </w:r>
      <w:r>
        <w:tab/>
      </w:r>
      <w:r>
        <w:fldChar w:fldCharType="begin"/>
      </w:r>
      <w:r>
        <w:instrText xml:space="preserve"> PAGEREF _Toc26828 \h </w:instrText>
      </w:r>
      <w:r>
        <w:fldChar w:fldCharType="separate"/>
      </w:r>
      <w:r>
        <w:t>7</w:t>
      </w:r>
      <w:r>
        <w:fldChar w:fldCharType="end"/>
      </w:r>
      <w:r>
        <w:rPr>
          <w:rFonts w:ascii="微软雅黑" w:hAnsi="微软雅黑" w:eastAsia="微软雅黑"/>
          <w:szCs w:val="28"/>
        </w:rPr>
        <w:fldChar w:fldCharType="end"/>
      </w:r>
    </w:p>
    <w:p w14:paraId="778928DE">
      <w:pPr>
        <w:pStyle w:val="10"/>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_Toc12276 </w:instrText>
      </w:r>
      <w:r>
        <w:rPr>
          <w:rFonts w:ascii="微软雅黑" w:hAnsi="微软雅黑" w:eastAsia="微软雅黑"/>
          <w:szCs w:val="28"/>
        </w:rPr>
        <w:fldChar w:fldCharType="separate"/>
      </w:r>
      <w:r>
        <w:rPr>
          <w:rFonts w:hint="default"/>
        </w:rPr>
        <w:t xml:space="preserve">(5) </w:t>
      </w:r>
      <w:r>
        <w:rPr>
          <w:rFonts w:hint="eastAsia"/>
        </w:rPr>
        <w:t>湖北4家企业入选2024中国零售业Top100榜单</w:t>
      </w:r>
      <w:r>
        <w:rPr>
          <w:rFonts w:hint="eastAsia"/>
          <w:lang w:eastAsia="zh-CN"/>
        </w:rPr>
        <w:t>，</w:t>
      </w:r>
      <w:r>
        <w:rPr>
          <w:rFonts w:hint="eastAsia"/>
        </w:rPr>
        <w:t>数量中部第一</w:t>
      </w:r>
      <w:r>
        <w:tab/>
      </w:r>
      <w:r>
        <w:fldChar w:fldCharType="begin"/>
      </w:r>
      <w:r>
        <w:instrText xml:space="preserve"> PAGEREF _Toc12276 \h </w:instrText>
      </w:r>
      <w:r>
        <w:fldChar w:fldCharType="separate"/>
      </w:r>
      <w:r>
        <w:t>7</w:t>
      </w:r>
      <w:r>
        <w:fldChar w:fldCharType="end"/>
      </w:r>
      <w:r>
        <w:rPr>
          <w:rFonts w:ascii="微软雅黑" w:hAnsi="微软雅黑" w:eastAsia="微软雅黑"/>
          <w:szCs w:val="28"/>
        </w:rPr>
        <w:fldChar w:fldCharType="end"/>
      </w:r>
    </w:p>
    <w:p w14:paraId="7B0B0EF3">
      <w:pPr>
        <w:pStyle w:val="10"/>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_Toc24905 </w:instrText>
      </w:r>
      <w:r>
        <w:rPr>
          <w:rFonts w:ascii="微软雅黑" w:hAnsi="微软雅黑" w:eastAsia="微软雅黑"/>
          <w:szCs w:val="28"/>
        </w:rPr>
        <w:fldChar w:fldCharType="separate"/>
      </w:r>
      <w:r>
        <w:rPr>
          <w:rFonts w:hint="default"/>
        </w:rPr>
        <w:t xml:space="preserve">(6) </w:t>
      </w:r>
      <w:r>
        <w:rPr>
          <w:rFonts w:hint="eastAsia"/>
        </w:rPr>
        <w:t>湖北省数据标准化技术委员会成立</w:t>
      </w:r>
      <w:r>
        <w:tab/>
      </w:r>
      <w:r>
        <w:fldChar w:fldCharType="begin"/>
      </w:r>
      <w:r>
        <w:instrText xml:space="preserve"> PAGEREF _Toc24905 \h </w:instrText>
      </w:r>
      <w:r>
        <w:fldChar w:fldCharType="separate"/>
      </w:r>
      <w:r>
        <w:t>7</w:t>
      </w:r>
      <w:r>
        <w:fldChar w:fldCharType="end"/>
      </w:r>
      <w:r>
        <w:rPr>
          <w:rFonts w:ascii="微软雅黑" w:hAnsi="微软雅黑" w:eastAsia="微软雅黑"/>
          <w:szCs w:val="28"/>
        </w:rPr>
        <w:fldChar w:fldCharType="end"/>
      </w:r>
    </w:p>
    <w:p w14:paraId="17630CC2">
      <w:pPr>
        <w:pStyle w:val="10"/>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_Toc24208 </w:instrText>
      </w:r>
      <w:r>
        <w:rPr>
          <w:rFonts w:ascii="微软雅黑" w:hAnsi="微软雅黑" w:eastAsia="微软雅黑"/>
          <w:szCs w:val="28"/>
        </w:rPr>
        <w:fldChar w:fldCharType="separate"/>
      </w:r>
      <w:r>
        <w:rPr>
          <w:rFonts w:hint="default"/>
        </w:rPr>
        <w:t xml:space="preserve">(7) </w:t>
      </w:r>
      <w:r>
        <w:rPr>
          <w:rFonts w:hint="eastAsia"/>
        </w:rPr>
        <w:t>湖北新增44个省级工业互联网平台</w:t>
      </w:r>
      <w:r>
        <w:tab/>
      </w:r>
      <w:r>
        <w:fldChar w:fldCharType="begin"/>
      </w:r>
      <w:r>
        <w:instrText xml:space="preserve"> PAGEREF _Toc24208 \h </w:instrText>
      </w:r>
      <w:r>
        <w:fldChar w:fldCharType="separate"/>
      </w:r>
      <w:r>
        <w:t>8</w:t>
      </w:r>
      <w:r>
        <w:fldChar w:fldCharType="end"/>
      </w:r>
      <w:r>
        <w:rPr>
          <w:rFonts w:ascii="微软雅黑" w:hAnsi="微软雅黑" w:eastAsia="微软雅黑"/>
          <w:szCs w:val="28"/>
        </w:rPr>
        <w:fldChar w:fldCharType="end"/>
      </w:r>
    </w:p>
    <w:p w14:paraId="1C0A0989">
      <w:pPr>
        <w:snapToGrid w:val="0"/>
        <w:spacing w:line="360" w:lineRule="auto"/>
        <w:jc w:val="both"/>
      </w:pPr>
      <w:r>
        <w:rPr>
          <w:rFonts w:ascii="微软雅黑" w:hAnsi="微软雅黑" w:eastAsia="微软雅黑"/>
          <w:szCs w:val="28"/>
        </w:rPr>
        <w:fldChar w:fldCharType="end"/>
      </w:r>
    </w:p>
    <w:p w14:paraId="187ABEAE">
      <w:pPr>
        <w:snapToGrid w:val="0"/>
        <w:spacing w:line="360" w:lineRule="auto"/>
        <w:jc w:val="both"/>
        <w:rPr>
          <w:rFonts w:ascii="方正小标宋简体" w:hAnsi="方正小标宋简体" w:eastAsia="方正小标宋简体" w:cs="方正小标宋简体"/>
          <w:b/>
          <w:kern w:val="44"/>
          <w:sz w:val="32"/>
          <w:szCs w:val="32"/>
        </w:rPr>
      </w:pPr>
      <w:r>
        <w:br w:type="page"/>
      </w:r>
    </w:p>
    <w:p w14:paraId="596FFC90">
      <w:pPr>
        <w:pStyle w:val="33"/>
        <w:jc w:val="both"/>
      </w:pPr>
    </w:p>
    <w:p w14:paraId="393FEC4A">
      <w:pPr>
        <w:pStyle w:val="2"/>
        <w:rPr>
          <w:rFonts w:hint="eastAsia"/>
        </w:rPr>
      </w:pPr>
      <w:bookmarkStart w:id="1" w:name="_Toc19021"/>
      <w:r>
        <w:rPr>
          <w:rFonts w:hint="eastAsia"/>
        </w:rPr>
        <w:t>重点.关注</w:t>
      </w:r>
      <w:bookmarkEnd w:id="1"/>
    </w:p>
    <w:p w14:paraId="4F26EE79">
      <w:pPr>
        <w:pStyle w:val="4"/>
        <w:bidi w:val="0"/>
        <w:rPr>
          <w:rFonts w:hint="default"/>
          <w:lang w:val="en-US"/>
        </w:rPr>
      </w:pPr>
      <w:bookmarkStart w:id="2" w:name="_Toc21919"/>
      <w:r>
        <w:rPr>
          <w:rFonts w:hint="eastAsia"/>
        </w:rPr>
        <w:t>2025年中央财政支持</w:t>
      </w:r>
      <w:r>
        <w:rPr>
          <w:rFonts w:hint="eastAsia"/>
          <w:lang w:eastAsia="zh-CN"/>
        </w:rPr>
        <w:t>，</w:t>
      </w:r>
      <w:r>
        <w:rPr>
          <w:rFonts w:hint="eastAsia"/>
        </w:rPr>
        <w:t>普惠金融发展示范区名单公布</w:t>
      </w:r>
      <w:bookmarkEnd w:id="2"/>
      <w:r>
        <w:rPr>
          <w:rFonts w:hint="eastAsia"/>
          <w:lang w:val="en-US" w:eastAsia="zh-CN"/>
        </w:rPr>
        <w:t xml:space="preserve"> </w:t>
      </w:r>
    </w:p>
    <w:p w14:paraId="4E12324B">
      <w:pPr>
        <w:rPr>
          <w:rFonts w:hint="eastAsia"/>
        </w:rPr>
      </w:pPr>
    </w:p>
    <w:p w14:paraId="40C55149">
      <w:pPr>
        <w:rPr>
          <w:rFonts w:hint="default" w:eastAsia="宋体"/>
          <w:lang w:val="en-US" w:eastAsia="zh-CN"/>
        </w:rPr>
      </w:pPr>
      <w:r>
        <w:rPr>
          <w:rFonts w:hint="eastAsia"/>
        </w:rPr>
        <w:t>6月24日，财政部公布2025年中央财政支持普惠金融发展示范区名单，包括大连市、深圳市、北京市密云区等90个地区。中央财政安排奖补资金支持示范区普惠金融发展。财政部明确，示范区要立足区域特色优化机制，推动普惠金融贷款“增量、扩面、降价”；金融机构要创新产品和服务，健全长效机制。同时，要求省级财政部门规范资金管理，强化绩效评价；财政部各地监管局加强监督，保障政策落地。此外，地方财政部门要会同多部门建立协调机制，加大支持力度，提升服务实体经济能力。</w:t>
      </w:r>
      <w:r>
        <w:rPr>
          <w:rFonts w:hint="eastAsia"/>
          <w:lang w:val="en-US" w:eastAsia="zh-CN"/>
        </w:rPr>
        <w:t>湖北省，宜都市、枣阳市、竹溪县三个地区入选名单。</w:t>
      </w:r>
    </w:p>
    <w:p w14:paraId="685ED2B2">
      <w:pPr>
        <w:rPr>
          <w:rFonts w:hint="eastAsia"/>
        </w:rPr>
      </w:pPr>
    </w:p>
    <w:p w14:paraId="48942D6D">
      <w:pPr>
        <w:rPr>
          <w:rFonts w:hint="eastAsia"/>
        </w:rPr>
      </w:pPr>
      <w:r>
        <w:rPr>
          <w:rFonts w:hint="eastAsia"/>
        </w:rPr>
        <w:t>发文日期：2025年6月2</w:t>
      </w:r>
      <w:r>
        <w:rPr>
          <w:rFonts w:hint="eastAsia"/>
          <w:lang w:val="en-US" w:eastAsia="zh-CN"/>
        </w:rPr>
        <w:t>4</w:t>
      </w:r>
      <w:r>
        <w:rPr>
          <w:rFonts w:hint="eastAsia"/>
        </w:rPr>
        <w:t>日</w:t>
      </w:r>
    </w:p>
    <w:p w14:paraId="56F08BEE">
      <w:pPr>
        <w:rPr>
          <w:rFonts w:hint="eastAsia"/>
        </w:rPr>
      </w:pPr>
      <w:r>
        <w:rPr>
          <w:rFonts w:hint="eastAsia"/>
        </w:rPr>
        <w:t>发文单位：财政部</w:t>
      </w:r>
    </w:p>
    <w:p w14:paraId="7C1CA87D">
      <w:pPr>
        <w:rPr>
          <w:rFonts w:hint="eastAsia"/>
        </w:rPr>
      </w:pPr>
      <w:r>
        <w:rPr>
          <w:rFonts w:hint="eastAsia"/>
        </w:rPr>
        <w:t>原文链接：https://mp.weixin.qq.com/s/W_V--LKdWAZlcaI-IhiC7A</w:t>
      </w:r>
    </w:p>
    <w:p w14:paraId="193E0DE6">
      <w:pPr>
        <w:rPr>
          <w:rFonts w:hint="eastAsia"/>
        </w:rPr>
      </w:pPr>
    </w:p>
    <w:p w14:paraId="44FD0766"/>
    <w:p w14:paraId="49D1BEB6">
      <w:pPr>
        <w:pStyle w:val="2"/>
      </w:pPr>
      <w:bookmarkStart w:id="3" w:name="_Toc26921"/>
      <w:r>
        <w:rPr>
          <w:rFonts w:hint="eastAsia"/>
        </w:rPr>
        <w:t>政策.速递</w:t>
      </w:r>
      <w:bookmarkEnd w:id="3"/>
    </w:p>
    <w:p w14:paraId="43840AF2">
      <w:pPr>
        <w:pStyle w:val="3"/>
      </w:pPr>
      <w:bookmarkStart w:id="4" w:name="_Toc5625"/>
      <w:r>
        <w:rPr>
          <w:rFonts w:hint="eastAsia"/>
        </w:rPr>
        <w:t>中央</w:t>
      </w:r>
      <w:bookmarkEnd w:id="4"/>
      <w:r>
        <w:rPr>
          <w:rFonts w:hint="eastAsia"/>
        </w:rPr>
        <w:t xml:space="preserve"> </w:t>
      </w:r>
    </w:p>
    <w:p w14:paraId="28CEEA8D"/>
    <w:p w14:paraId="21E00CFF">
      <w:pPr>
        <w:pStyle w:val="4"/>
        <w:numPr>
          <w:ilvl w:val="0"/>
          <w:numId w:val="2"/>
        </w:numPr>
        <w:bidi w:val="0"/>
        <w:rPr>
          <w:rFonts w:hint="eastAsia"/>
        </w:rPr>
      </w:pPr>
      <w:bookmarkStart w:id="5" w:name="_Toc372"/>
      <w:r>
        <w:rPr>
          <w:rFonts w:hint="eastAsia"/>
        </w:rPr>
        <w:t>《关于开展2025年度智能工厂梯度培育行动的通知》</w:t>
      </w:r>
      <w:bookmarkEnd w:id="5"/>
    </w:p>
    <w:p w14:paraId="3A827454">
      <w:pPr>
        <w:rPr>
          <w:rFonts w:hint="eastAsia"/>
        </w:rPr>
      </w:pPr>
    </w:p>
    <w:p w14:paraId="0D0C04FE">
      <w:pPr>
        <w:rPr>
          <w:rFonts w:hint="eastAsia"/>
        </w:rPr>
      </w:pPr>
      <w:r>
        <w:rPr>
          <w:rFonts w:hint="eastAsia"/>
        </w:rPr>
        <w:t>为推动制造业数字化转型智能化升级，六部门联合开展2025年度智能工厂梯度培育行动，分基础级、先进级、卓越级和领航级四个层级进行培育。基础级聚焦数字化改造，先进级强调数字化转型，省级部门和央企分别组织自评自建和培育认定工作。卓越级要打造全国领先标杆，申报主体需满足一定条件，按要求完成申报，相关部门组织推荐、审核、评审认定等工作。领航级探索未来制造模式，打造全球标杆，申报条件更严格，培育对象在专家委指导下建设，经验收认定后公布名单。此外，各地相关部门和央企要加强指导监督，相关工作基于智能制造数据资源公共服务平台开展。</w:t>
      </w:r>
    </w:p>
    <w:p w14:paraId="4D53BE04">
      <w:pPr>
        <w:rPr>
          <w:rFonts w:hint="eastAsia"/>
        </w:rPr>
      </w:pPr>
    </w:p>
    <w:p w14:paraId="5564FE9B">
      <w:pPr>
        <w:rPr>
          <w:rFonts w:hint="eastAsia"/>
        </w:rPr>
      </w:pPr>
      <w:r>
        <w:rPr>
          <w:rFonts w:hint="eastAsia"/>
        </w:rPr>
        <w:t>发文日期：2025年6月</w:t>
      </w:r>
      <w:r>
        <w:rPr>
          <w:rFonts w:hint="eastAsia"/>
          <w:lang w:val="en-US" w:eastAsia="zh-CN"/>
        </w:rPr>
        <w:t>23</w:t>
      </w:r>
      <w:r>
        <w:rPr>
          <w:rFonts w:hint="eastAsia"/>
        </w:rPr>
        <w:t>日</w:t>
      </w:r>
    </w:p>
    <w:p w14:paraId="0A572ABC">
      <w:pPr>
        <w:rPr>
          <w:rFonts w:hint="eastAsia"/>
        </w:rPr>
      </w:pPr>
      <w:r>
        <w:rPr>
          <w:rFonts w:hint="eastAsia"/>
        </w:rPr>
        <w:t>发文单位：工业和信息化部办公厅、国家发展改革委办公厅、财政部办公厅、国务院国资委办公厅、市场监管总局办公厅、国家数据局综合司</w:t>
      </w:r>
    </w:p>
    <w:p w14:paraId="2EC25F24">
      <w:pPr>
        <w:rPr>
          <w:rFonts w:hint="eastAsia"/>
        </w:rPr>
      </w:pPr>
      <w:r>
        <w:rPr>
          <w:rFonts w:hint="eastAsia"/>
        </w:rPr>
        <w:t>原文链接：https://mp.weixin.qq.com/s/S7pj7CJk7jMn9W4TrZB7QQ</w:t>
      </w:r>
    </w:p>
    <w:p w14:paraId="1D3CB7AC">
      <w:pPr>
        <w:rPr>
          <w:rFonts w:hint="eastAsia"/>
        </w:rPr>
      </w:pPr>
    </w:p>
    <w:p w14:paraId="0E134861">
      <w:pPr>
        <w:pStyle w:val="4"/>
        <w:bidi w:val="0"/>
        <w:rPr>
          <w:rFonts w:hint="eastAsia"/>
        </w:rPr>
      </w:pPr>
      <w:bookmarkStart w:id="6" w:name="_Toc12465"/>
      <w:r>
        <w:rPr>
          <w:rFonts w:hint="eastAsia"/>
        </w:rPr>
        <w:t>《黄金产业高质量发展实施方案（2025—2027年）》</w:t>
      </w:r>
      <w:bookmarkEnd w:id="6"/>
    </w:p>
    <w:p w14:paraId="6090EA1E">
      <w:pPr>
        <w:rPr>
          <w:rFonts w:hint="eastAsia"/>
        </w:rPr>
      </w:pPr>
    </w:p>
    <w:p w14:paraId="4B7EC6A2">
      <w:pPr>
        <w:rPr>
          <w:rFonts w:hint="eastAsia"/>
        </w:rPr>
      </w:pPr>
      <w:r>
        <w:rPr>
          <w:rFonts w:hint="eastAsia"/>
        </w:rPr>
        <w:t>近日，工业和信息化部等九部门联合印发《黄金产业高质量发展实施方案（2025—2027年）》，提出到2027年，我国黄金产业资源保障、产业链创新等水平要明显提升，如资源量、产量增长，固体废物利用率提高等；到2035年高质量发展格局全面形成。《实施方案》明确九方面重点任务，包括推进国内资源增储上产，强化关键技术和装备攻关，提升产品高端化供给水平，强化资源绿色高效利用，引导企业做强做优做大，提升安全生产水平，加快数字化改造升级，强化标准引领作用，深化海外投资合作。下一步，工信部将会同有关部门加强统筹协同，推动政策落地见效。</w:t>
      </w:r>
    </w:p>
    <w:p w14:paraId="443A7463">
      <w:pPr>
        <w:rPr>
          <w:rFonts w:hint="eastAsia"/>
        </w:rPr>
      </w:pPr>
    </w:p>
    <w:p w14:paraId="7583484D">
      <w:pPr>
        <w:rPr>
          <w:rFonts w:hint="eastAsia"/>
        </w:rPr>
      </w:pPr>
      <w:r>
        <w:rPr>
          <w:rFonts w:hint="eastAsia"/>
        </w:rPr>
        <w:t>发文日期：2025年6月</w:t>
      </w:r>
      <w:r>
        <w:rPr>
          <w:rFonts w:hint="eastAsia"/>
          <w:lang w:val="en-US" w:eastAsia="zh-CN"/>
        </w:rPr>
        <w:t>24</w:t>
      </w:r>
      <w:r>
        <w:rPr>
          <w:rFonts w:hint="eastAsia"/>
        </w:rPr>
        <w:t>日</w:t>
      </w:r>
    </w:p>
    <w:p w14:paraId="2E5119E1">
      <w:pPr>
        <w:rPr>
          <w:rFonts w:hint="eastAsia"/>
        </w:rPr>
      </w:pPr>
      <w:r>
        <w:rPr>
          <w:rFonts w:hint="eastAsia"/>
        </w:rPr>
        <w:t>发文单位：工业和信息化部、国家发展改革委、自然资源部、商务部、应急管理部、国务院国资委、海关总署、市场监管总局、国家矿山安监局</w:t>
      </w:r>
    </w:p>
    <w:p w14:paraId="2AE16683">
      <w:pPr>
        <w:rPr>
          <w:rFonts w:hint="eastAsia"/>
        </w:rPr>
      </w:pPr>
      <w:r>
        <w:rPr>
          <w:rFonts w:hint="eastAsia"/>
        </w:rPr>
        <w:t>原文链接：https://mp.weixin.qq.com/s/BsYSNsokLPhOkyPWUMmSRg</w:t>
      </w:r>
    </w:p>
    <w:p w14:paraId="67616131">
      <w:pPr>
        <w:rPr>
          <w:rFonts w:hint="eastAsia"/>
        </w:rPr>
      </w:pPr>
    </w:p>
    <w:p w14:paraId="2589A1E7">
      <w:pPr>
        <w:pStyle w:val="4"/>
        <w:bidi w:val="0"/>
        <w:rPr>
          <w:rFonts w:hint="eastAsia"/>
        </w:rPr>
      </w:pPr>
      <w:bookmarkStart w:id="7" w:name="_Toc14239"/>
      <w:r>
        <w:rPr>
          <w:rFonts w:hint="eastAsia"/>
        </w:rPr>
        <w:t>《关于金融支持提振和扩大消费的指导意见》</w:t>
      </w:r>
      <w:bookmarkEnd w:id="7"/>
    </w:p>
    <w:p w14:paraId="127F0534">
      <w:pPr>
        <w:rPr>
          <w:rFonts w:hint="eastAsia"/>
        </w:rPr>
      </w:pPr>
    </w:p>
    <w:p w14:paraId="2061E549">
      <w:pPr>
        <w:rPr>
          <w:rFonts w:hint="eastAsia"/>
        </w:rPr>
      </w:pPr>
      <w:r>
        <w:rPr>
          <w:rFonts w:hint="eastAsia"/>
        </w:rPr>
        <w:t>近日，中国人民银行等六部门联合印发《关于金融支持提振和扩大消费的指导意见》，从六个方面提出19项重点举措。一是支持增强消费能力，强化对吸纳就业强的经营主体金融服务，创新金融产品提高居民财产性收入，推进保险产品创新。二是扩大消费领域金融供给，鼓励为服务消费重点领域主体放贷，设再贷款，支持企业发债，丰富购车信贷产品等。三是挖掘释放居民消费潜力，做好以旧换新金融服务，加强多领域信贷支持，创新融资模式。四是促进提升消费供给效能，探索消费基础设施建设金融产品和模式，支持相关建设。五是优化消费环境和政策支撑保障，提升支付兼容性，鼓励试点数字人民币，加强信息保护。</w:t>
      </w:r>
    </w:p>
    <w:p w14:paraId="6C09902C">
      <w:pPr>
        <w:rPr>
          <w:rFonts w:hint="eastAsia"/>
        </w:rPr>
      </w:pPr>
    </w:p>
    <w:p w14:paraId="2306D93B">
      <w:pPr>
        <w:rPr>
          <w:rFonts w:hint="eastAsia"/>
        </w:rPr>
      </w:pPr>
      <w:r>
        <w:rPr>
          <w:rFonts w:hint="eastAsia"/>
        </w:rPr>
        <w:t>发文日期：2025年6月2</w:t>
      </w:r>
      <w:r>
        <w:rPr>
          <w:rFonts w:hint="eastAsia"/>
          <w:lang w:val="en-US" w:eastAsia="zh-CN"/>
        </w:rPr>
        <w:t>4</w:t>
      </w:r>
      <w:r>
        <w:rPr>
          <w:rFonts w:hint="eastAsia"/>
        </w:rPr>
        <w:t>日</w:t>
      </w:r>
    </w:p>
    <w:p w14:paraId="296F5850">
      <w:pPr>
        <w:rPr>
          <w:rFonts w:hint="eastAsia"/>
        </w:rPr>
      </w:pPr>
      <w:r>
        <w:rPr>
          <w:rFonts w:hint="eastAsia"/>
        </w:rPr>
        <w:t>发文单位：中国人民银行、国家发展改革委、财政部、商务部、金融监管总局、中国证监会</w:t>
      </w:r>
    </w:p>
    <w:p w14:paraId="569AB2D3">
      <w:pPr>
        <w:rPr>
          <w:rFonts w:hint="eastAsia"/>
        </w:rPr>
      </w:pPr>
      <w:r>
        <w:rPr>
          <w:rFonts w:hint="eastAsia"/>
        </w:rPr>
        <w:t>原文链接：https://mp.weixin.qq.com/s/uwOsn--bDtkDJjpWc2L3nw</w:t>
      </w:r>
    </w:p>
    <w:p w14:paraId="7C8DA400">
      <w:pPr>
        <w:rPr>
          <w:rFonts w:hint="eastAsia"/>
        </w:rPr>
      </w:pPr>
    </w:p>
    <w:p w14:paraId="66D44AC4">
      <w:pPr>
        <w:pStyle w:val="4"/>
        <w:bidi w:val="0"/>
        <w:rPr>
          <w:rFonts w:hint="eastAsia"/>
        </w:rPr>
      </w:pPr>
      <w:bookmarkStart w:id="8" w:name="_Toc26584"/>
      <w:r>
        <w:rPr>
          <w:rFonts w:hint="eastAsia"/>
        </w:rPr>
        <w:t>《银行业保险业普惠金融高质量发展实施方案》</w:t>
      </w:r>
      <w:bookmarkEnd w:id="8"/>
    </w:p>
    <w:p w14:paraId="7A67B0BC">
      <w:pPr>
        <w:rPr>
          <w:rFonts w:hint="eastAsia"/>
        </w:rPr>
      </w:pPr>
      <w:bookmarkStart w:id="24" w:name="_GoBack"/>
      <w:bookmarkEnd w:id="24"/>
    </w:p>
    <w:p w14:paraId="53C3350C">
      <w:pPr>
        <w:rPr>
          <w:rFonts w:hint="eastAsia"/>
        </w:rPr>
      </w:pPr>
      <w:r>
        <w:rPr>
          <w:rFonts w:hint="eastAsia"/>
        </w:rPr>
        <w:t>金融监管总局、中国人民银行于近日联合发布《银行业保险业普惠金融高质量发展实施方案》，从优化普惠金融服务体系、巩固提升普惠信贷体系和能力、加强普惠保险体系建设、组织保障等方面出发，提出六部分16条措施。《实施方案》强调，实现普惠金融高质量发展，必须加强党中央集中统一领导，供给多层次、多样化的普惠金融服务，持续提升覆盖面和可得性，推动降低综合成本，不断提升普惠金融服务人民群众生产生活的能力和水平。</w:t>
      </w:r>
    </w:p>
    <w:p w14:paraId="78C1FAAF">
      <w:pPr>
        <w:rPr>
          <w:rFonts w:hint="eastAsia"/>
        </w:rPr>
      </w:pPr>
    </w:p>
    <w:p w14:paraId="0F554E54">
      <w:pPr>
        <w:rPr>
          <w:rFonts w:hint="eastAsia"/>
        </w:rPr>
      </w:pPr>
      <w:r>
        <w:rPr>
          <w:rFonts w:hint="eastAsia"/>
        </w:rPr>
        <w:t>发文日期：2025年6月2</w:t>
      </w:r>
      <w:r>
        <w:rPr>
          <w:rFonts w:hint="eastAsia"/>
          <w:lang w:val="en-US" w:eastAsia="zh-CN"/>
        </w:rPr>
        <w:t>6</w:t>
      </w:r>
      <w:r>
        <w:rPr>
          <w:rFonts w:hint="eastAsia"/>
        </w:rPr>
        <w:t>日</w:t>
      </w:r>
    </w:p>
    <w:p w14:paraId="0F2BA2C9">
      <w:pPr>
        <w:rPr>
          <w:rFonts w:hint="eastAsia"/>
        </w:rPr>
      </w:pPr>
      <w:r>
        <w:rPr>
          <w:rFonts w:hint="eastAsia"/>
        </w:rPr>
        <w:t>发文单位：金融监管总局、中国人民银行</w:t>
      </w:r>
    </w:p>
    <w:p w14:paraId="55162F41">
      <w:pPr>
        <w:rPr>
          <w:rFonts w:hint="eastAsia"/>
        </w:rPr>
      </w:pPr>
      <w:r>
        <w:rPr>
          <w:rFonts w:hint="eastAsia"/>
        </w:rPr>
        <w:t>原文链接：https://mp.weixin.qq.com/s/iHx8IvGYAVRe-skDFmG4zQ</w:t>
      </w:r>
    </w:p>
    <w:p w14:paraId="5F76C6B2">
      <w:pPr>
        <w:rPr>
          <w:rFonts w:hint="eastAsia"/>
        </w:rPr>
      </w:pPr>
    </w:p>
    <w:p w14:paraId="6ED8360A">
      <w:pPr>
        <w:rPr>
          <w:rFonts w:hint="eastAsia"/>
        </w:rPr>
      </w:pPr>
    </w:p>
    <w:p w14:paraId="7A9BE331">
      <w:pPr>
        <w:pStyle w:val="3"/>
        <w:rPr>
          <w:rFonts w:hint="eastAsia"/>
        </w:rPr>
      </w:pPr>
      <w:bookmarkStart w:id="9" w:name="_Toc16210"/>
      <w:r>
        <w:rPr>
          <w:rFonts w:hint="eastAsia"/>
        </w:rPr>
        <w:t>湖北省</w:t>
      </w:r>
      <w:bookmarkEnd w:id="9"/>
    </w:p>
    <w:p w14:paraId="3812097C">
      <w:pPr>
        <w:rPr>
          <w:rFonts w:hint="eastAsia"/>
        </w:rPr>
      </w:pPr>
    </w:p>
    <w:p w14:paraId="085D202C">
      <w:pPr>
        <w:pStyle w:val="4"/>
        <w:numPr>
          <w:ilvl w:val="0"/>
          <w:numId w:val="3"/>
        </w:numPr>
        <w:bidi w:val="0"/>
        <w:rPr>
          <w:rFonts w:hint="eastAsia"/>
        </w:rPr>
      </w:pPr>
      <w:bookmarkStart w:id="10" w:name="_Toc6888"/>
      <w:r>
        <w:rPr>
          <w:rFonts w:hint="eastAsia"/>
        </w:rPr>
        <w:t>《湖北省人民政府办公厅关于新发展阶段创新招商引资工作的指导意见》</w:t>
      </w:r>
      <w:bookmarkEnd w:id="10"/>
    </w:p>
    <w:p w14:paraId="1CD113A5">
      <w:pPr>
        <w:rPr>
          <w:rFonts w:hint="eastAsia"/>
        </w:rPr>
      </w:pPr>
    </w:p>
    <w:p w14:paraId="3F7B5D41">
      <w:pPr>
        <w:rPr>
          <w:rFonts w:hint="eastAsia"/>
        </w:rPr>
      </w:pPr>
      <w:r>
        <w:rPr>
          <w:rFonts w:hint="eastAsia"/>
        </w:rPr>
        <w:t>为学习贯彻习近平总书记考察湖北重要讲话精神，顺应产业转移规律，湖北省政府办公厅就新发展阶段招商引资工作提出指导意见。工作目标为到2027年构建更成熟招商格局，引进更多产业项目，提升先进制造业占比等。工作重点包括紧盯重点项目、聚焦重点产业、瞄准重点区域。精准招商手段有产业链条招商、产业集群招商等多种模式。全民创业方面，推进楚商回乡、返乡创业、校友回归和高校师生创新创业。同时强化服务保障，做好外资招商、优化投资环境、规范招商行为。健全工作机制，坚持“管行业必须管招商”，形成省、市、县三级工作合力。</w:t>
      </w:r>
    </w:p>
    <w:p w14:paraId="65730C5D">
      <w:pPr>
        <w:rPr>
          <w:rFonts w:hint="eastAsia"/>
        </w:rPr>
      </w:pPr>
    </w:p>
    <w:p w14:paraId="17F5B774">
      <w:pPr>
        <w:rPr>
          <w:rFonts w:hint="eastAsia"/>
        </w:rPr>
      </w:pPr>
      <w:r>
        <w:rPr>
          <w:rFonts w:hint="eastAsia"/>
        </w:rPr>
        <w:t>发文日期：2025年6月2</w:t>
      </w:r>
      <w:r>
        <w:rPr>
          <w:rFonts w:hint="eastAsia"/>
          <w:lang w:val="en-US" w:eastAsia="zh-CN"/>
        </w:rPr>
        <w:t>1</w:t>
      </w:r>
      <w:r>
        <w:rPr>
          <w:rFonts w:hint="eastAsia"/>
        </w:rPr>
        <w:t>日</w:t>
      </w:r>
    </w:p>
    <w:p w14:paraId="6BC2DA38">
      <w:pPr>
        <w:rPr>
          <w:rFonts w:hint="eastAsia"/>
        </w:rPr>
      </w:pPr>
      <w:r>
        <w:rPr>
          <w:rFonts w:hint="eastAsia"/>
        </w:rPr>
        <w:t>发文单位：湖北省人民政府办公厅</w:t>
      </w:r>
    </w:p>
    <w:p w14:paraId="29B578FB">
      <w:r>
        <w:rPr>
          <w:rFonts w:hint="eastAsia"/>
        </w:rPr>
        <w:t>原文链接：https://mp.weixin.qq.com/s/JK_cZimSMAqhI4awR335FQ</w:t>
      </w:r>
    </w:p>
    <w:p w14:paraId="47EFEDA1"/>
    <w:p w14:paraId="27F85618">
      <w:pPr>
        <w:pStyle w:val="4"/>
        <w:numPr>
          <w:ilvl w:val="0"/>
          <w:numId w:val="3"/>
        </w:numPr>
        <w:bidi w:val="0"/>
        <w:rPr>
          <w:rFonts w:hint="eastAsia"/>
        </w:rPr>
      </w:pPr>
      <w:bookmarkStart w:id="11" w:name="_Toc21192"/>
      <w:r>
        <w:rPr>
          <w:rFonts w:hint="eastAsia"/>
        </w:rPr>
        <w:t>《关于组织开展2025年度“61020”科技创新成果推荐工作的通知》</w:t>
      </w:r>
      <w:bookmarkEnd w:id="11"/>
    </w:p>
    <w:p w14:paraId="5831E5F1">
      <w:pPr>
        <w:rPr>
          <w:rFonts w:hint="eastAsia"/>
        </w:rPr>
      </w:pPr>
    </w:p>
    <w:p w14:paraId="3C029470">
      <w:pPr>
        <w:rPr>
          <w:rFonts w:hint="eastAsia"/>
        </w:rPr>
      </w:pPr>
      <w:r>
        <w:rPr>
          <w:rFonts w:hint="eastAsia"/>
        </w:rPr>
        <w:t>为贯彻党的二十届三中全会精神，推动湖北科技创新与产业创新融合，省科技厅开展2025年度“61020”科技创新成果推荐工作。推荐原则强调战略导向性、技术创新性和产业引领性。推荐条件分共性和个性要求，如标志性成果需2023年以来产生、权属清晰，不同类型成果有各自标准。推荐及遴选程序包括规定推荐渠道、要求和流程，经评估评价、专家评审、党组会审议后报省政府审定。支持措施有制作宣传视频、纳入省级科技计划、进入基金投资项目库等。各地方各部门要严格审核、广泛动员。</w:t>
      </w:r>
    </w:p>
    <w:p w14:paraId="70BB5B2B">
      <w:pPr>
        <w:rPr>
          <w:rFonts w:hint="eastAsia"/>
        </w:rPr>
      </w:pPr>
    </w:p>
    <w:p w14:paraId="6300DE07">
      <w:pPr>
        <w:rPr>
          <w:rFonts w:hint="eastAsia"/>
        </w:rPr>
      </w:pPr>
      <w:r>
        <w:rPr>
          <w:rFonts w:hint="eastAsia"/>
        </w:rPr>
        <w:t>发文日期：2025年6月</w:t>
      </w:r>
      <w:r>
        <w:rPr>
          <w:rFonts w:hint="eastAsia"/>
          <w:lang w:val="en-US" w:eastAsia="zh-CN"/>
        </w:rPr>
        <w:t>2</w:t>
      </w:r>
      <w:r>
        <w:rPr>
          <w:rFonts w:hint="eastAsia"/>
        </w:rPr>
        <w:t>3日</w:t>
      </w:r>
    </w:p>
    <w:p w14:paraId="33166AE2">
      <w:pPr>
        <w:rPr>
          <w:rFonts w:hint="eastAsia"/>
        </w:rPr>
      </w:pPr>
      <w:r>
        <w:rPr>
          <w:rFonts w:hint="eastAsia"/>
        </w:rPr>
        <w:t>发文单位：湖北省科技厅</w:t>
      </w:r>
    </w:p>
    <w:p w14:paraId="46430330">
      <w:pPr>
        <w:rPr>
          <w:rFonts w:hint="eastAsia"/>
        </w:rPr>
      </w:pPr>
      <w:r>
        <w:rPr>
          <w:rFonts w:hint="eastAsia"/>
        </w:rPr>
        <w:t>原文链接：</w:t>
      </w:r>
      <w:r>
        <w:rPr>
          <w:rFonts w:hint="eastAsia"/>
        </w:rPr>
        <w:fldChar w:fldCharType="begin"/>
      </w:r>
      <w:r>
        <w:rPr>
          <w:rFonts w:hint="eastAsia"/>
        </w:rPr>
        <w:instrText xml:space="preserve"> HYPERLINK "https://mp.weixin.qq.com/s/OldNCgCS3gNJkKpKeSj7GQ" </w:instrText>
      </w:r>
      <w:r>
        <w:rPr>
          <w:rFonts w:hint="eastAsia"/>
        </w:rPr>
        <w:fldChar w:fldCharType="separate"/>
      </w:r>
      <w:r>
        <w:rPr>
          <w:rStyle w:val="29"/>
          <w:rFonts w:hint="eastAsia"/>
        </w:rPr>
        <w:t>https://mp.weixin.qq.com/s/OldNCgCS3gNJkKpKeSj7GQ</w:t>
      </w:r>
      <w:r>
        <w:rPr>
          <w:rFonts w:hint="eastAsia"/>
        </w:rPr>
        <w:fldChar w:fldCharType="end"/>
      </w:r>
    </w:p>
    <w:p w14:paraId="3129A8E8">
      <w:pPr>
        <w:rPr>
          <w:rFonts w:hint="eastAsia"/>
        </w:rPr>
      </w:pPr>
    </w:p>
    <w:p w14:paraId="30ECEE73">
      <w:pPr>
        <w:pStyle w:val="4"/>
        <w:numPr>
          <w:ilvl w:val="0"/>
          <w:numId w:val="3"/>
        </w:numPr>
        <w:bidi w:val="0"/>
        <w:rPr>
          <w:rFonts w:hint="eastAsia"/>
        </w:rPr>
      </w:pPr>
      <w:bookmarkStart w:id="12" w:name="_Toc14641"/>
      <w:r>
        <w:rPr>
          <w:rFonts w:hint="eastAsia"/>
        </w:rPr>
        <w:t>《关于做好2025年“卓越工程师壮大行动”卓越工程师引进专项申报推荐工作的通知》</w:t>
      </w:r>
      <w:bookmarkEnd w:id="12"/>
    </w:p>
    <w:p w14:paraId="1901DE69">
      <w:pPr>
        <w:rPr>
          <w:rFonts w:hint="eastAsia"/>
        </w:rPr>
      </w:pPr>
    </w:p>
    <w:p w14:paraId="5F9C4F83">
      <w:pPr>
        <w:rPr>
          <w:rFonts w:hint="eastAsia"/>
        </w:rPr>
      </w:pPr>
      <w:r>
        <w:rPr>
          <w:rFonts w:hint="eastAsia"/>
        </w:rPr>
        <w:t>为聚焦“51020”先进制造业集群，构建现代化产业体系，湖北开展卓越工程师引进专项，列入“楚天英才计划·卓越工程师项目”，2025年遴选50名左右全职招引的优秀工程师予以重点支持。通知明确了申报条件，包括人选和引才单位条件，特殊人才可适当放宽。支持措施有给予培养资助、持续培养关注、加强政策合力、畅通发展路径、强化激励保障。各地各单位要重视申报推荐，引才单位严格预审，归口部门严格审核，同步推进卓越工程师大赛。</w:t>
      </w:r>
    </w:p>
    <w:p w14:paraId="533FAE99">
      <w:pPr>
        <w:rPr>
          <w:rFonts w:hint="eastAsia"/>
        </w:rPr>
      </w:pPr>
    </w:p>
    <w:p w14:paraId="3660CD7C">
      <w:pPr>
        <w:rPr>
          <w:rFonts w:hint="eastAsia"/>
        </w:rPr>
      </w:pPr>
      <w:r>
        <w:rPr>
          <w:rFonts w:hint="eastAsia"/>
        </w:rPr>
        <w:t>发文日期：2025年6月20日</w:t>
      </w:r>
    </w:p>
    <w:p w14:paraId="58B0643D">
      <w:pPr>
        <w:rPr>
          <w:rFonts w:hint="eastAsia"/>
        </w:rPr>
      </w:pPr>
      <w:r>
        <w:rPr>
          <w:rFonts w:hint="eastAsia"/>
        </w:rPr>
        <w:t>发文单位：湖北省经信厅</w:t>
      </w:r>
    </w:p>
    <w:p w14:paraId="3C498C21">
      <w:pPr>
        <w:rPr>
          <w:rFonts w:hint="eastAsia"/>
        </w:rPr>
      </w:pPr>
      <w:r>
        <w:rPr>
          <w:rFonts w:hint="eastAsia"/>
        </w:rPr>
        <w:t>原文链接：https://mp.weixin.qq.com/s/PG7dCdY_sbRz_7chFZhlZg</w:t>
      </w:r>
    </w:p>
    <w:p w14:paraId="60CDB9D9">
      <w:pPr>
        <w:rPr>
          <w:rFonts w:hint="eastAsia"/>
        </w:rPr>
      </w:pPr>
    </w:p>
    <w:p w14:paraId="403C385C">
      <w:pPr>
        <w:pStyle w:val="4"/>
        <w:numPr>
          <w:ilvl w:val="0"/>
          <w:numId w:val="3"/>
        </w:numPr>
        <w:bidi w:val="0"/>
        <w:rPr>
          <w:rFonts w:hint="eastAsia"/>
        </w:rPr>
      </w:pPr>
      <w:bookmarkStart w:id="13" w:name="_Toc21005"/>
      <w:r>
        <w:rPr>
          <w:rFonts w:hint="eastAsia"/>
        </w:rPr>
        <w:t>《省科技厅关于推荐申报国家重点研发计划“氢能技术”“储能与智能电网技术”重点专项2025年度项目的通知》</w:t>
      </w:r>
      <w:bookmarkEnd w:id="13"/>
    </w:p>
    <w:p w14:paraId="6EF25253">
      <w:pPr>
        <w:rPr>
          <w:rFonts w:hint="eastAsia"/>
        </w:rPr>
      </w:pPr>
    </w:p>
    <w:p w14:paraId="70487CE7">
      <w:pPr>
        <w:rPr>
          <w:rFonts w:hint="eastAsia"/>
        </w:rPr>
      </w:pPr>
      <w:r>
        <w:rPr>
          <w:rFonts w:hint="eastAsia"/>
        </w:rPr>
        <w:t>为落实国家能源局相关要求，湖北省科技厅组织开展“氢能技术”“储能与智能电网技术”重点专项2025年度项目申报及推荐工作。申报要求方面，各单位需按任务内容等进行线上填报，落实科研诚信等要求，加强审核把关，杜绝弄虚作假。申报及推荐程序为：先网上填报，各申报单位7月10日16：00前在指定平台完成注册并填写申报信息；再组织推荐，归口管理单位出具推荐函，项目牵头申报单位7月11日17：00前将推荐函电子版发至指定邮箱，省科技厅统一审核推荐。</w:t>
      </w:r>
    </w:p>
    <w:p w14:paraId="1079CFD3">
      <w:pPr>
        <w:rPr>
          <w:rFonts w:hint="eastAsia"/>
        </w:rPr>
      </w:pPr>
    </w:p>
    <w:p w14:paraId="68D6D3E5">
      <w:pPr>
        <w:rPr>
          <w:rFonts w:hint="eastAsia"/>
        </w:rPr>
      </w:pPr>
      <w:r>
        <w:rPr>
          <w:rFonts w:hint="eastAsia"/>
        </w:rPr>
        <w:t>发文日期：2025年6月23日</w:t>
      </w:r>
    </w:p>
    <w:p w14:paraId="554CE311">
      <w:pPr>
        <w:rPr>
          <w:rFonts w:hint="eastAsia"/>
        </w:rPr>
      </w:pPr>
      <w:r>
        <w:rPr>
          <w:rFonts w:hint="eastAsia"/>
        </w:rPr>
        <w:t>发文单位：湖北省科技厅</w:t>
      </w:r>
    </w:p>
    <w:p w14:paraId="5FD7CD85">
      <w:pPr>
        <w:rPr>
          <w:rFonts w:hint="eastAsia"/>
        </w:rPr>
      </w:pPr>
      <w:r>
        <w:rPr>
          <w:rFonts w:hint="eastAsia"/>
        </w:rPr>
        <w:t>原文链接：https://mp.weixin.qq.com/s/yWcFd_SoHUA1JSp9JVjXyQ</w:t>
      </w:r>
    </w:p>
    <w:p w14:paraId="784850E7">
      <w:pPr>
        <w:rPr>
          <w:rFonts w:hint="eastAsia"/>
        </w:rPr>
      </w:pPr>
    </w:p>
    <w:p w14:paraId="6D03C6D7">
      <w:pPr>
        <w:pStyle w:val="4"/>
        <w:numPr>
          <w:ilvl w:val="0"/>
          <w:numId w:val="3"/>
        </w:numPr>
        <w:bidi w:val="0"/>
        <w:rPr>
          <w:rFonts w:hint="eastAsia"/>
        </w:rPr>
      </w:pPr>
      <w:bookmarkStart w:id="14" w:name="_Toc160"/>
      <w:r>
        <w:rPr>
          <w:rFonts w:hint="eastAsia"/>
          <w:lang w:val="en-US" w:eastAsia="zh-CN"/>
        </w:rPr>
        <w:t>武汉</w:t>
      </w:r>
      <w:r>
        <w:rPr>
          <w:rFonts w:hint="eastAsia"/>
        </w:rPr>
        <w:t>《关于开展武汉市人工智能场景创新能力征集的通知》</w:t>
      </w:r>
      <w:bookmarkEnd w:id="14"/>
    </w:p>
    <w:p w14:paraId="75C9BCF5">
      <w:pPr>
        <w:rPr>
          <w:rFonts w:hint="eastAsia"/>
        </w:rPr>
      </w:pPr>
    </w:p>
    <w:p w14:paraId="00E0099A">
      <w:pPr>
        <w:rPr>
          <w:rFonts w:hint="eastAsia"/>
        </w:rPr>
      </w:pPr>
      <w:r>
        <w:rPr>
          <w:rFonts w:hint="eastAsia"/>
        </w:rPr>
        <w:t>为加快建设武汉国家人工智能创新应用先导区，深入落实“人工智能 +”行动，武汉市经信局开展人工智能场景创新能力征集工作。征集目的在于广泛征集企业创新技术和产品，梳理能力清单，推动重点领域开放应用场景，破解对接困境，培育标杆案例，打造人工智能应用“武汉模式”。征集内容面向本市创新主体，聚焦城市治理、产业发展等方面多个方向及硬件产品。工作要求各区人工智能主管部门组织辖区相关企事业单位积极申报，指导填写清单，严格审核汇总材料，于 2025 年 6 月 23 日前发至指定邮箱。</w:t>
      </w:r>
    </w:p>
    <w:p w14:paraId="20C3E092">
      <w:pPr>
        <w:rPr>
          <w:rFonts w:hint="eastAsia"/>
        </w:rPr>
      </w:pPr>
    </w:p>
    <w:p w14:paraId="4777284F">
      <w:pPr>
        <w:rPr>
          <w:rFonts w:hint="eastAsia"/>
        </w:rPr>
      </w:pPr>
      <w:r>
        <w:rPr>
          <w:rFonts w:hint="eastAsia"/>
        </w:rPr>
        <w:t>发文日期：2025年6月19日</w:t>
      </w:r>
    </w:p>
    <w:p w14:paraId="65CADE29">
      <w:pPr>
        <w:rPr>
          <w:rFonts w:hint="eastAsia"/>
        </w:rPr>
      </w:pPr>
      <w:r>
        <w:rPr>
          <w:rFonts w:hint="eastAsia"/>
        </w:rPr>
        <w:t>发文单位：武汉市经信局</w:t>
      </w:r>
    </w:p>
    <w:p w14:paraId="70A2AF47">
      <w:pPr>
        <w:rPr>
          <w:rFonts w:hint="eastAsia"/>
        </w:rPr>
      </w:pPr>
      <w:r>
        <w:rPr>
          <w:rFonts w:hint="eastAsia"/>
        </w:rPr>
        <w:t>原文链接：https://mp.weixin.qq.com/s/6ab88TLQsGHzPQ9pDkgV_g</w:t>
      </w:r>
    </w:p>
    <w:p w14:paraId="63E628B5">
      <w:pPr>
        <w:rPr>
          <w:rFonts w:hint="eastAsia"/>
        </w:rPr>
      </w:pPr>
    </w:p>
    <w:p w14:paraId="78C4E089">
      <w:pPr>
        <w:pStyle w:val="4"/>
        <w:bidi w:val="0"/>
        <w:rPr>
          <w:rFonts w:hint="eastAsia"/>
        </w:rPr>
      </w:pPr>
      <w:bookmarkStart w:id="15" w:name="_Toc12581"/>
      <w:r>
        <w:rPr>
          <w:rFonts w:hint="eastAsia"/>
          <w:lang w:val="en-US" w:eastAsia="zh-CN"/>
        </w:rPr>
        <w:t>黄石</w:t>
      </w:r>
      <w:r>
        <w:rPr>
          <w:rFonts w:hint="eastAsia"/>
        </w:rPr>
        <w:t>《黄石市推进人工智能（AI）城市建设2025行动计划》</w:t>
      </w:r>
      <w:bookmarkEnd w:id="15"/>
    </w:p>
    <w:p w14:paraId="4E7F549A">
      <w:pPr>
        <w:rPr>
          <w:rFonts w:hint="eastAsia"/>
        </w:rPr>
      </w:pPr>
    </w:p>
    <w:p w14:paraId="545C6FC3">
      <w:pPr>
        <w:rPr>
          <w:rFonts w:hint="default" w:eastAsia="宋体"/>
          <w:lang w:val="en-US" w:eastAsia="zh-CN"/>
        </w:rPr>
      </w:pPr>
      <w:r>
        <w:rPr>
          <w:rFonts w:hint="eastAsia"/>
          <w:lang w:val="en-US" w:eastAsia="zh-CN"/>
        </w:rPr>
        <w:t>近日，黄石市市委、市政府提出了加快推进AI城市建设这一时代命题，研究出台了《黄石市推进人工智能（AI）城市建设2025行动计划》，提出“打造全省领先、全国一流AI示范城市”的总体目标定位，力争用3年左右时间，打造一批有较强影响力的创新应用场景，推出一批AI智能软硬件产品，走出一条“以应用场景牵引产品创新、以产品创新赋能行业发展、以行业发展带动产业集聚”的具有黄石鲜明特色的转型发展新路。</w:t>
      </w:r>
    </w:p>
    <w:p w14:paraId="1ABF9033">
      <w:pPr>
        <w:rPr>
          <w:rFonts w:hint="eastAsia"/>
        </w:rPr>
      </w:pPr>
    </w:p>
    <w:p w14:paraId="5E89F47E">
      <w:pPr>
        <w:rPr>
          <w:rFonts w:hint="eastAsia"/>
        </w:rPr>
      </w:pPr>
      <w:r>
        <w:rPr>
          <w:rFonts w:hint="eastAsia"/>
        </w:rPr>
        <w:t>发文日期：2025 年 6 月 2</w:t>
      </w:r>
      <w:r>
        <w:rPr>
          <w:rFonts w:hint="eastAsia"/>
          <w:lang w:val="en-US" w:eastAsia="zh-CN"/>
        </w:rPr>
        <w:t>3</w:t>
      </w:r>
      <w:r>
        <w:rPr>
          <w:rFonts w:hint="eastAsia"/>
        </w:rPr>
        <w:t xml:space="preserve"> 日</w:t>
      </w:r>
    </w:p>
    <w:p w14:paraId="1862CF74">
      <w:pPr>
        <w:rPr>
          <w:rFonts w:hint="eastAsia"/>
        </w:rPr>
      </w:pPr>
      <w:r>
        <w:rPr>
          <w:rFonts w:hint="eastAsia"/>
        </w:rPr>
        <w:t>发文单位：黄石市数据局</w:t>
      </w:r>
    </w:p>
    <w:p w14:paraId="24E4A9EC">
      <w:pPr>
        <w:rPr>
          <w:rFonts w:hint="eastAsia"/>
        </w:rPr>
      </w:pPr>
      <w:r>
        <w:rPr>
          <w:rFonts w:hint="eastAsia"/>
        </w:rPr>
        <w:t>原文链接：https://sjj.hubei.gov.cn/bmdt/sxdt/202506/t20250623_5703069.shtml</w:t>
      </w:r>
    </w:p>
    <w:p w14:paraId="2F2AC1B2">
      <w:pPr>
        <w:rPr>
          <w:rFonts w:hint="eastAsia"/>
        </w:rPr>
      </w:pPr>
    </w:p>
    <w:p w14:paraId="04C4D324">
      <w:pPr>
        <w:pStyle w:val="2"/>
        <w:rPr>
          <w:rFonts w:hint="eastAsia"/>
        </w:rPr>
      </w:pPr>
      <w:bookmarkStart w:id="16" w:name="_Toc13260"/>
      <w:r>
        <w:rPr>
          <w:rFonts w:hint="eastAsia"/>
        </w:rPr>
        <w:t>热点.资讯</w:t>
      </w:r>
      <w:bookmarkEnd w:id="16"/>
    </w:p>
    <w:p w14:paraId="690BA85F"/>
    <w:p w14:paraId="6B4B03D1">
      <w:pPr>
        <w:pStyle w:val="4"/>
        <w:numPr>
          <w:ilvl w:val="0"/>
          <w:numId w:val="4"/>
        </w:numPr>
        <w:bidi w:val="0"/>
        <w:rPr>
          <w:rFonts w:hint="eastAsia"/>
        </w:rPr>
      </w:pPr>
      <w:bookmarkStart w:id="17" w:name="_Toc21602"/>
      <w:r>
        <w:rPr>
          <w:rFonts w:hint="eastAsia"/>
        </w:rPr>
        <w:t>央地共建粤港澳大湾区国际科技创新中心工作推进会在广州召开</w:t>
      </w:r>
      <w:bookmarkEnd w:id="17"/>
    </w:p>
    <w:p w14:paraId="606F6A47">
      <w:pPr>
        <w:rPr>
          <w:rFonts w:hint="eastAsia"/>
        </w:rPr>
      </w:pPr>
    </w:p>
    <w:p w14:paraId="55ECD0E7">
      <w:pPr>
        <w:rPr>
          <w:rFonts w:hint="eastAsia"/>
        </w:rPr>
      </w:pPr>
      <w:r>
        <w:rPr>
          <w:rFonts w:hint="eastAsia"/>
        </w:rPr>
        <w:t>6月20日下午，央地共建粤港澳大湾区国际科技创新中心工作推进会在广州召开，黄坤明、阴和俊出席并讲话，王伟中主持。会上各方通报建设进展及重点任务。黄坤明指出，建设该中心是重大机遇，已取得阶段性成果。要提高站位，聚焦新质生产力推进重点任务，发挥“一国两制”优势，扛起主体责任，加强合作。阴和俊强调要贯彻指示部署，强化使命担当，科技部将加强支持服务。下一步将支持培育战略科技力量、引领产业建设、推进一体化改革、扩大开放合作等，为强国建设贡献力量。中央和国家机关有关部门、粤港相关负责人等参会。</w:t>
      </w:r>
    </w:p>
    <w:p w14:paraId="31278B02">
      <w:pPr>
        <w:rPr>
          <w:rFonts w:hint="eastAsia"/>
        </w:rPr>
      </w:pPr>
    </w:p>
    <w:p w14:paraId="25266604">
      <w:pPr>
        <w:rPr>
          <w:rFonts w:hint="eastAsia"/>
        </w:rPr>
      </w:pPr>
      <w:r>
        <w:rPr>
          <w:rFonts w:hint="eastAsia"/>
        </w:rPr>
        <w:t>发文日期：2025年6月21日</w:t>
      </w:r>
    </w:p>
    <w:p w14:paraId="7950FD07">
      <w:pPr>
        <w:rPr>
          <w:rFonts w:hint="eastAsia"/>
        </w:rPr>
      </w:pPr>
      <w:r>
        <w:rPr>
          <w:rFonts w:hint="eastAsia"/>
        </w:rPr>
        <w:t>发文单位：科技部</w:t>
      </w:r>
    </w:p>
    <w:p w14:paraId="4101660B">
      <w:pPr>
        <w:rPr>
          <w:rFonts w:hint="eastAsia"/>
        </w:rPr>
      </w:pPr>
      <w:r>
        <w:rPr>
          <w:rFonts w:hint="eastAsia"/>
        </w:rPr>
        <w:t>原文链接：https://mp.weixin.qq.com/s/KFyPZxU_yLGUcMdWRDokCA</w:t>
      </w:r>
    </w:p>
    <w:p w14:paraId="57D6E444">
      <w:pPr>
        <w:rPr>
          <w:rFonts w:hint="eastAsia"/>
        </w:rPr>
      </w:pPr>
    </w:p>
    <w:p w14:paraId="7093A3C2">
      <w:pPr>
        <w:pStyle w:val="4"/>
        <w:numPr>
          <w:ilvl w:val="0"/>
          <w:numId w:val="4"/>
        </w:numPr>
        <w:bidi w:val="0"/>
        <w:rPr>
          <w:rFonts w:hint="eastAsia"/>
        </w:rPr>
      </w:pPr>
      <w:bookmarkStart w:id="18" w:name="_Toc2420"/>
      <w:r>
        <w:rPr>
          <w:rFonts w:hint="eastAsia"/>
        </w:rPr>
        <w:t>中国人民银行与香港金融管理局联合举办跨境支付通启动仪式</w:t>
      </w:r>
      <w:bookmarkEnd w:id="18"/>
    </w:p>
    <w:p w14:paraId="6D809634">
      <w:pPr>
        <w:rPr>
          <w:rFonts w:hint="eastAsia"/>
        </w:rPr>
      </w:pPr>
    </w:p>
    <w:p w14:paraId="274A46AA">
      <w:pPr>
        <w:rPr>
          <w:rFonts w:hint="eastAsia"/>
        </w:rPr>
      </w:pPr>
      <w:r>
        <w:rPr>
          <w:rFonts w:hint="eastAsia"/>
        </w:rPr>
        <w:t>6月20日上午，中国人民银行与香港金融管理局联合举办内地与香港快速支付系统互联互通（跨境支付通）启动仪式，中国人民银行行长潘功胜等出席并致辞。跨境支付通通过内地网上支付跨行清算系统与香港“转数快”直接连接，在遵守两地法规下，为两地居民提供跨境支付服务。该系统将于6月22日上线运行，其推出有利于提升两地跨境支付效率、便利经贸活动和人员往来，巩固香港国际金融中心地位。下一步，双方将加强监管合作，保障系统平稳运行，会同运营和参与机构完善制度，推动跨境支付体系高质量发展，服务高水平对外开放。两地快速支付系统运营机构和商业银行有关负责人出席仪式。</w:t>
      </w:r>
    </w:p>
    <w:p w14:paraId="0ED33054">
      <w:pPr>
        <w:rPr>
          <w:rFonts w:hint="eastAsia"/>
        </w:rPr>
      </w:pPr>
    </w:p>
    <w:p w14:paraId="0F21024B">
      <w:pPr>
        <w:rPr>
          <w:rFonts w:hint="eastAsia"/>
        </w:rPr>
      </w:pPr>
      <w:r>
        <w:rPr>
          <w:rFonts w:hint="eastAsia"/>
        </w:rPr>
        <w:t>发文日期：2025年6月20日</w:t>
      </w:r>
    </w:p>
    <w:p w14:paraId="486AD80F">
      <w:pPr>
        <w:rPr>
          <w:rFonts w:hint="eastAsia"/>
        </w:rPr>
      </w:pPr>
      <w:r>
        <w:rPr>
          <w:rFonts w:hint="eastAsia"/>
        </w:rPr>
        <w:t>发文单位：中国人民银行</w:t>
      </w:r>
    </w:p>
    <w:p w14:paraId="49409987">
      <w:pPr>
        <w:rPr>
          <w:rFonts w:hint="eastAsia"/>
        </w:rPr>
      </w:pPr>
      <w:r>
        <w:rPr>
          <w:rFonts w:hint="eastAsia"/>
        </w:rPr>
        <w:t>原文链接：https://mp.weixin.qq.com/s/d6PyW8zfycNbIoxwEsY0Jg</w:t>
      </w:r>
    </w:p>
    <w:p w14:paraId="47E86167">
      <w:pPr>
        <w:rPr>
          <w:rFonts w:hint="eastAsia"/>
        </w:rPr>
      </w:pPr>
    </w:p>
    <w:p w14:paraId="653D1B01">
      <w:pPr>
        <w:pStyle w:val="4"/>
        <w:numPr>
          <w:ilvl w:val="0"/>
          <w:numId w:val="4"/>
        </w:numPr>
        <w:bidi w:val="0"/>
        <w:rPr>
          <w:rFonts w:hint="eastAsia"/>
        </w:rPr>
      </w:pPr>
      <w:bookmarkStart w:id="19" w:name="_Toc13426"/>
      <w:r>
        <w:rPr>
          <w:rFonts w:hint="eastAsia"/>
        </w:rPr>
        <w:t>上海合作组织能源部长会议及配套活动召开</w:t>
      </w:r>
      <w:bookmarkEnd w:id="19"/>
    </w:p>
    <w:p w14:paraId="05950209">
      <w:pPr>
        <w:rPr>
          <w:rFonts w:hint="eastAsia"/>
        </w:rPr>
      </w:pPr>
    </w:p>
    <w:p w14:paraId="2CC60625">
      <w:pPr>
        <w:rPr>
          <w:rFonts w:hint="eastAsia"/>
        </w:rPr>
      </w:pPr>
      <w:r>
        <w:rPr>
          <w:rFonts w:hint="eastAsia"/>
        </w:rPr>
        <w:t>2025年6月26日至27日，上海合作组织能源部长会议及配套活动在浙江宁波召开。该会议由中国国家能源局、浙江省人民政府共同主办，是配合今年上合组织元首峰会的能源领域最高级别会议，也是中国2025年能源领域最大的主场外交活动之一。会议邀请了上合组织相关机构及成员国、观察员国、对话伙伴国能源主管部门等单位参会</w:t>
      </w:r>
      <w:r>
        <w:rPr>
          <w:rFonts w:hint="eastAsia"/>
          <w:lang w:eastAsia="zh-CN"/>
        </w:rPr>
        <w:t>，</w:t>
      </w:r>
      <w:r>
        <w:rPr>
          <w:rFonts w:hint="eastAsia"/>
        </w:rPr>
        <w:t>会议开幕式发布《中国—上海合作组织可再生能源合作报告2024》。</w:t>
      </w:r>
    </w:p>
    <w:p w14:paraId="1E75F69C">
      <w:pPr>
        <w:rPr>
          <w:rFonts w:hint="eastAsia"/>
        </w:rPr>
      </w:pPr>
    </w:p>
    <w:p w14:paraId="194986B2">
      <w:pPr>
        <w:rPr>
          <w:rFonts w:hint="eastAsia"/>
        </w:rPr>
      </w:pPr>
      <w:r>
        <w:rPr>
          <w:rFonts w:hint="eastAsia"/>
        </w:rPr>
        <w:t>发文日期：2025年6月2</w:t>
      </w:r>
      <w:r>
        <w:rPr>
          <w:rFonts w:hint="eastAsia"/>
          <w:lang w:val="en-US" w:eastAsia="zh-CN"/>
        </w:rPr>
        <w:t>7</w:t>
      </w:r>
      <w:r>
        <w:rPr>
          <w:rFonts w:hint="eastAsia"/>
        </w:rPr>
        <w:t>日</w:t>
      </w:r>
    </w:p>
    <w:p w14:paraId="241784F7">
      <w:pPr>
        <w:rPr>
          <w:rFonts w:hint="eastAsia"/>
        </w:rPr>
      </w:pPr>
      <w:r>
        <w:rPr>
          <w:rFonts w:hint="eastAsia"/>
        </w:rPr>
        <w:t>发文单位：国家能源局</w:t>
      </w:r>
    </w:p>
    <w:p w14:paraId="31E94515">
      <w:pPr>
        <w:rPr>
          <w:rFonts w:hint="eastAsia"/>
        </w:rPr>
      </w:pPr>
      <w:r>
        <w:rPr>
          <w:rFonts w:hint="eastAsia"/>
        </w:rPr>
        <w:t>原文链接：https://mp.weixin.qq.com/s/BWLyqq_raChk920fLMjaKQ</w:t>
      </w:r>
    </w:p>
    <w:p w14:paraId="234678FC">
      <w:pPr>
        <w:rPr>
          <w:rFonts w:hint="eastAsia"/>
        </w:rPr>
      </w:pPr>
    </w:p>
    <w:p w14:paraId="3FD1EFEF">
      <w:pPr>
        <w:pStyle w:val="4"/>
        <w:numPr>
          <w:ilvl w:val="0"/>
          <w:numId w:val="4"/>
        </w:numPr>
        <w:bidi w:val="0"/>
        <w:rPr>
          <w:rFonts w:hint="eastAsia"/>
        </w:rPr>
      </w:pPr>
      <w:bookmarkStart w:id="20" w:name="_Toc26828"/>
      <w:r>
        <w:rPr>
          <w:rFonts w:hint="eastAsia"/>
        </w:rPr>
        <w:t>2025年“数据要素×”大赛湖北分赛“数据洞察与人工智能”赛道启动</w:t>
      </w:r>
      <w:bookmarkEnd w:id="20"/>
    </w:p>
    <w:p w14:paraId="6CBDD553">
      <w:pPr>
        <w:rPr>
          <w:rFonts w:hint="eastAsia"/>
        </w:rPr>
      </w:pPr>
    </w:p>
    <w:p w14:paraId="3174CA76">
      <w:pPr>
        <w:rPr>
          <w:rFonts w:hint="eastAsia"/>
        </w:rPr>
      </w:pPr>
      <w:r>
        <w:rPr>
          <w:rFonts w:hint="eastAsia"/>
        </w:rPr>
        <w:t>6月24日，2025年“数据要素×”大赛湖北分赛“数据洞察与人工智能”赛道启动会在武汉举行，相关部门、企业、科研机构及高校代表出席。该大赛是全国首个聚焦数据要素开发应用的全国性大赛，湖北分赛此赛道旨在推动数据要素与人工智能融合创新。活动中，湖北省数据局相关负责人介绍了推进基础制度、算力基础设施、高质量数据供给及数据流通交易等方面建设情况；武汉市数据局介绍了城市大模型建设应用成果。大赛设置6个方向赛题，期望探索大模型行业应用落地模式。同时，还宣讲了数据标注行动方案。</w:t>
      </w:r>
    </w:p>
    <w:p w14:paraId="3CF73FC2">
      <w:pPr>
        <w:rPr>
          <w:rFonts w:hint="eastAsia"/>
        </w:rPr>
      </w:pPr>
    </w:p>
    <w:p w14:paraId="7081FEC5">
      <w:pPr>
        <w:rPr>
          <w:rFonts w:hint="eastAsia"/>
        </w:rPr>
      </w:pPr>
      <w:r>
        <w:rPr>
          <w:rFonts w:hint="eastAsia"/>
        </w:rPr>
        <w:t>发文日期：2025年6月25日</w:t>
      </w:r>
    </w:p>
    <w:p w14:paraId="6061CBA6">
      <w:pPr>
        <w:rPr>
          <w:rFonts w:hint="default" w:eastAsia="宋体"/>
          <w:lang w:val="en-US" w:eastAsia="zh-CN"/>
        </w:rPr>
      </w:pPr>
      <w:r>
        <w:rPr>
          <w:rFonts w:hint="eastAsia"/>
        </w:rPr>
        <w:t>发文单位：</w:t>
      </w:r>
      <w:r>
        <w:rPr>
          <w:rFonts w:hint="eastAsia"/>
          <w:lang w:val="en-US" w:eastAsia="zh-CN"/>
        </w:rPr>
        <w:t>武汉市数据局</w:t>
      </w:r>
    </w:p>
    <w:p w14:paraId="79510E2C">
      <w:pPr>
        <w:rPr>
          <w:rFonts w:hint="eastAsia"/>
        </w:rPr>
      </w:pPr>
      <w:r>
        <w:rPr>
          <w:rFonts w:hint="eastAsia"/>
        </w:rPr>
        <w:t>原文链接：https://mp.weixin.qq.com/s/enls8DJpDRc0dzavYzjdGA</w:t>
      </w:r>
    </w:p>
    <w:p w14:paraId="0A842963">
      <w:pPr>
        <w:rPr>
          <w:rFonts w:hint="eastAsia"/>
        </w:rPr>
      </w:pPr>
    </w:p>
    <w:p w14:paraId="0AD7701F">
      <w:pPr>
        <w:pStyle w:val="4"/>
        <w:numPr>
          <w:ilvl w:val="0"/>
          <w:numId w:val="4"/>
        </w:numPr>
        <w:bidi w:val="0"/>
        <w:rPr>
          <w:rFonts w:hint="eastAsia"/>
        </w:rPr>
      </w:pPr>
      <w:bookmarkStart w:id="21" w:name="_Toc12276"/>
      <w:r>
        <w:rPr>
          <w:rFonts w:hint="eastAsia"/>
        </w:rPr>
        <w:t>湖北4家企业入选2024中国零售业Top100榜单</w:t>
      </w:r>
      <w:r>
        <w:rPr>
          <w:rFonts w:hint="eastAsia"/>
          <w:lang w:eastAsia="zh-CN"/>
        </w:rPr>
        <w:t>，</w:t>
      </w:r>
      <w:r>
        <w:rPr>
          <w:rFonts w:hint="eastAsia"/>
        </w:rPr>
        <w:t>数量中部第一</w:t>
      </w:r>
      <w:bookmarkEnd w:id="21"/>
    </w:p>
    <w:p w14:paraId="68C21C80">
      <w:pPr>
        <w:rPr>
          <w:rFonts w:hint="eastAsia"/>
        </w:rPr>
      </w:pPr>
    </w:p>
    <w:p w14:paraId="6A90C036">
      <w:pPr>
        <w:rPr>
          <w:rFonts w:hint="eastAsia"/>
        </w:rPr>
      </w:pPr>
      <w:r>
        <w:rPr>
          <w:rFonts w:hint="eastAsia"/>
          <w:lang w:val="en-US" w:eastAsia="zh-CN"/>
        </w:rPr>
        <w:t>近</w:t>
      </w:r>
      <w:r>
        <w:rPr>
          <w:rFonts w:hint="eastAsia"/>
        </w:rPr>
        <w:t>日，中国商业联合会、中华全国商业信息中心联合发布2024年度中国商业零售TOP100名单，以2024年国内零售业企业年销售额排名，湖北省4家企业上榜，数量居中部第一，分别是武商集团（第17位）、中百控股集团（第34位）、湖北黄商集团（第71位）、湖北寿康永乐商贸集团（第75位）。</w:t>
      </w:r>
    </w:p>
    <w:p w14:paraId="54669D7D">
      <w:pPr>
        <w:rPr>
          <w:rFonts w:hint="eastAsia"/>
        </w:rPr>
      </w:pPr>
    </w:p>
    <w:p w14:paraId="504C7252">
      <w:pPr>
        <w:rPr>
          <w:rFonts w:hint="eastAsia"/>
        </w:rPr>
      </w:pPr>
      <w:r>
        <w:rPr>
          <w:rFonts w:hint="eastAsia"/>
        </w:rPr>
        <w:t>发文日期：2025年6月24日</w:t>
      </w:r>
    </w:p>
    <w:p w14:paraId="401D957E">
      <w:pPr>
        <w:rPr>
          <w:rFonts w:hint="eastAsia"/>
        </w:rPr>
      </w:pPr>
      <w:r>
        <w:rPr>
          <w:rFonts w:hint="eastAsia"/>
        </w:rPr>
        <w:t>发文单位：湖北省商务厅</w:t>
      </w:r>
    </w:p>
    <w:p w14:paraId="335B4262">
      <w:pPr>
        <w:rPr>
          <w:rFonts w:hint="eastAsia"/>
        </w:rPr>
      </w:pPr>
      <w:r>
        <w:rPr>
          <w:rFonts w:hint="eastAsia"/>
        </w:rPr>
        <w:t>原文链接：https://mp.weixin.qq.com/s/dkeQlEjbGadCg6la72vrSQ</w:t>
      </w:r>
    </w:p>
    <w:p w14:paraId="3FCB1F08">
      <w:pPr>
        <w:rPr>
          <w:rFonts w:hint="eastAsia"/>
        </w:rPr>
      </w:pPr>
    </w:p>
    <w:p w14:paraId="5FA8AC42">
      <w:pPr>
        <w:pStyle w:val="4"/>
        <w:numPr>
          <w:ilvl w:val="0"/>
          <w:numId w:val="4"/>
        </w:numPr>
        <w:bidi w:val="0"/>
        <w:rPr>
          <w:rFonts w:hint="eastAsia"/>
        </w:rPr>
      </w:pPr>
      <w:bookmarkStart w:id="22" w:name="_Toc24905"/>
      <w:r>
        <w:rPr>
          <w:rFonts w:hint="eastAsia"/>
        </w:rPr>
        <w:t>湖北省数据标准化技术委员会成立</w:t>
      </w:r>
      <w:bookmarkEnd w:id="22"/>
    </w:p>
    <w:p w14:paraId="20591100">
      <w:pPr>
        <w:rPr>
          <w:rFonts w:hint="eastAsia"/>
        </w:rPr>
      </w:pPr>
    </w:p>
    <w:p w14:paraId="76B5CB00">
      <w:pPr>
        <w:rPr>
          <w:rFonts w:hint="eastAsia"/>
        </w:rPr>
      </w:pPr>
      <w:r>
        <w:rPr>
          <w:rFonts w:hint="eastAsia"/>
        </w:rPr>
        <w:t>6月23日，经湖北省市场监督管理局批准，湖北省数据标准化技术委员会成立大会在武汉召开。该委员会旨在推进湖北多领域的数据标准化工作，由湖北省数据局筹建并指导，秘书处由省大数据中心承担。其委员单位和委员涉及行政机关、企业及高校院所。湖北省数标委副主任委员表示，其成立搭建了高规格平台，将构建科学数据标准体系。下一步，湖北省数据局将加强统筹保障，合力打造省级数据标准化工作典范。</w:t>
      </w:r>
    </w:p>
    <w:p w14:paraId="4D30ED8C">
      <w:pPr>
        <w:rPr>
          <w:rFonts w:hint="eastAsia"/>
        </w:rPr>
      </w:pPr>
    </w:p>
    <w:p w14:paraId="6449FF50">
      <w:pPr>
        <w:rPr>
          <w:rFonts w:hint="eastAsia"/>
        </w:rPr>
      </w:pPr>
      <w:r>
        <w:rPr>
          <w:rFonts w:hint="eastAsia"/>
        </w:rPr>
        <w:t>发文日期：2025年6月2</w:t>
      </w:r>
      <w:r>
        <w:rPr>
          <w:rFonts w:hint="eastAsia"/>
          <w:lang w:val="en-US" w:eastAsia="zh-CN"/>
        </w:rPr>
        <w:t>3</w:t>
      </w:r>
      <w:r>
        <w:rPr>
          <w:rFonts w:hint="eastAsia"/>
        </w:rPr>
        <w:t>日</w:t>
      </w:r>
    </w:p>
    <w:p w14:paraId="6BEB3041">
      <w:pPr>
        <w:rPr>
          <w:rFonts w:hint="eastAsia"/>
        </w:rPr>
      </w:pPr>
      <w:r>
        <w:rPr>
          <w:rFonts w:hint="eastAsia"/>
        </w:rPr>
        <w:t>发文单位：湖北省</w:t>
      </w:r>
      <w:r>
        <w:rPr>
          <w:rFonts w:hint="eastAsia"/>
          <w:lang w:val="en-US" w:eastAsia="zh-CN"/>
        </w:rPr>
        <w:t>数据</w:t>
      </w:r>
      <w:r>
        <w:rPr>
          <w:rFonts w:hint="eastAsia"/>
        </w:rPr>
        <w:t>局</w:t>
      </w:r>
    </w:p>
    <w:p w14:paraId="119AAA7C">
      <w:pPr>
        <w:rPr>
          <w:rFonts w:hint="eastAsia"/>
        </w:rPr>
      </w:pPr>
      <w:r>
        <w:rPr>
          <w:rFonts w:hint="eastAsia"/>
        </w:rPr>
        <w:t>原文链接：https://mp.weixin.qq.com/s/ohjQ85x_vWB3Qdqk9AaRgw</w:t>
      </w:r>
    </w:p>
    <w:p w14:paraId="3ECF4DBE">
      <w:pPr>
        <w:rPr>
          <w:rFonts w:hint="eastAsia"/>
        </w:rPr>
      </w:pPr>
    </w:p>
    <w:p w14:paraId="3EA566DB">
      <w:pPr>
        <w:pStyle w:val="4"/>
        <w:numPr>
          <w:ilvl w:val="0"/>
          <w:numId w:val="4"/>
        </w:numPr>
        <w:bidi w:val="0"/>
        <w:rPr>
          <w:rFonts w:hint="eastAsia"/>
        </w:rPr>
      </w:pPr>
      <w:bookmarkStart w:id="23" w:name="_Toc24208"/>
      <w:r>
        <w:rPr>
          <w:rFonts w:hint="eastAsia"/>
        </w:rPr>
        <w:t>湖北新增44个省级工业互联网平台</w:t>
      </w:r>
      <w:bookmarkEnd w:id="23"/>
    </w:p>
    <w:p w14:paraId="6CE47AC2">
      <w:pPr>
        <w:rPr>
          <w:rFonts w:hint="eastAsia"/>
        </w:rPr>
      </w:pPr>
    </w:p>
    <w:p w14:paraId="4B08175E">
      <w:pPr>
        <w:rPr>
          <w:rFonts w:hint="eastAsia"/>
        </w:rPr>
      </w:pPr>
      <w:r>
        <w:rPr>
          <w:rFonts w:hint="eastAsia"/>
        </w:rPr>
        <w:t>近日，湖北公布2025年省级工业互联网平台名单，新增44个平台，使省级平台总数达136个。入选的44个平台中，行业型平台最多，有20个，覆盖汽车制造等优势产业。新入选省级“双跨”平台4个，数量创新高，其是工业资源集聚共享等的重要载体。目前湖北有2个国家级、8个省级“双跨”平台，为此持续出台支持政策，对不同级别“双跨”平台给予奖补，安排上云补贴。下一步湖北将强化政策引导，健全评价机制，打造融合发展模式。</w:t>
      </w:r>
    </w:p>
    <w:p w14:paraId="681B0C03">
      <w:pPr>
        <w:rPr>
          <w:rFonts w:hint="eastAsia"/>
        </w:rPr>
      </w:pPr>
    </w:p>
    <w:p w14:paraId="0431752E">
      <w:pPr>
        <w:rPr>
          <w:rFonts w:hint="eastAsia"/>
        </w:rPr>
      </w:pPr>
      <w:r>
        <w:rPr>
          <w:rFonts w:hint="eastAsia"/>
        </w:rPr>
        <w:t>发文日期：2025年6月23日</w:t>
      </w:r>
    </w:p>
    <w:p w14:paraId="2CA85306">
      <w:pPr>
        <w:rPr>
          <w:rFonts w:hint="eastAsia"/>
        </w:rPr>
      </w:pPr>
      <w:r>
        <w:rPr>
          <w:rFonts w:hint="eastAsia"/>
        </w:rPr>
        <w:t>发文单位：湖北省经济和信息化厅</w:t>
      </w:r>
    </w:p>
    <w:p w14:paraId="55EA0E8F">
      <w:pPr>
        <w:rPr>
          <w:rFonts w:hint="eastAsia"/>
        </w:rPr>
      </w:pPr>
      <w:r>
        <w:rPr>
          <w:rFonts w:hint="eastAsia"/>
        </w:rPr>
        <w:t>原文链接：https://mp.weixin.qq.com/s/Ki4zCEI5bPYjdZ4lHGU5yg</w:t>
      </w:r>
    </w:p>
    <w:p w14:paraId="097F3857">
      <w:pPr>
        <w:rPr>
          <w:rFonts w:hint="eastAsia"/>
        </w:rPr>
      </w:pPr>
    </w:p>
    <w:p w14:paraId="372FB178">
      <w:pPr>
        <w:rPr>
          <w:rFonts w:hint="eastAsia"/>
        </w:rPr>
      </w:pPr>
    </w:p>
    <w:p w14:paraId="7AD4479A">
      <w:pPr>
        <w:rPr>
          <w:rFonts w:hint="eastAsia"/>
        </w:rPr>
      </w:pPr>
    </w:p>
    <w:p w14:paraId="044039CB">
      <w:pPr>
        <w:rPr>
          <w:rFonts w:hint="eastAsia"/>
        </w:rPr>
      </w:pPr>
    </w:p>
    <w:sectPr>
      <w:footerReference r:id="rId3" w:type="default"/>
      <w:pgSz w:w="11906" w:h="16838"/>
      <w:pgMar w:top="1440" w:right="1800" w:bottom="1440" w:left="180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altName w:val="微软雅黑"/>
    <w:panose1 w:val="020B0604020202020204"/>
    <w:charset w:val="86"/>
    <w:family w:val="auto"/>
    <w:pitch w:val="default"/>
    <w:sig w:usb0="00000000" w:usb1="00000000" w:usb2="00000012" w:usb3="00000000" w:csb0="00040001" w:csb1="00000000"/>
  </w:font>
  <w:font w:name="微软雅黑">
    <w:panose1 w:val="020B0503020204020204"/>
    <w:charset w:val="86"/>
    <w:family w:val="swiss"/>
    <w:pitch w:val="default"/>
    <w:sig w:usb0="80000287" w:usb1="2ACF3C50" w:usb2="00000016" w:usb3="00000000" w:csb0="0004001F" w:csb1="00000000"/>
  </w:font>
  <w:font w:name="仿宋_GB2312">
    <w:altName w:val="仿宋"/>
    <w:panose1 w:val="020B0604020202020204"/>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Calibri Light">
    <w:panose1 w:val="020F0302020204030204"/>
    <w:charset w:val="00"/>
    <w:family w:val="swiss"/>
    <w:pitch w:val="default"/>
    <w:sig w:usb0="E4002EFF" w:usb1="C200247B"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703CB5">
    <w:pPr>
      <w:pStyle w:val="13"/>
      <w:ind w:firstLine="360"/>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F2796F">
                          <w:pPr>
                            <w:pStyle w:val="13"/>
                          </w:pPr>
                          <w:r>
                            <w:fldChar w:fldCharType="begin"/>
                          </w:r>
                          <w:r>
                            <w:instrText xml:space="preserve"> PAGE  \* MERGEFORMAT </w:instrText>
                          </w:r>
                          <w:r>
                            <w:fldChar w:fldCharType="separate"/>
                          </w:r>
                          <w:r>
                            <w:t>20</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66C/ssAgAAV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nroL+ywCAABVBAAADgAAAAAAAAABACAAAAAfAQAAZHJzL2Uyb0RvYy54bWxQSwUGAAAAAAYA&#10;BgBZAQAAvQUAAAAA&#10;">
              <v:fill on="f" focussize="0,0"/>
              <v:stroke on="f" weight="0.5pt"/>
              <v:imagedata o:title=""/>
              <o:lock v:ext="edit" aspectratio="f"/>
              <v:textbox inset="0mm,0mm,0mm,0mm" style="mso-fit-shape-to-text:t;">
                <w:txbxContent>
                  <w:p w14:paraId="35F2796F">
                    <w:pPr>
                      <w:pStyle w:val="13"/>
                    </w:pPr>
                    <w:r>
                      <w:fldChar w:fldCharType="begin"/>
                    </w:r>
                    <w:r>
                      <w:instrText xml:space="preserve"> PAGE  \* MERGEFORMAT </w:instrText>
                    </w:r>
                    <w:r>
                      <w:fldChar w:fldCharType="separate"/>
                    </w:r>
                    <w:r>
                      <w:t>20</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61AAF6"/>
    <w:multiLevelType w:val="singleLevel"/>
    <w:tmpl w:val="9661AAF6"/>
    <w:lvl w:ilvl="0" w:tentative="0">
      <w:start w:val="1"/>
      <w:numFmt w:val="decimal"/>
      <w:pStyle w:val="4"/>
      <w:lvlText w:val="(%1)"/>
      <w:lvlJc w:val="left"/>
      <w:pPr>
        <w:ind w:left="425" w:hanging="425"/>
      </w:pPr>
      <w:rPr>
        <w:rFonts w:hint="default"/>
      </w:rPr>
    </w:lvl>
  </w:abstractNum>
  <w:num w:numId="1">
    <w:abstractNumId w:val="0"/>
  </w:num>
  <w:num w:numId="2">
    <w:abstractNumId w:val="0"/>
    <w:lvlOverride w:ilvl="0">
      <w:startOverride w:val="1"/>
    </w:lvlOverride>
  </w:num>
  <w:num w:numId="3">
    <w:abstractNumId w:val="0"/>
    <w:lvlOverride w:ilvl="0">
      <w:startOverride w:val="1"/>
    </w:lvlOverride>
  </w:num>
  <w:num w:numId="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embedSystemFonts/>
  <w:bordersDoNotSurroundHeader w:val="0"/>
  <w:bordersDoNotSurroundFooter w:val="0"/>
  <w:hideSpellingErrors/>
  <w:hideGrammaticalErrors/>
  <w:documentProtection w:enforcement="0"/>
  <w:defaultTabStop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3B87749"/>
    <w:rsid w:val="00005CCC"/>
    <w:rsid w:val="00010FD5"/>
    <w:rsid w:val="00026FE8"/>
    <w:rsid w:val="000410FC"/>
    <w:rsid w:val="00047104"/>
    <w:rsid w:val="000536EC"/>
    <w:rsid w:val="000629A4"/>
    <w:rsid w:val="00072F84"/>
    <w:rsid w:val="000733D6"/>
    <w:rsid w:val="00073967"/>
    <w:rsid w:val="00075948"/>
    <w:rsid w:val="00084D11"/>
    <w:rsid w:val="00085151"/>
    <w:rsid w:val="00096DDE"/>
    <w:rsid w:val="000A4340"/>
    <w:rsid w:val="000A44D2"/>
    <w:rsid w:val="000A44FC"/>
    <w:rsid w:val="000A4642"/>
    <w:rsid w:val="000A547C"/>
    <w:rsid w:val="000A613C"/>
    <w:rsid w:val="000E632C"/>
    <w:rsid w:val="000F0F72"/>
    <w:rsid w:val="000F3299"/>
    <w:rsid w:val="001069AF"/>
    <w:rsid w:val="00116665"/>
    <w:rsid w:val="00130104"/>
    <w:rsid w:val="00142016"/>
    <w:rsid w:val="001444EC"/>
    <w:rsid w:val="00152E21"/>
    <w:rsid w:val="00170B7B"/>
    <w:rsid w:val="00174B07"/>
    <w:rsid w:val="00177F10"/>
    <w:rsid w:val="00180460"/>
    <w:rsid w:val="00181702"/>
    <w:rsid w:val="00182B8E"/>
    <w:rsid w:val="00192AD6"/>
    <w:rsid w:val="0019332D"/>
    <w:rsid w:val="00193C78"/>
    <w:rsid w:val="00196B7E"/>
    <w:rsid w:val="001A238A"/>
    <w:rsid w:val="001A4F2E"/>
    <w:rsid w:val="001B3F5C"/>
    <w:rsid w:val="001B4228"/>
    <w:rsid w:val="001B6511"/>
    <w:rsid w:val="001D2978"/>
    <w:rsid w:val="001E0014"/>
    <w:rsid w:val="001E30C9"/>
    <w:rsid w:val="001E69CA"/>
    <w:rsid w:val="001F7350"/>
    <w:rsid w:val="001F79CE"/>
    <w:rsid w:val="00203822"/>
    <w:rsid w:val="00207F33"/>
    <w:rsid w:val="0021682C"/>
    <w:rsid w:val="0021704E"/>
    <w:rsid w:val="00223274"/>
    <w:rsid w:val="0022351D"/>
    <w:rsid w:val="00226199"/>
    <w:rsid w:val="00226B79"/>
    <w:rsid w:val="002374D3"/>
    <w:rsid w:val="00237F42"/>
    <w:rsid w:val="00241E27"/>
    <w:rsid w:val="00242B16"/>
    <w:rsid w:val="00244B4D"/>
    <w:rsid w:val="00247E53"/>
    <w:rsid w:val="0025353D"/>
    <w:rsid w:val="00257943"/>
    <w:rsid w:val="002632E5"/>
    <w:rsid w:val="00266FF5"/>
    <w:rsid w:val="00270D04"/>
    <w:rsid w:val="00281DCB"/>
    <w:rsid w:val="00283AC6"/>
    <w:rsid w:val="00284BFD"/>
    <w:rsid w:val="00290211"/>
    <w:rsid w:val="002904EF"/>
    <w:rsid w:val="00291686"/>
    <w:rsid w:val="00292B47"/>
    <w:rsid w:val="002A1B62"/>
    <w:rsid w:val="002A5076"/>
    <w:rsid w:val="002A725C"/>
    <w:rsid w:val="002C0CBB"/>
    <w:rsid w:val="002C119B"/>
    <w:rsid w:val="002E0917"/>
    <w:rsid w:val="002E2F64"/>
    <w:rsid w:val="00303573"/>
    <w:rsid w:val="003247E7"/>
    <w:rsid w:val="003265BB"/>
    <w:rsid w:val="00332003"/>
    <w:rsid w:val="003326FD"/>
    <w:rsid w:val="00335212"/>
    <w:rsid w:val="00344659"/>
    <w:rsid w:val="00347B0A"/>
    <w:rsid w:val="003514D1"/>
    <w:rsid w:val="00356C86"/>
    <w:rsid w:val="00357AB7"/>
    <w:rsid w:val="00362DF4"/>
    <w:rsid w:val="003744C4"/>
    <w:rsid w:val="00374F36"/>
    <w:rsid w:val="003759AD"/>
    <w:rsid w:val="00386112"/>
    <w:rsid w:val="00392B90"/>
    <w:rsid w:val="003C20C2"/>
    <w:rsid w:val="003C222D"/>
    <w:rsid w:val="003C799E"/>
    <w:rsid w:val="003D4097"/>
    <w:rsid w:val="003D4658"/>
    <w:rsid w:val="004174BD"/>
    <w:rsid w:val="004251FF"/>
    <w:rsid w:val="00443896"/>
    <w:rsid w:val="00443EC9"/>
    <w:rsid w:val="0044715A"/>
    <w:rsid w:val="004554A4"/>
    <w:rsid w:val="004565D4"/>
    <w:rsid w:val="00460BCD"/>
    <w:rsid w:val="00467FB9"/>
    <w:rsid w:val="00471127"/>
    <w:rsid w:val="00474903"/>
    <w:rsid w:val="00480050"/>
    <w:rsid w:val="00485558"/>
    <w:rsid w:val="00486B4C"/>
    <w:rsid w:val="00491190"/>
    <w:rsid w:val="00494369"/>
    <w:rsid w:val="004A7F09"/>
    <w:rsid w:val="004C360C"/>
    <w:rsid w:val="004C4AF1"/>
    <w:rsid w:val="004C6666"/>
    <w:rsid w:val="004D4702"/>
    <w:rsid w:val="004E76D9"/>
    <w:rsid w:val="004F35B3"/>
    <w:rsid w:val="004F789F"/>
    <w:rsid w:val="00500CAF"/>
    <w:rsid w:val="00503AAE"/>
    <w:rsid w:val="00506E3E"/>
    <w:rsid w:val="00512F38"/>
    <w:rsid w:val="005163DD"/>
    <w:rsid w:val="00522EBB"/>
    <w:rsid w:val="00524612"/>
    <w:rsid w:val="00530199"/>
    <w:rsid w:val="005367FB"/>
    <w:rsid w:val="00542AF1"/>
    <w:rsid w:val="00545A0F"/>
    <w:rsid w:val="005567E4"/>
    <w:rsid w:val="00575E24"/>
    <w:rsid w:val="00581AA2"/>
    <w:rsid w:val="005922C3"/>
    <w:rsid w:val="00593EF4"/>
    <w:rsid w:val="00596438"/>
    <w:rsid w:val="005A06ED"/>
    <w:rsid w:val="005A12BE"/>
    <w:rsid w:val="005A1588"/>
    <w:rsid w:val="005B1F83"/>
    <w:rsid w:val="005B51B7"/>
    <w:rsid w:val="005B72D5"/>
    <w:rsid w:val="005C2DD0"/>
    <w:rsid w:val="005D1336"/>
    <w:rsid w:val="005D44E9"/>
    <w:rsid w:val="005D5319"/>
    <w:rsid w:val="00610FA0"/>
    <w:rsid w:val="006340C8"/>
    <w:rsid w:val="00650888"/>
    <w:rsid w:val="00651258"/>
    <w:rsid w:val="00654172"/>
    <w:rsid w:val="00660798"/>
    <w:rsid w:val="00661BE7"/>
    <w:rsid w:val="00662654"/>
    <w:rsid w:val="00665176"/>
    <w:rsid w:val="00671B63"/>
    <w:rsid w:val="00671FCB"/>
    <w:rsid w:val="00674BEF"/>
    <w:rsid w:val="00682D16"/>
    <w:rsid w:val="00692F93"/>
    <w:rsid w:val="00696E0A"/>
    <w:rsid w:val="006A23AC"/>
    <w:rsid w:val="006A5042"/>
    <w:rsid w:val="006B2C3E"/>
    <w:rsid w:val="006B5123"/>
    <w:rsid w:val="006B5F46"/>
    <w:rsid w:val="006C77FE"/>
    <w:rsid w:val="006D1B29"/>
    <w:rsid w:val="006D1F86"/>
    <w:rsid w:val="006E0D01"/>
    <w:rsid w:val="006E0D45"/>
    <w:rsid w:val="006F0BC8"/>
    <w:rsid w:val="006F4974"/>
    <w:rsid w:val="00702101"/>
    <w:rsid w:val="00714E1D"/>
    <w:rsid w:val="0072325C"/>
    <w:rsid w:val="00736A16"/>
    <w:rsid w:val="00751845"/>
    <w:rsid w:val="00753A25"/>
    <w:rsid w:val="00756153"/>
    <w:rsid w:val="00774FB2"/>
    <w:rsid w:val="00777579"/>
    <w:rsid w:val="007844BB"/>
    <w:rsid w:val="007857F5"/>
    <w:rsid w:val="00785FFC"/>
    <w:rsid w:val="00787A3C"/>
    <w:rsid w:val="00796E01"/>
    <w:rsid w:val="007A04B7"/>
    <w:rsid w:val="007B35F1"/>
    <w:rsid w:val="007B5C8E"/>
    <w:rsid w:val="007B6A37"/>
    <w:rsid w:val="007C0439"/>
    <w:rsid w:val="007D4435"/>
    <w:rsid w:val="007E100E"/>
    <w:rsid w:val="007E3DA8"/>
    <w:rsid w:val="007E40C9"/>
    <w:rsid w:val="007F7649"/>
    <w:rsid w:val="008079D8"/>
    <w:rsid w:val="00822DFE"/>
    <w:rsid w:val="008235E0"/>
    <w:rsid w:val="00831B9D"/>
    <w:rsid w:val="00844B88"/>
    <w:rsid w:val="00861386"/>
    <w:rsid w:val="00862697"/>
    <w:rsid w:val="00866592"/>
    <w:rsid w:val="0087419C"/>
    <w:rsid w:val="0087699F"/>
    <w:rsid w:val="00881707"/>
    <w:rsid w:val="008817BF"/>
    <w:rsid w:val="00893693"/>
    <w:rsid w:val="00894AAE"/>
    <w:rsid w:val="00895458"/>
    <w:rsid w:val="00897379"/>
    <w:rsid w:val="008A4AD6"/>
    <w:rsid w:val="008A4B13"/>
    <w:rsid w:val="008B1650"/>
    <w:rsid w:val="008B5DE9"/>
    <w:rsid w:val="008C2B23"/>
    <w:rsid w:val="008D7A71"/>
    <w:rsid w:val="008E24B7"/>
    <w:rsid w:val="008E6A6D"/>
    <w:rsid w:val="008E725F"/>
    <w:rsid w:val="008E7906"/>
    <w:rsid w:val="008F0C27"/>
    <w:rsid w:val="00902F69"/>
    <w:rsid w:val="009050E0"/>
    <w:rsid w:val="00914D24"/>
    <w:rsid w:val="00922D05"/>
    <w:rsid w:val="0092303A"/>
    <w:rsid w:val="00925B1E"/>
    <w:rsid w:val="009271A1"/>
    <w:rsid w:val="00930C1E"/>
    <w:rsid w:val="00931E3E"/>
    <w:rsid w:val="00944B94"/>
    <w:rsid w:val="00945405"/>
    <w:rsid w:val="009475C0"/>
    <w:rsid w:val="00950E2E"/>
    <w:rsid w:val="009535CB"/>
    <w:rsid w:val="00965217"/>
    <w:rsid w:val="009704D2"/>
    <w:rsid w:val="009770CC"/>
    <w:rsid w:val="00985B48"/>
    <w:rsid w:val="00993B24"/>
    <w:rsid w:val="00994908"/>
    <w:rsid w:val="009A7360"/>
    <w:rsid w:val="009C31BB"/>
    <w:rsid w:val="009C56E5"/>
    <w:rsid w:val="009D0FF5"/>
    <w:rsid w:val="009E1921"/>
    <w:rsid w:val="009E3A1D"/>
    <w:rsid w:val="00A003C5"/>
    <w:rsid w:val="00A01BB1"/>
    <w:rsid w:val="00A11B1F"/>
    <w:rsid w:val="00A154ED"/>
    <w:rsid w:val="00A15554"/>
    <w:rsid w:val="00A1581F"/>
    <w:rsid w:val="00A17A19"/>
    <w:rsid w:val="00A17D7C"/>
    <w:rsid w:val="00A262B3"/>
    <w:rsid w:val="00A27674"/>
    <w:rsid w:val="00A309B8"/>
    <w:rsid w:val="00A37825"/>
    <w:rsid w:val="00A41E1A"/>
    <w:rsid w:val="00A43255"/>
    <w:rsid w:val="00A5112A"/>
    <w:rsid w:val="00A51200"/>
    <w:rsid w:val="00A54AA9"/>
    <w:rsid w:val="00A60179"/>
    <w:rsid w:val="00A62735"/>
    <w:rsid w:val="00A64947"/>
    <w:rsid w:val="00A74BCE"/>
    <w:rsid w:val="00A74D0B"/>
    <w:rsid w:val="00A80D79"/>
    <w:rsid w:val="00A91FF5"/>
    <w:rsid w:val="00A962CD"/>
    <w:rsid w:val="00AA112B"/>
    <w:rsid w:val="00AA2D23"/>
    <w:rsid w:val="00AB768F"/>
    <w:rsid w:val="00AD192A"/>
    <w:rsid w:val="00AD1C32"/>
    <w:rsid w:val="00AE49A2"/>
    <w:rsid w:val="00AF6A69"/>
    <w:rsid w:val="00B049A3"/>
    <w:rsid w:val="00B07E19"/>
    <w:rsid w:val="00B172F3"/>
    <w:rsid w:val="00B37EC7"/>
    <w:rsid w:val="00B40DC3"/>
    <w:rsid w:val="00B40E7D"/>
    <w:rsid w:val="00B410B6"/>
    <w:rsid w:val="00B41DB6"/>
    <w:rsid w:val="00B5013F"/>
    <w:rsid w:val="00B50A3C"/>
    <w:rsid w:val="00B55677"/>
    <w:rsid w:val="00B55995"/>
    <w:rsid w:val="00B620A4"/>
    <w:rsid w:val="00B62CED"/>
    <w:rsid w:val="00B636D4"/>
    <w:rsid w:val="00B637B0"/>
    <w:rsid w:val="00B658B9"/>
    <w:rsid w:val="00B7031B"/>
    <w:rsid w:val="00B70E70"/>
    <w:rsid w:val="00B72EDD"/>
    <w:rsid w:val="00B7595B"/>
    <w:rsid w:val="00B9189B"/>
    <w:rsid w:val="00B9617D"/>
    <w:rsid w:val="00BC25F5"/>
    <w:rsid w:val="00BC6A2A"/>
    <w:rsid w:val="00BD777B"/>
    <w:rsid w:val="00BD7F06"/>
    <w:rsid w:val="00BF513F"/>
    <w:rsid w:val="00C04033"/>
    <w:rsid w:val="00C07003"/>
    <w:rsid w:val="00C2292F"/>
    <w:rsid w:val="00C26AC4"/>
    <w:rsid w:val="00C32DF0"/>
    <w:rsid w:val="00C44AF7"/>
    <w:rsid w:val="00C47FD2"/>
    <w:rsid w:val="00C56626"/>
    <w:rsid w:val="00C6252C"/>
    <w:rsid w:val="00C71565"/>
    <w:rsid w:val="00C77B17"/>
    <w:rsid w:val="00C82EED"/>
    <w:rsid w:val="00CA3DF8"/>
    <w:rsid w:val="00CA46D9"/>
    <w:rsid w:val="00CA507E"/>
    <w:rsid w:val="00CA6027"/>
    <w:rsid w:val="00CB23CC"/>
    <w:rsid w:val="00CB32F6"/>
    <w:rsid w:val="00CB4E5C"/>
    <w:rsid w:val="00CB62F7"/>
    <w:rsid w:val="00CC30F4"/>
    <w:rsid w:val="00CC416D"/>
    <w:rsid w:val="00CE5664"/>
    <w:rsid w:val="00D15B85"/>
    <w:rsid w:val="00D43077"/>
    <w:rsid w:val="00D50E81"/>
    <w:rsid w:val="00D57D31"/>
    <w:rsid w:val="00D61DDF"/>
    <w:rsid w:val="00D63F24"/>
    <w:rsid w:val="00D72FF6"/>
    <w:rsid w:val="00D750EF"/>
    <w:rsid w:val="00D77C0A"/>
    <w:rsid w:val="00D858EE"/>
    <w:rsid w:val="00D95B69"/>
    <w:rsid w:val="00DA5187"/>
    <w:rsid w:val="00DB4691"/>
    <w:rsid w:val="00DC421F"/>
    <w:rsid w:val="00DC693F"/>
    <w:rsid w:val="00DE0AEE"/>
    <w:rsid w:val="00DE3B08"/>
    <w:rsid w:val="00DE4A98"/>
    <w:rsid w:val="00DE5C6B"/>
    <w:rsid w:val="00DF30E6"/>
    <w:rsid w:val="00DF6839"/>
    <w:rsid w:val="00E00F2A"/>
    <w:rsid w:val="00E136C1"/>
    <w:rsid w:val="00E15105"/>
    <w:rsid w:val="00E15D98"/>
    <w:rsid w:val="00E26D62"/>
    <w:rsid w:val="00E27961"/>
    <w:rsid w:val="00E32459"/>
    <w:rsid w:val="00E32F4F"/>
    <w:rsid w:val="00E353E8"/>
    <w:rsid w:val="00E551E8"/>
    <w:rsid w:val="00E560B0"/>
    <w:rsid w:val="00E567B1"/>
    <w:rsid w:val="00E62A84"/>
    <w:rsid w:val="00E66922"/>
    <w:rsid w:val="00E67FB9"/>
    <w:rsid w:val="00E7169B"/>
    <w:rsid w:val="00E71865"/>
    <w:rsid w:val="00E94C18"/>
    <w:rsid w:val="00EA79BE"/>
    <w:rsid w:val="00EB0883"/>
    <w:rsid w:val="00EC0011"/>
    <w:rsid w:val="00EC2DD6"/>
    <w:rsid w:val="00ED283F"/>
    <w:rsid w:val="00EE54C6"/>
    <w:rsid w:val="00EF2981"/>
    <w:rsid w:val="00EF40BC"/>
    <w:rsid w:val="00F002E1"/>
    <w:rsid w:val="00F10529"/>
    <w:rsid w:val="00F16D2A"/>
    <w:rsid w:val="00F17EAE"/>
    <w:rsid w:val="00F300FA"/>
    <w:rsid w:val="00F31E2B"/>
    <w:rsid w:val="00F328C7"/>
    <w:rsid w:val="00F34E15"/>
    <w:rsid w:val="00F41973"/>
    <w:rsid w:val="00F75C8A"/>
    <w:rsid w:val="00F83D16"/>
    <w:rsid w:val="00F87A9E"/>
    <w:rsid w:val="00F90ED7"/>
    <w:rsid w:val="00F96377"/>
    <w:rsid w:val="00FA7F25"/>
    <w:rsid w:val="00FC69EA"/>
    <w:rsid w:val="00FD2E8F"/>
    <w:rsid w:val="00FD4BB5"/>
    <w:rsid w:val="00FF3D58"/>
    <w:rsid w:val="00FF3E41"/>
    <w:rsid w:val="015D5504"/>
    <w:rsid w:val="016347D7"/>
    <w:rsid w:val="01743E73"/>
    <w:rsid w:val="01C45D06"/>
    <w:rsid w:val="021D04ED"/>
    <w:rsid w:val="02313F99"/>
    <w:rsid w:val="02727A8F"/>
    <w:rsid w:val="027D7504"/>
    <w:rsid w:val="02957F4A"/>
    <w:rsid w:val="02AD29B2"/>
    <w:rsid w:val="03181066"/>
    <w:rsid w:val="03634626"/>
    <w:rsid w:val="03D352ED"/>
    <w:rsid w:val="04772A4B"/>
    <w:rsid w:val="0582467D"/>
    <w:rsid w:val="05926AFC"/>
    <w:rsid w:val="05D77E4F"/>
    <w:rsid w:val="05D84CA5"/>
    <w:rsid w:val="05E0200A"/>
    <w:rsid w:val="061B1990"/>
    <w:rsid w:val="064550D0"/>
    <w:rsid w:val="066A47CE"/>
    <w:rsid w:val="06B141BC"/>
    <w:rsid w:val="07031442"/>
    <w:rsid w:val="07A34B98"/>
    <w:rsid w:val="07AC7C25"/>
    <w:rsid w:val="07BD5E3D"/>
    <w:rsid w:val="081F17B3"/>
    <w:rsid w:val="087D09B3"/>
    <w:rsid w:val="088A7506"/>
    <w:rsid w:val="08944458"/>
    <w:rsid w:val="08D556E5"/>
    <w:rsid w:val="08DE1DFC"/>
    <w:rsid w:val="09063232"/>
    <w:rsid w:val="09362972"/>
    <w:rsid w:val="0A15616C"/>
    <w:rsid w:val="0A6C3DC0"/>
    <w:rsid w:val="0A747118"/>
    <w:rsid w:val="0AA4793D"/>
    <w:rsid w:val="0B0A42C4"/>
    <w:rsid w:val="0B2F4186"/>
    <w:rsid w:val="0B5F4794"/>
    <w:rsid w:val="0B7926DE"/>
    <w:rsid w:val="0BC85D5B"/>
    <w:rsid w:val="0BD82C59"/>
    <w:rsid w:val="0C160487"/>
    <w:rsid w:val="0C175FAD"/>
    <w:rsid w:val="0C317648"/>
    <w:rsid w:val="0C7451AE"/>
    <w:rsid w:val="0C9617E4"/>
    <w:rsid w:val="0C9F6FE3"/>
    <w:rsid w:val="0D173E04"/>
    <w:rsid w:val="0D2E2D13"/>
    <w:rsid w:val="0D354ACD"/>
    <w:rsid w:val="0D492902"/>
    <w:rsid w:val="0D6F10B3"/>
    <w:rsid w:val="0D8536BD"/>
    <w:rsid w:val="0D8F4EFE"/>
    <w:rsid w:val="0E293FE3"/>
    <w:rsid w:val="0E4D5CB6"/>
    <w:rsid w:val="0EA46E2D"/>
    <w:rsid w:val="0EFF5127"/>
    <w:rsid w:val="0F210A3A"/>
    <w:rsid w:val="0F415C16"/>
    <w:rsid w:val="0F607679"/>
    <w:rsid w:val="10086D9C"/>
    <w:rsid w:val="102A466F"/>
    <w:rsid w:val="105812FF"/>
    <w:rsid w:val="111C0739"/>
    <w:rsid w:val="111E1B8C"/>
    <w:rsid w:val="11610DAE"/>
    <w:rsid w:val="116A724E"/>
    <w:rsid w:val="116D60A1"/>
    <w:rsid w:val="117A72EF"/>
    <w:rsid w:val="11FD46BF"/>
    <w:rsid w:val="120B5F4D"/>
    <w:rsid w:val="12323823"/>
    <w:rsid w:val="124F42B7"/>
    <w:rsid w:val="12834530"/>
    <w:rsid w:val="13901E1C"/>
    <w:rsid w:val="13A7230D"/>
    <w:rsid w:val="14EF1875"/>
    <w:rsid w:val="14F325C5"/>
    <w:rsid w:val="15026D53"/>
    <w:rsid w:val="15B4486D"/>
    <w:rsid w:val="15CA2F2E"/>
    <w:rsid w:val="15E74C42"/>
    <w:rsid w:val="16B632BB"/>
    <w:rsid w:val="16CB5F30"/>
    <w:rsid w:val="16F2389F"/>
    <w:rsid w:val="16F643D6"/>
    <w:rsid w:val="171C5435"/>
    <w:rsid w:val="172D2B29"/>
    <w:rsid w:val="17E217ED"/>
    <w:rsid w:val="17F00444"/>
    <w:rsid w:val="18517FB6"/>
    <w:rsid w:val="188E75F7"/>
    <w:rsid w:val="18A44462"/>
    <w:rsid w:val="18D81447"/>
    <w:rsid w:val="191E1382"/>
    <w:rsid w:val="193F7A6A"/>
    <w:rsid w:val="19600F94"/>
    <w:rsid w:val="199A28AA"/>
    <w:rsid w:val="1A0F6516"/>
    <w:rsid w:val="1A650426"/>
    <w:rsid w:val="1AA03612"/>
    <w:rsid w:val="1BCB75FC"/>
    <w:rsid w:val="1BDA0F1B"/>
    <w:rsid w:val="1BFF5B23"/>
    <w:rsid w:val="1C777DA5"/>
    <w:rsid w:val="1C7E467E"/>
    <w:rsid w:val="1D0D671B"/>
    <w:rsid w:val="1D305121"/>
    <w:rsid w:val="1D36397B"/>
    <w:rsid w:val="1D4B182A"/>
    <w:rsid w:val="1D5C48CC"/>
    <w:rsid w:val="1D835251"/>
    <w:rsid w:val="1DD943FB"/>
    <w:rsid w:val="1DE87A80"/>
    <w:rsid w:val="1E194C81"/>
    <w:rsid w:val="1E3E561C"/>
    <w:rsid w:val="1E68566C"/>
    <w:rsid w:val="1E95273B"/>
    <w:rsid w:val="1EA47B74"/>
    <w:rsid w:val="1F8B4401"/>
    <w:rsid w:val="1FFF5FBA"/>
    <w:rsid w:val="21554059"/>
    <w:rsid w:val="216B2E85"/>
    <w:rsid w:val="218872DA"/>
    <w:rsid w:val="218F2E30"/>
    <w:rsid w:val="21BF16DB"/>
    <w:rsid w:val="21C443C4"/>
    <w:rsid w:val="223C67F4"/>
    <w:rsid w:val="224625BA"/>
    <w:rsid w:val="224A458F"/>
    <w:rsid w:val="22942040"/>
    <w:rsid w:val="22B934C3"/>
    <w:rsid w:val="22DA671D"/>
    <w:rsid w:val="23050835"/>
    <w:rsid w:val="231A7D53"/>
    <w:rsid w:val="231D6147"/>
    <w:rsid w:val="23887B38"/>
    <w:rsid w:val="238B1360"/>
    <w:rsid w:val="24013DB9"/>
    <w:rsid w:val="24441950"/>
    <w:rsid w:val="248D76DC"/>
    <w:rsid w:val="249A5A1E"/>
    <w:rsid w:val="24A36916"/>
    <w:rsid w:val="25172BDE"/>
    <w:rsid w:val="25744A0D"/>
    <w:rsid w:val="25902C01"/>
    <w:rsid w:val="259A51CD"/>
    <w:rsid w:val="25D56865"/>
    <w:rsid w:val="26082272"/>
    <w:rsid w:val="262178C9"/>
    <w:rsid w:val="264755DA"/>
    <w:rsid w:val="2661459D"/>
    <w:rsid w:val="267E0CAB"/>
    <w:rsid w:val="26A84EBA"/>
    <w:rsid w:val="26EA363F"/>
    <w:rsid w:val="27144592"/>
    <w:rsid w:val="27885778"/>
    <w:rsid w:val="278B23EE"/>
    <w:rsid w:val="278B7B24"/>
    <w:rsid w:val="27C03641"/>
    <w:rsid w:val="281318C7"/>
    <w:rsid w:val="28541E37"/>
    <w:rsid w:val="285F3CB1"/>
    <w:rsid w:val="286928C5"/>
    <w:rsid w:val="289C366A"/>
    <w:rsid w:val="28A2214A"/>
    <w:rsid w:val="2936694E"/>
    <w:rsid w:val="2996455E"/>
    <w:rsid w:val="29DB04A2"/>
    <w:rsid w:val="29EE50B4"/>
    <w:rsid w:val="29FE7B47"/>
    <w:rsid w:val="2A367640"/>
    <w:rsid w:val="2A48356C"/>
    <w:rsid w:val="2ABC75C8"/>
    <w:rsid w:val="2B12230A"/>
    <w:rsid w:val="2B7E1510"/>
    <w:rsid w:val="2B8051DB"/>
    <w:rsid w:val="2BAA31B3"/>
    <w:rsid w:val="2BC63FD4"/>
    <w:rsid w:val="2C0D4F8D"/>
    <w:rsid w:val="2C376A9B"/>
    <w:rsid w:val="2C3A1B18"/>
    <w:rsid w:val="2C3F0EDD"/>
    <w:rsid w:val="2C4C4F3B"/>
    <w:rsid w:val="2C60078F"/>
    <w:rsid w:val="2C646B95"/>
    <w:rsid w:val="2C7E1414"/>
    <w:rsid w:val="2C810E08"/>
    <w:rsid w:val="2C8E59C0"/>
    <w:rsid w:val="2CBA6A70"/>
    <w:rsid w:val="2CD504F2"/>
    <w:rsid w:val="2D0F4C79"/>
    <w:rsid w:val="2D1D55AF"/>
    <w:rsid w:val="2D2B1461"/>
    <w:rsid w:val="2DC147E3"/>
    <w:rsid w:val="2EA90867"/>
    <w:rsid w:val="2EAD7087"/>
    <w:rsid w:val="2F454A5C"/>
    <w:rsid w:val="2FC43258"/>
    <w:rsid w:val="2FE467A7"/>
    <w:rsid w:val="302C011A"/>
    <w:rsid w:val="302C34A7"/>
    <w:rsid w:val="303A22C6"/>
    <w:rsid w:val="304940D8"/>
    <w:rsid w:val="30517430"/>
    <w:rsid w:val="30C3032E"/>
    <w:rsid w:val="30F37EDC"/>
    <w:rsid w:val="31055CDB"/>
    <w:rsid w:val="313C17BF"/>
    <w:rsid w:val="314A714A"/>
    <w:rsid w:val="315423FA"/>
    <w:rsid w:val="324507AD"/>
    <w:rsid w:val="3344327C"/>
    <w:rsid w:val="338B4F0A"/>
    <w:rsid w:val="33CC223D"/>
    <w:rsid w:val="345179FF"/>
    <w:rsid w:val="34814F15"/>
    <w:rsid w:val="34826328"/>
    <w:rsid w:val="34984755"/>
    <w:rsid w:val="34E959C3"/>
    <w:rsid w:val="34F85D6A"/>
    <w:rsid w:val="34FC2804"/>
    <w:rsid w:val="34FF4777"/>
    <w:rsid w:val="35120222"/>
    <w:rsid w:val="3518714F"/>
    <w:rsid w:val="353D3435"/>
    <w:rsid w:val="354A6EEA"/>
    <w:rsid w:val="356B1CF3"/>
    <w:rsid w:val="35AF70D3"/>
    <w:rsid w:val="37654E9C"/>
    <w:rsid w:val="3784633D"/>
    <w:rsid w:val="38213B8C"/>
    <w:rsid w:val="382373DA"/>
    <w:rsid w:val="383B0B04"/>
    <w:rsid w:val="38591578"/>
    <w:rsid w:val="38AC16A8"/>
    <w:rsid w:val="38CF7D58"/>
    <w:rsid w:val="38F0269B"/>
    <w:rsid w:val="39624D5A"/>
    <w:rsid w:val="3A372F4A"/>
    <w:rsid w:val="3A7C1D7A"/>
    <w:rsid w:val="3AAD7959"/>
    <w:rsid w:val="3AD068AC"/>
    <w:rsid w:val="3ADB44C6"/>
    <w:rsid w:val="3AED5FA8"/>
    <w:rsid w:val="3B285284"/>
    <w:rsid w:val="3B2C319C"/>
    <w:rsid w:val="3B2D2566"/>
    <w:rsid w:val="3B387B37"/>
    <w:rsid w:val="3B68647D"/>
    <w:rsid w:val="3BAF2C97"/>
    <w:rsid w:val="3C074E47"/>
    <w:rsid w:val="3C756255"/>
    <w:rsid w:val="3C9E39FD"/>
    <w:rsid w:val="3C9F4DD0"/>
    <w:rsid w:val="3D0D46DF"/>
    <w:rsid w:val="3D254A9A"/>
    <w:rsid w:val="3D3C5A02"/>
    <w:rsid w:val="3D430E91"/>
    <w:rsid w:val="3D4E5423"/>
    <w:rsid w:val="3D723C25"/>
    <w:rsid w:val="3D801355"/>
    <w:rsid w:val="3D8F5CCA"/>
    <w:rsid w:val="3D910454"/>
    <w:rsid w:val="3D964F1B"/>
    <w:rsid w:val="3E0C2560"/>
    <w:rsid w:val="3EB02237"/>
    <w:rsid w:val="3EB80B41"/>
    <w:rsid w:val="3EE65C63"/>
    <w:rsid w:val="3FCF6608"/>
    <w:rsid w:val="40476BB4"/>
    <w:rsid w:val="4092377C"/>
    <w:rsid w:val="40AA78B9"/>
    <w:rsid w:val="411E6EBB"/>
    <w:rsid w:val="41B079AE"/>
    <w:rsid w:val="41FF0A9A"/>
    <w:rsid w:val="42417218"/>
    <w:rsid w:val="43B55C44"/>
    <w:rsid w:val="44A633D7"/>
    <w:rsid w:val="450B6BAA"/>
    <w:rsid w:val="45531639"/>
    <w:rsid w:val="45EC57D9"/>
    <w:rsid w:val="465467E3"/>
    <w:rsid w:val="466D03B6"/>
    <w:rsid w:val="467A4130"/>
    <w:rsid w:val="46B63F93"/>
    <w:rsid w:val="46ED3D62"/>
    <w:rsid w:val="46F030A7"/>
    <w:rsid w:val="46FE5A27"/>
    <w:rsid w:val="472165E1"/>
    <w:rsid w:val="472D42FC"/>
    <w:rsid w:val="472D7E58"/>
    <w:rsid w:val="474447A0"/>
    <w:rsid w:val="474B1F88"/>
    <w:rsid w:val="47B50093"/>
    <w:rsid w:val="47CE3835"/>
    <w:rsid w:val="47E938E8"/>
    <w:rsid w:val="47F548C0"/>
    <w:rsid w:val="48543A65"/>
    <w:rsid w:val="48551120"/>
    <w:rsid w:val="489A6008"/>
    <w:rsid w:val="48CE1A32"/>
    <w:rsid w:val="492B6619"/>
    <w:rsid w:val="49356079"/>
    <w:rsid w:val="4957634E"/>
    <w:rsid w:val="496F10FC"/>
    <w:rsid w:val="49881CCB"/>
    <w:rsid w:val="49975FBC"/>
    <w:rsid w:val="49D13AE4"/>
    <w:rsid w:val="49E1480A"/>
    <w:rsid w:val="49FB653F"/>
    <w:rsid w:val="4A4B3E0B"/>
    <w:rsid w:val="4A5D44B5"/>
    <w:rsid w:val="4A6437D4"/>
    <w:rsid w:val="4A8F086C"/>
    <w:rsid w:val="4AB070BD"/>
    <w:rsid w:val="4AE46E2A"/>
    <w:rsid w:val="4B086260"/>
    <w:rsid w:val="4B792C11"/>
    <w:rsid w:val="4C6C6665"/>
    <w:rsid w:val="4C993854"/>
    <w:rsid w:val="4C9D782D"/>
    <w:rsid w:val="4CBA0C3C"/>
    <w:rsid w:val="4CC773C4"/>
    <w:rsid w:val="4CE81B67"/>
    <w:rsid w:val="4CF077D9"/>
    <w:rsid w:val="4D211BA8"/>
    <w:rsid w:val="4E816CDB"/>
    <w:rsid w:val="4EC5185F"/>
    <w:rsid w:val="4F0516BA"/>
    <w:rsid w:val="4F7A2315"/>
    <w:rsid w:val="4F9273F2"/>
    <w:rsid w:val="4FB31056"/>
    <w:rsid w:val="501D04C6"/>
    <w:rsid w:val="50224539"/>
    <w:rsid w:val="50675167"/>
    <w:rsid w:val="509B115C"/>
    <w:rsid w:val="50E705D7"/>
    <w:rsid w:val="50F655E9"/>
    <w:rsid w:val="50F773EF"/>
    <w:rsid w:val="50FA6AF3"/>
    <w:rsid w:val="51040E29"/>
    <w:rsid w:val="51AC2CF6"/>
    <w:rsid w:val="51CF2789"/>
    <w:rsid w:val="51EE696A"/>
    <w:rsid w:val="52E60BBD"/>
    <w:rsid w:val="53537FC2"/>
    <w:rsid w:val="537A576C"/>
    <w:rsid w:val="538D6EF1"/>
    <w:rsid w:val="53E24E79"/>
    <w:rsid w:val="54051CBA"/>
    <w:rsid w:val="54627517"/>
    <w:rsid w:val="54C301E3"/>
    <w:rsid w:val="54CD3E95"/>
    <w:rsid w:val="54E36EE3"/>
    <w:rsid w:val="54FE1085"/>
    <w:rsid w:val="5507618C"/>
    <w:rsid w:val="555313D1"/>
    <w:rsid w:val="555465EE"/>
    <w:rsid w:val="55F663C0"/>
    <w:rsid w:val="5630606F"/>
    <w:rsid w:val="56431446"/>
    <w:rsid w:val="564D2F1F"/>
    <w:rsid w:val="56601D30"/>
    <w:rsid w:val="56864980"/>
    <w:rsid w:val="56BD287A"/>
    <w:rsid w:val="57617D64"/>
    <w:rsid w:val="579023A5"/>
    <w:rsid w:val="579D2991"/>
    <w:rsid w:val="57EF105C"/>
    <w:rsid w:val="58831FCD"/>
    <w:rsid w:val="58A81A34"/>
    <w:rsid w:val="58B302CC"/>
    <w:rsid w:val="58F46A27"/>
    <w:rsid w:val="59210C6B"/>
    <w:rsid w:val="597D4298"/>
    <w:rsid w:val="59CC3500"/>
    <w:rsid w:val="5A17089F"/>
    <w:rsid w:val="5A2B78A9"/>
    <w:rsid w:val="5AC204A2"/>
    <w:rsid w:val="5ADE079F"/>
    <w:rsid w:val="5ADF2CEC"/>
    <w:rsid w:val="5B74302C"/>
    <w:rsid w:val="5B93792A"/>
    <w:rsid w:val="5B9F4190"/>
    <w:rsid w:val="5BBE44A1"/>
    <w:rsid w:val="5C0F2120"/>
    <w:rsid w:val="5CC2508E"/>
    <w:rsid w:val="5CC95CE6"/>
    <w:rsid w:val="5CF04714"/>
    <w:rsid w:val="5CF641B7"/>
    <w:rsid w:val="5CFA7B5F"/>
    <w:rsid w:val="5CFD12BC"/>
    <w:rsid w:val="5D872105"/>
    <w:rsid w:val="5DCE519B"/>
    <w:rsid w:val="5DDC2951"/>
    <w:rsid w:val="5E042794"/>
    <w:rsid w:val="5E8E75A3"/>
    <w:rsid w:val="5E9860A7"/>
    <w:rsid w:val="5EBC232F"/>
    <w:rsid w:val="5EC0678A"/>
    <w:rsid w:val="5ED877D8"/>
    <w:rsid w:val="5EE240B6"/>
    <w:rsid w:val="5F1A5C6D"/>
    <w:rsid w:val="5F2F7A39"/>
    <w:rsid w:val="5FA814DF"/>
    <w:rsid w:val="5FE82FD2"/>
    <w:rsid w:val="5FED58DF"/>
    <w:rsid w:val="6040616F"/>
    <w:rsid w:val="60B168B0"/>
    <w:rsid w:val="60C5514D"/>
    <w:rsid w:val="60D96503"/>
    <w:rsid w:val="60DD148F"/>
    <w:rsid w:val="60FF3D49"/>
    <w:rsid w:val="61305322"/>
    <w:rsid w:val="6159154D"/>
    <w:rsid w:val="61994C8C"/>
    <w:rsid w:val="61A65755"/>
    <w:rsid w:val="61BA65BF"/>
    <w:rsid w:val="628F77C1"/>
    <w:rsid w:val="62922B86"/>
    <w:rsid w:val="62B83782"/>
    <w:rsid w:val="62F67905"/>
    <w:rsid w:val="63344D9C"/>
    <w:rsid w:val="6372336A"/>
    <w:rsid w:val="63852965"/>
    <w:rsid w:val="63B719CA"/>
    <w:rsid w:val="63B87749"/>
    <w:rsid w:val="63E92F01"/>
    <w:rsid w:val="64063AB3"/>
    <w:rsid w:val="64255857"/>
    <w:rsid w:val="64371776"/>
    <w:rsid w:val="64371EBE"/>
    <w:rsid w:val="64565DD5"/>
    <w:rsid w:val="646903D7"/>
    <w:rsid w:val="647B624F"/>
    <w:rsid w:val="64B47B11"/>
    <w:rsid w:val="64E2382D"/>
    <w:rsid w:val="65005919"/>
    <w:rsid w:val="652C145A"/>
    <w:rsid w:val="652E3534"/>
    <w:rsid w:val="6614440A"/>
    <w:rsid w:val="678E46C4"/>
    <w:rsid w:val="6800730B"/>
    <w:rsid w:val="681B5ADF"/>
    <w:rsid w:val="685E210F"/>
    <w:rsid w:val="686065CC"/>
    <w:rsid w:val="689D00AB"/>
    <w:rsid w:val="68A94442"/>
    <w:rsid w:val="68BC5CCF"/>
    <w:rsid w:val="692A347A"/>
    <w:rsid w:val="694B1CA9"/>
    <w:rsid w:val="696848C8"/>
    <w:rsid w:val="699A3EEE"/>
    <w:rsid w:val="69D87C9F"/>
    <w:rsid w:val="69F0323B"/>
    <w:rsid w:val="6A333F49"/>
    <w:rsid w:val="6A3D7B02"/>
    <w:rsid w:val="6A6F3824"/>
    <w:rsid w:val="6AB204F0"/>
    <w:rsid w:val="6AE125CF"/>
    <w:rsid w:val="6AF97ECD"/>
    <w:rsid w:val="6B356F25"/>
    <w:rsid w:val="6C6121CE"/>
    <w:rsid w:val="6C7822A9"/>
    <w:rsid w:val="6C9B0687"/>
    <w:rsid w:val="6CCD0C34"/>
    <w:rsid w:val="6D2B360C"/>
    <w:rsid w:val="6DD94EB7"/>
    <w:rsid w:val="6ED65668"/>
    <w:rsid w:val="6F5F3C10"/>
    <w:rsid w:val="6F7D619A"/>
    <w:rsid w:val="6F9F35B4"/>
    <w:rsid w:val="6FCA71E0"/>
    <w:rsid w:val="6FD827A7"/>
    <w:rsid w:val="703145D9"/>
    <w:rsid w:val="706C1141"/>
    <w:rsid w:val="706E7C9E"/>
    <w:rsid w:val="707324D0"/>
    <w:rsid w:val="70CF5032"/>
    <w:rsid w:val="71856DEF"/>
    <w:rsid w:val="71A130D0"/>
    <w:rsid w:val="71DA004A"/>
    <w:rsid w:val="726B69B0"/>
    <w:rsid w:val="728A0291"/>
    <w:rsid w:val="729F531D"/>
    <w:rsid w:val="72CF47E7"/>
    <w:rsid w:val="72ED48AE"/>
    <w:rsid w:val="730361B9"/>
    <w:rsid w:val="734466F5"/>
    <w:rsid w:val="738D5656"/>
    <w:rsid w:val="73EA2043"/>
    <w:rsid w:val="742740AC"/>
    <w:rsid w:val="743A2B40"/>
    <w:rsid w:val="745F7336"/>
    <w:rsid w:val="74923BF4"/>
    <w:rsid w:val="74C44810"/>
    <w:rsid w:val="74CF773B"/>
    <w:rsid w:val="750202C6"/>
    <w:rsid w:val="75475CD9"/>
    <w:rsid w:val="75B354EE"/>
    <w:rsid w:val="75BC3DFE"/>
    <w:rsid w:val="76A06528"/>
    <w:rsid w:val="76DB2792"/>
    <w:rsid w:val="77091498"/>
    <w:rsid w:val="77BA7B83"/>
    <w:rsid w:val="77EA05CE"/>
    <w:rsid w:val="785D1817"/>
    <w:rsid w:val="786C5947"/>
    <w:rsid w:val="78861E4A"/>
    <w:rsid w:val="78D37FAF"/>
    <w:rsid w:val="78F57EFF"/>
    <w:rsid w:val="79BF5E05"/>
    <w:rsid w:val="79F71BE1"/>
    <w:rsid w:val="7A0D60DE"/>
    <w:rsid w:val="7A0F5025"/>
    <w:rsid w:val="7A16003B"/>
    <w:rsid w:val="7A367DDC"/>
    <w:rsid w:val="7A6A4943"/>
    <w:rsid w:val="7AE600D4"/>
    <w:rsid w:val="7AEC35AA"/>
    <w:rsid w:val="7B0A28DC"/>
    <w:rsid w:val="7B0B390C"/>
    <w:rsid w:val="7B8109A5"/>
    <w:rsid w:val="7BBA0FB3"/>
    <w:rsid w:val="7BF21F72"/>
    <w:rsid w:val="7C9B21DA"/>
    <w:rsid w:val="7CAC5049"/>
    <w:rsid w:val="7CE31C56"/>
    <w:rsid w:val="7D5A1A2C"/>
    <w:rsid w:val="7D686286"/>
    <w:rsid w:val="7D757A64"/>
    <w:rsid w:val="7D921F97"/>
    <w:rsid w:val="7DA34981"/>
    <w:rsid w:val="7DA83736"/>
    <w:rsid w:val="7DB9757F"/>
    <w:rsid w:val="7E104461"/>
    <w:rsid w:val="7F39186C"/>
    <w:rsid w:val="7F6E5771"/>
    <w:rsid w:val="7FCE50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semiHidden="0" w:name="caption"/>
    <w:lsdException w:qFormat="1" w:unhideWhenUsed="0" w:uiPriority="99"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宋体" w:hAnsi="宋体" w:eastAsia="宋体" w:cs="宋体"/>
      <w:sz w:val="24"/>
      <w:szCs w:val="24"/>
      <w:lang w:val="en-US" w:eastAsia="zh-CN" w:bidi="ar-SA"/>
    </w:rPr>
  </w:style>
  <w:style w:type="paragraph" w:styleId="2">
    <w:name w:val="heading 1"/>
    <w:basedOn w:val="1"/>
    <w:next w:val="1"/>
    <w:qFormat/>
    <w:uiPriority w:val="0"/>
    <w:pPr>
      <w:keepNext/>
      <w:keepLines/>
      <w:adjustRightInd w:val="0"/>
      <w:snapToGrid w:val="0"/>
      <w:spacing w:line="360" w:lineRule="auto"/>
      <w:jc w:val="center"/>
      <w:outlineLvl w:val="0"/>
    </w:pPr>
    <w:rPr>
      <w:rFonts w:ascii="方正小标宋简体" w:hAnsi="方正小标宋简体" w:eastAsia="方正小标宋简体" w:cs="方正小标宋简体"/>
      <w:b/>
      <w:kern w:val="44"/>
      <w:sz w:val="32"/>
      <w:szCs w:val="32"/>
    </w:rPr>
  </w:style>
  <w:style w:type="paragraph" w:styleId="3">
    <w:name w:val="heading 2"/>
    <w:basedOn w:val="1"/>
    <w:next w:val="1"/>
    <w:link w:val="45"/>
    <w:unhideWhenUsed/>
    <w:qFormat/>
    <w:uiPriority w:val="0"/>
    <w:pPr>
      <w:snapToGrid w:val="0"/>
      <w:jc w:val="center"/>
      <w:outlineLvl w:val="1"/>
    </w:pPr>
    <w:rPr>
      <w:rFonts w:ascii="仿宋_GB2312" w:hAnsi="仿宋_GB2312" w:eastAsia="仿宋_GB2312" w:cs="仿宋_GB2312"/>
      <w:b/>
      <w:bCs/>
      <w:sz w:val="32"/>
      <w:szCs w:val="32"/>
    </w:rPr>
  </w:style>
  <w:style w:type="paragraph" w:styleId="4">
    <w:name w:val="heading 3"/>
    <w:basedOn w:val="3"/>
    <w:next w:val="1"/>
    <w:link w:val="35"/>
    <w:unhideWhenUsed/>
    <w:qFormat/>
    <w:uiPriority w:val="0"/>
    <w:pPr>
      <w:numPr>
        <w:ilvl w:val="0"/>
        <w:numId w:val="1"/>
      </w:numPr>
      <w:jc w:val="left"/>
      <w:outlineLvl w:val="2"/>
    </w:p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26">
    <w:name w:val="Default Paragraph Font"/>
    <w:semiHidden/>
    <w:unhideWhenUsed/>
    <w:qFormat/>
    <w:uiPriority w:val="1"/>
  </w:style>
  <w:style w:type="table" w:default="1" w:styleId="24">
    <w:name w:val="Normal Table"/>
    <w:semiHidden/>
    <w:unhideWhenUsed/>
    <w:qFormat/>
    <w:uiPriority w:val="99"/>
    <w:tblPr>
      <w:tblCellMar>
        <w:top w:w="0" w:type="dxa"/>
        <w:left w:w="108" w:type="dxa"/>
        <w:bottom w:w="0" w:type="dxa"/>
        <w:right w:w="108" w:type="dxa"/>
      </w:tblCellMar>
    </w:tblPr>
  </w:style>
  <w:style w:type="paragraph" w:styleId="6">
    <w:name w:val="toc 7"/>
    <w:basedOn w:val="1"/>
    <w:next w:val="1"/>
    <w:qFormat/>
    <w:uiPriority w:val="0"/>
    <w:pPr>
      <w:ind w:left="1440"/>
    </w:pPr>
    <w:rPr>
      <w:rFonts w:asciiTheme="minorHAnsi" w:hAnsiTheme="minorHAnsi" w:cstheme="minorHAnsi"/>
      <w:sz w:val="18"/>
      <w:szCs w:val="18"/>
    </w:rPr>
  </w:style>
  <w:style w:type="paragraph" w:styleId="7">
    <w:name w:val="caption"/>
    <w:basedOn w:val="1"/>
    <w:next w:val="1"/>
    <w:unhideWhenUsed/>
    <w:qFormat/>
    <w:uiPriority w:val="0"/>
    <w:rPr>
      <w:rFonts w:eastAsia="黑体" w:asciiTheme="majorHAnsi" w:hAnsiTheme="majorHAnsi" w:cstheme="majorBidi"/>
      <w:sz w:val="20"/>
      <w:szCs w:val="20"/>
    </w:rPr>
  </w:style>
  <w:style w:type="paragraph" w:styleId="8">
    <w:name w:val="annotation text"/>
    <w:basedOn w:val="1"/>
    <w:link w:val="43"/>
    <w:qFormat/>
    <w:uiPriority w:val="0"/>
  </w:style>
  <w:style w:type="paragraph" w:styleId="9">
    <w:name w:val="toc 5"/>
    <w:basedOn w:val="1"/>
    <w:next w:val="1"/>
    <w:qFormat/>
    <w:uiPriority w:val="0"/>
    <w:pPr>
      <w:ind w:left="960"/>
    </w:pPr>
    <w:rPr>
      <w:rFonts w:asciiTheme="minorHAnsi" w:hAnsiTheme="minorHAnsi" w:cstheme="minorHAnsi"/>
      <w:sz w:val="18"/>
      <w:szCs w:val="18"/>
    </w:rPr>
  </w:style>
  <w:style w:type="paragraph" w:styleId="10">
    <w:name w:val="toc 3"/>
    <w:basedOn w:val="1"/>
    <w:next w:val="1"/>
    <w:qFormat/>
    <w:uiPriority w:val="39"/>
    <w:pPr>
      <w:ind w:left="480"/>
    </w:pPr>
    <w:rPr>
      <w:rFonts w:asciiTheme="minorHAnsi" w:hAnsiTheme="minorHAnsi" w:cstheme="minorHAnsi"/>
      <w:i/>
      <w:iCs/>
      <w:sz w:val="20"/>
      <w:szCs w:val="20"/>
    </w:rPr>
  </w:style>
  <w:style w:type="paragraph" w:styleId="11">
    <w:name w:val="toc 8"/>
    <w:basedOn w:val="1"/>
    <w:next w:val="1"/>
    <w:qFormat/>
    <w:uiPriority w:val="0"/>
    <w:pPr>
      <w:ind w:left="1680"/>
    </w:pPr>
    <w:rPr>
      <w:rFonts w:asciiTheme="minorHAnsi" w:hAnsiTheme="minorHAnsi" w:cstheme="minorHAnsi"/>
      <w:sz w:val="18"/>
      <w:szCs w:val="18"/>
    </w:rPr>
  </w:style>
  <w:style w:type="paragraph" w:styleId="12">
    <w:name w:val="Balloon Text"/>
    <w:basedOn w:val="1"/>
    <w:link w:val="42"/>
    <w:qFormat/>
    <w:uiPriority w:val="0"/>
    <w:rPr>
      <w:sz w:val="18"/>
      <w:szCs w:val="18"/>
    </w:rPr>
  </w:style>
  <w:style w:type="paragraph" w:styleId="13">
    <w:name w:val="footer"/>
    <w:basedOn w:val="1"/>
    <w:qFormat/>
    <w:uiPriority w:val="0"/>
    <w:pPr>
      <w:tabs>
        <w:tab w:val="center" w:pos="4153"/>
        <w:tab w:val="right" w:pos="8306"/>
      </w:tabs>
      <w:snapToGrid w:val="0"/>
    </w:pPr>
    <w:rPr>
      <w:sz w:val="18"/>
    </w:rPr>
  </w:style>
  <w:style w:type="paragraph" w:styleId="1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5">
    <w:name w:val="toc 1"/>
    <w:basedOn w:val="1"/>
    <w:next w:val="1"/>
    <w:qFormat/>
    <w:uiPriority w:val="39"/>
    <w:pPr>
      <w:tabs>
        <w:tab w:val="right" w:leader="dot" w:pos="8296"/>
      </w:tabs>
      <w:spacing w:before="120" w:after="120"/>
      <w:jc w:val="center"/>
    </w:pPr>
    <w:rPr>
      <w:rFonts w:asciiTheme="minorHAnsi" w:hAnsiTheme="minorHAnsi" w:cstheme="minorHAnsi"/>
      <w:b/>
      <w:bCs/>
      <w:caps/>
      <w:sz w:val="20"/>
      <w:szCs w:val="20"/>
    </w:rPr>
  </w:style>
  <w:style w:type="paragraph" w:styleId="16">
    <w:name w:val="toc 4"/>
    <w:basedOn w:val="1"/>
    <w:next w:val="1"/>
    <w:qFormat/>
    <w:uiPriority w:val="0"/>
    <w:pPr>
      <w:ind w:left="720"/>
    </w:pPr>
    <w:rPr>
      <w:rFonts w:asciiTheme="minorHAnsi" w:hAnsiTheme="minorHAnsi" w:cstheme="minorHAnsi"/>
      <w:sz w:val="18"/>
      <w:szCs w:val="18"/>
    </w:rPr>
  </w:style>
  <w:style w:type="paragraph" w:styleId="17">
    <w:name w:val="toc 6"/>
    <w:basedOn w:val="1"/>
    <w:next w:val="1"/>
    <w:qFormat/>
    <w:uiPriority w:val="0"/>
    <w:pPr>
      <w:ind w:left="1200"/>
    </w:pPr>
    <w:rPr>
      <w:rFonts w:asciiTheme="minorHAnsi" w:hAnsiTheme="minorHAnsi" w:cstheme="minorHAnsi"/>
      <w:sz w:val="18"/>
      <w:szCs w:val="18"/>
    </w:rPr>
  </w:style>
  <w:style w:type="paragraph" w:styleId="18">
    <w:name w:val="table of figures"/>
    <w:basedOn w:val="1"/>
    <w:next w:val="1"/>
    <w:qFormat/>
    <w:uiPriority w:val="99"/>
    <w:pPr>
      <w:ind w:left="200" w:leftChars="200" w:hanging="200" w:hangingChars="200"/>
    </w:pPr>
  </w:style>
  <w:style w:type="paragraph" w:styleId="19">
    <w:name w:val="toc 2"/>
    <w:basedOn w:val="1"/>
    <w:next w:val="1"/>
    <w:qFormat/>
    <w:uiPriority w:val="39"/>
    <w:pPr>
      <w:ind w:left="240"/>
    </w:pPr>
    <w:rPr>
      <w:rFonts w:asciiTheme="minorHAnsi" w:hAnsiTheme="minorHAnsi" w:cstheme="minorHAnsi"/>
      <w:smallCaps/>
      <w:sz w:val="20"/>
      <w:szCs w:val="20"/>
    </w:rPr>
  </w:style>
  <w:style w:type="paragraph" w:styleId="20">
    <w:name w:val="toc 9"/>
    <w:basedOn w:val="1"/>
    <w:next w:val="1"/>
    <w:qFormat/>
    <w:uiPriority w:val="0"/>
    <w:pPr>
      <w:ind w:left="1920"/>
    </w:pPr>
    <w:rPr>
      <w:rFonts w:asciiTheme="minorHAnsi" w:hAnsiTheme="minorHAnsi" w:cstheme="minorHAnsi"/>
      <w:sz w:val="18"/>
      <w:szCs w:val="18"/>
    </w:rPr>
  </w:style>
  <w:style w:type="paragraph" w:styleId="21">
    <w:name w:val="Normal (Web)"/>
    <w:basedOn w:val="1"/>
    <w:qFormat/>
    <w:uiPriority w:val="0"/>
    <w:rPr>
      <w:rFonts w:ascii="Calibri" w:hAnsi="Calibri" w:cs="Times New Roman"/>
    </w:rPr>
  </w:style>
  <w:style w:type="paragraph" w:styleId="22">
    <w:name w:val="Title"/>
    <w:basedOn w:val="1"/>
    <w:next w:val="1"/>
    <w:link w:val="37"/>
    <w:qFormat/>
    <w:uiPriority w:val="0"/>
    <w:pPr>
      <w:spacing w:before="240" w:after="60"/>
      <w:jc w:val="center"/>
      <w:outlineLvl w:val="0"/>
    </w:pPr>
    <w:rPr>
      <w:rFonts w:asciiTheme="majorHAnsi" w:hAnsiTheme="majorHAnsi" w:eastAsiaTheme="majorEastAsia" w:cstheme="majorBidi"/>
      <w:b/>
      <w:bCs/>
      <w:sz w:val="32"/>
      <w:szCs w:val="32"/>
    </w:rPr>
  </w:style>
  <w:style w:type="paragraph" w:styleId="23">
    <w:name w:val="annotation subject"/>
    <w:basedOn w:val="8"/>
    <w:next w:val="8"/>
    <w:link w:val="44"/>
    <w:qFormat/>
    <w:uiPriority w:val="0"/>
    <w:rPr>
      <w:b/>
      <w:bCs/>
    </w:rPr>
  </w:style>
  <w:style w:type="table" w:styleId="25">
    <w:name w:val="Table Grid"/>
    <w:basedOn w:val="24"/>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7">
    <w:name w:val="Strong"/>
    <w:basedOn w:val="26"/>
    <w:qFormat/>
    <w:uiPriority w:val="22"/>
    <w:rPr>
      <w:b/>
    </w:rPr>
  </w:style>
  <w:style w:type="character" w:styleId="28">
    <w:name w:val="FollowedHyperlink"/>
    <w:basedOn w:val="26"/>
    <w:qFormat/>
    <w:uiPriority w:val="0"/>
    <w:rPr>
      <w:color w:val="954F72" w:themeColor="followedHyperlink"/>
      <w:u w:val="single"/>
      <w14:textFill>
        <w14:solidFill>
          <w14:schemeClr w14:val="folHlink"/>
        </w14:solidFill>
      </w14:textFill>
    </w:rPr>
  </w:style>
  <w:style w:type="character" w:styleId="29">
    <w:name w:val="Hyperlink"/>
    <w:basedOn w:val="26"/>
    <w:qFormat/>
    <w:uiPriority w:val="99"/>
    <w:rPr>
      <w:color w:val="0000FF"/>
      <w:u w:val="single"/>
    </w:rPr>
  </w:style>
  <w:style w:type="character" w:styleId="30">
    <w:name w:val="annotation reference"/>
    <w:basedOn w:val="26"/>
    <w:qFormat/>
    <w:uiPriority w:val="0"/>
    <w:rPr>
      <w:sz w:val="21"/>
      <w:szCs w:val="21"/>
    </w:rPr>
  </w:style>
  <w:style w:type="character" w:customStyle="1" w:styleId="31">
    <w:name w:val="font91"/>
    <w:basedOn w:val="26"/>
    <w:qFormat/>
    <w:uiPriority w:val="0"/>
    <w:rPr>
      <w:rFonts w:ascii="Arial" w:hAnsi="Arial" w:cs="Arial"/>
      <w:color w:val="000000"/>
      <w:sz w:val="16"/>
      <w:szCs w:val="16"/>
      <w:u w:val="none"/>
    </w:rPr>
  </w:style>
  <w:style w:type="character" w:customStyle="1" w:styleId="32">
    <w:name w:val="font51"/>
    <w:basedOn w:val="26"/>
    <w:qFormat/>
    <w:uiPriority w:val="0"/>
    <w:rPr>
      <w:rFonts w:hint="eastAsia" w:ascii="宋体" w:hAnsi="宋体" w:eastAsia="宋体" w:cs="宋体"/>
      <w:color w:val="000000"/>
      <w:sz w:val="16"/>
      <w:szCs w:val="16"/>
      <w:u w:val="none"/>
    </w:rPr>
  </w:style>
  <w:style w:type="paragraph" w:customStyle="1" w:styleId="33">
    <w:name w:val="文字"/>
    <w:qFormat/>
    <w:uiPriority w:val="0"/>
    <w:pPr>
      <w:adjustRightInd w:val="0"/>
      <w:snapToGrid w:val="0"/>
      <w:spacing w:line="360" w:lineRule="auto"/>
      <w:ind w:firstLine="560" w:firstLineChars="200"/>
    </w:pPr>
    <w:rPr>
      <w:rFonts w:ascii="仿宋_GB2312" w:hAnsi="仿宋_GB2312" w:eastAsia="仿宋_GB2312" w:cs="仿宋_GB2312"/>
      <w:bCs/>
      <w:kern w:val="44"/>
      <w:sz w:val="28"/>
      <w:szCs w:val="28"/>
      <w:lang w:val="en-US" w:eastAsia="zh-CN" w:bidi="ar-SA"/>
    </w:rPr>
  </w:style>
  <w:style w:type="paragraph" w:styleId="34">
    <w:name w:val="List Paragraph"/>
    <w:basedOn w:val="1"/>
    <w:unhideWhenUsed/>
    <w:qFormat/>
    <w:uiPriority w:val="99"/>
    <w:pPr>
      <w:ind w:firstLine="420" w:firstLineChars="200"/>
    </w:pPr>
  </w:style>
  <w:style w:type="character" w:customStyle="1" w:styleId="35">
    <w:name w:val="标题 3 字符"/>
    <w:link w:val="4"/>
    <w:semiHidden/>
    <w:qFormat/>
    <w:uiPriority w:val="0"/>
    <w:rPr>
      <w:rFonts w:ascii="仿宋_GB2312" w:hAnsi="仿宋_GB2312" w:eastAsia="仿宋_GB2312" w:cs="仿宋_GB2312"/>
      <w:b/>
      <w:bCs/>
      <w:sz w:val="32"/>
      <w:szCs w:val="32"/>
      <w:lang w:val="en-US" w:eastAsia="zh-CN" w:bidi="ar-SA"/>
    </w:rPr>
  </w:style>
  <w:style w:type="character" w:customStyle="1" w:styleId="36">
    <w:name w:val="未处理的提及1"/>
    <w:basedOn w:val="26"/>
    <w:semiHidden/>
    <w:unhideWhenUsed/>
    <w:qFormat/>
    <w:uiPriority w:val="99"/>
    <w:rPr>
      <w:color w:val="605E5C"/>
      <w:shd w:val="clear" w:color="auto" w:fill="E1DFDD"/>
    </w:rPr>
  </w:style>
  <w:style w:type="character" w:customStyle="1" w:styleId="37">
    <w:name w:val="标题 字符"/>
    <w:basedOn w:val="26"/>
    <w:link w:val="22"/>
    <w:qFormat/>
    <w:uiPriority w:val="0"/>
    <w:rPr>
      <w:rFonts w:asciiTheme="majorHAnsi" w:hAnsiTheme="majorHAnsi" w:eastAsiaTheme="majorEastAsia" w:cstheme="majorBidi"/>
      <w:b/>
      <w:bCs/>
      <w:sz w:val="32"/>
      <w:szCs w:val="32"/>
    </w:rPr>
  </w:style>
  <w:style w:type="character" w:customStyle="1" w:styleId="38">
    <w:name w:val="不明显强调1"/>
    <w:basedOn w:val="26"/>
    <w:qFormat/>
    <w:uiPriority w:val="19"/>
    <w:rPr>
      <w:i/>
      <w:iCs/>
      <w:color w:val="404040" w:themeColor="text1" w:themeTint="BF"/>
      <w14:textFill>
        <w14:solidFill>
          <w14:schemeClr w14:val="tx1">
            <w14:lumMod w14:val="75000"/>
            <w14:lumOff w14:val="25000"/>
          </w14:schemeClr>
        </w14:solidFill>
      </w14:textFill>
    </w:rPr>
  </w:style>
  <w:style w:type="paragraph" w:customStyle="1" w:styleId="39">
    <w:name w:val="表格文字"/>
    <w:basedOn w:val="33"/>
    <w:qFormat/>
    <w:uiPriority w:val="0"/>
    <w:pPr>
      <w:ind w:left="-2" w:leftChars="-1" w:firstLine="0" w:firstLineChars="0"/>
    </w:pPr>
  </w:style>
  <w:style w:type="character" w:customStyle="1" w:styleId="40">
    <w:name w:val="未处理的提及2"/>
    <w:basedOn w:val="26"/>
    <w:semiHidden/>
    <w:unhideWhenUsed/>
    <w:qFormat/>
    <w:uiPriority w:val="99"/>
    <w:rPr>
      <w:color w:val="605E5C"/>
      <w:shd w:val="clear" w:color="auto" w:fill="E1DFDD"/>
    </w:rPr>
  </w:style>
  <w:style w:type="table" w:customStyle="1" w:styleId="41">
    <w:name w:val="无格式表格 21"/>
    <w:basedOn w:val="24"/>
    <w:qFormat/>
    <w:uiPriority w:val="42"/>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character" w:customStyle="1" w:styleId="42">
    <w:name w:val="批注框文本 字符"/>
    <w:basedOn w:val="26"/>
    <w:link w:val="12"/>
    <w:qFormat/>
    <w:uiPriority w:val="0"/>
    <w:rPr>
      <w:rFonts w:ascii="宋体" w:hAnsi="宋体" w:cs="宋体"/>
      <w:sz w:val="18"/>
      <w:szCs w:val="18"/>
    </w:rPr>
  </w:style>
  <w:style w:type="character" w:customStyle="1" w:styleId="43">
    <w:name w:val="批注文字 字符"/>
    <w:basedOn w:val="26"/>
    <w:link w:val="8"/>
    <w:qFormat/>
    <w:uiPriority w:val="0"/>
    <w:rPr>
      <w:rFonts w:ascii="宋体" w:hAnsi="宋体" w:cs="宋体"/>
      <w:sz w:val="24"/>
      <w:szCs w:val="24"/>
    </w:rPr>
  </w:style>
  <w:style w:type="character" w:customStyle="1" w:styleId="44">
    <w:name w:val="批注主题 字符"/>
    <w:basedOn w:val="43"/>
    <w:link w:val="23"/>
    <w:qFormat/>
    <w:uiPriority w:val="0"/>
    <w:rPr>
      <w:rFonts w:ascii="宋体" w:hAnsi="宋体" w:cs="宋体"/>
      <w:b/>
      <w:bCs/>
      <w:sz w:val="24"/>
      <w:szCs w:val="24"/>
    </w:rPr>
  </w:style>
  <w:style w:type="character" w:customStyle="1" w:styleId="45">
    <w:name w:val="标题 2 字符"/>
    <w:link w:val="3"/>
    <w:qFormat/>
    <w:uiPriority w:val="0"/>
    <w:rPr>
      <w:rFonts w:ascii="仿宋_GB2312" w:hAnsi="仿宋_GB2312" w:eastAsia="仿宋_GB2312" w:cs="仿宋_GB2312"/>
      <w:b/>
      <w:bCs/>
      <w:sz w:val="32"/>
      <w:szCs w:val="32"/>
      <w:lang w:val="en-US" w:eastAsia="zh-CN" w:bidi="ar-SA"/>
    </w:rPr>
  </w:style>
  <w:style w:type="table" w:customStyle="1" w:styleId="46">
    <w:name w:val="清单表 3 - 着色 11"/>
    <w:basedOn w:val="24"/>
    <w:qFormat/>
    <w:uiPriority w:val="48"/>
    <w:tblPr>
      <w:tblBorders>
        <w:top w:val="single" w:color="5B9BD5" w:themeColor="accent1" w:sz="4" w:space="0"/>
        <w:left w:val="single" w:color="5B9BD5" w:themeColor="accent1" w:sz="4" w:space="0"/>
        <w:bottom w:val="single" w:color="5B9BD5" w:themeColor="accent1" w:sz="4" w:space="0"/>
        <w:right w:val="single" w:color="5B9BD5" w:themeColor="accent1" w:sz="4" w:space="0"/>
      </w:tblBorders>
    </w:tblPr>
    <w:tblStylePr w:type="firstRow">
      <w:rPr>
        <w:b/>
        <w:bCs/>
        <w:color w:val="FFFFFF" w:themeColor="background1"/>
        <w14:textFill>
          <w14:solidFill>
            <w14:schemeClr w14:val="bg1"/>
          </w14:solidFill>
        </w14:textFill>
      </w:rPr>
      <w:tcPr>
        <w:shd w:val="clear" w:color="auto" w:fill="5B9BD5" w:themeFill="accent1"/>
      </w:tcPr>
    </w:tblStylePr>
    <w:tblStylePr w:type="lastRow">
      <w:rPr>
        <w:b/>
        <w:bCs/>
      </w:rPr>
      <w:tcPr>
        <w:tcBorders>
          <w:top w:val="double" w:color="5B9BD5" w:themeColor="accent1"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5B9BD5" w:themeColor="accent1" w:sz="4" w:space="0"/>
          <w:right w:val="single" w:color="5B9BD5" w:themeColor="accent1" w:sz="4" w:space="0"/>
        </w:tcBorders>
      </w:tcPr>
    </w:tblStylePr>
    <w:tblStylePr w:type="band1Horz">
      <w:tcPr>
        <w:tcBorders>
          <w:top w:val="single" w:color="5B9BD5" w:themeColor="accent1" w:sz="4" w:space="0"/>
          <w:bottom w:val="single" w:color="5B9BD5" w:themeColor="accent1"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5B9BD5" w:themeColor="accent1" w:sz="4" w:space="0"/>
          <w:left w:val="nil"/>
        </w:tcBorders>
      </w:tcPr>
    </w:tblStylePr>
    <w:tblStylePr w:type="swCell">
      <w:tcPr>
        <w:tcBorders>
          <w:top w:val="double" w:color="5B9BD5" w:themeColor="accent1" w:sz="4" w:space="0"/>
          <w:right w:val="nil"/>
        </w:tcBorders>
      </w:tcPr>
    </w:tblStylePr>
  </w:style>
  <w:style w:type="character" w:customStyle="1" w:styleId="47">
    <w:name w:val="Unresolved Mention"/>
    <w:basedOn w:val="26"/>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2.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B421170-282B-CB47-A1ED-672013FA7277}">
  <ds:schemaRefs/>
</ds:datastoreItem>
</file>

<file path=docProps/app.xml><?xml version="1.0" encoding="utf-8"?>
<Properties xmlns="http://schemas.openxmlformats.org/officeDocument/2006/extended-properties" xmlns:vt="http://schemas.openxmlformats.org/officeDocument/2006/docPropsVTypes">
  <Template>Normal.dotm</Template>
  <Company>集团总部</Company>
  <Pages>9</Pages>
  <Words>5609</Words>
  <Characters>6797</Characters>
  <Lines>55</Lines>
  <Paragraphs>15</Paragraphs>
  <TotalTime>1</TotalTime>
  <ScaleCrop>false</ScaleCrop>
  <LinksUpToDate>false</LinksUpToDate>
  <CharactersWithSpaces>6874</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2025-03-16T05:36:00Z</dcterms:created>
  <dc:creator>任毅</dc:creator>
  <cp:lastModifiedBy>蓝天小云</cp:lastModifiedBy>
  <dcterms:modified xsi:type="dcterms:W3CDTF">2025-06-27T06:42:14Z</dcterms:modified>
  <cp:revision>35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69B2ADB5A24B4895ACC8D6450E190A22</vt:lpwstr>
  </property>
  <property fmtid="{D5CDD505-2E9C-101B-9397-08002B2CF9AE}" pid="4" name="KSOTemplateDocerSaveRecord">
    <vt:lpwstr>eyJoZGlkIjoiYTAyYWMzNzNkNTc2NDA5ZjJhMjk3NmNmMDFlMDMyNGIiLCJ1c2VySWQiOiIzNTY3OTY0OTMifQ==</vt:lpwstr>
  </property>
</Properties>
</file>