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line="360" w:lineRule="auto"/>
        <w:ind w:firstLine="897"/>
        <w:jc w:val="both"/>
        <w:rPr>
          <w:rFonts w:ascii="黑体" w:hAnsi="黑体" w:eastAsia="黑体" w:cs="黑体"/>
          <w:b/>
          <w:bCs/>
          <w:sz w:val="44"/>
          <w:szCs w:val="52"/>
        </w:rPr>
      </w:pPr>
    </w:p>
    <w:p>
      <w:pPr>
        <w:snapToGrid w:val="0"/>
        <w:spacing w:line="360" w:lineRule="auto"/>
        <w:ind w:firstLine="897"/>
        <w:jc w:val="both"/>
        <w:rPr>
          <w:rFonts w:ascii="黑体" w:hAnsi="黑体" w:eastAsia="黑体" w:cs="黑体"/>
          <w:b/>
          <w:bCs/>
          <w:sz w:val="44"/>
          <w:szCs w:val="52"/>
        </w:rPr>
      </w:pPr>
    </w:p>
    <w:p>
      <w:pPr>
        <w:snapToGrid w:val="0"/>
        <w:spacing w:line="360" w:lineRule="auto"/>
        <w:ind w:firstLine="897"/>
        <w:jc w:val="both"/>
        <w:rPr>
          <w:rFonts w:ascii="黑体" w:hAnsi="黑体" w:eastAsia="黑体" w:cs="黑体"/>
          <w:b/>
          <w:bCs/>
          <w:sz w:val="44"/>
          <w:szCs w:val="52"/>
        </w:rPr>
      </w:pPr>
    </w:p>
    <w:p>
      <w:pPr>
        <w:snapToGrid w:val="0"/>
        <w:spacing w:line="360" w:lineRule="auto"/>
        <w:ind w:firstLine="897"/>
        <w:jc w:val="both"/>
        <w:rPr>
          <w:rFonts w:ascii="黑体" w:hAnsi="黑体" w:eastAsia="黑体" w:cs="黑体"/>
          <w:b/>
          <w:bCs/>
          <w:sz w:val="44"/>
          <w:szCs w:val="52"/>
        </w:rPr>
      </w:pPr>
    </w:p>
    <w:p>
      <w:pPr>
        <w:snapToGrid w:val="0"/>
        <w:spacing w:line="360" w:lineRule="auto"/>
        <w:ind w:firstLine="897"/>
        <w:jc w:val="both"/>
        <w:rPr>
          <w:rFonts w:ascii="黑体" w:hAnsi="黑体" w:eastAsia="黑体" w:cs="黑体"/>
          <w:b/>
          <w:bCs/>
          <w:sz w:val="44"/>
          <w:szCs w:val="52"/>
        </w:rPr>
      </w:pPr>
    </w:p>
    <w:p>
      <w:pPr>
        <w:snapToGrid w:val="0"/>
        <w:spacing w:line="360" w:lineRule="auto"/>
        <w:ind w:firstLine="897"/>
        <w:jc w:val="both"/>
        <w:rPr>
          <w:rFonts w:ascii="黑体" w:hAnsi="黑体" w:eastAsia="黑体" w:cs="黑体"/>
          <w:b/>
          <w:bCs/>
          <w:sz w:val="44"/>
          <w:szCs w:val="52"/>
        </w:rPr>
      </w:pPr>
    </w:p>
    <w:p>
      <w:pPr>
        <w:snapToGrid w:val="0"/>
        <w:spacing w:line="360" w:lineRule="auto"/>
        <w:ind w:firstLine="2973" w:firstLineChars="673"/>
        <w:jc w:val="both"/>
        <w:rPr>
          <w:rFonts w:ascii="黑体" w:hAnsi="黑体" w:eastAsia="黑体" w:cs="黑体"/>
          <w:b/>
          <w:bCs/>
          <w:sz w:val="44"/>
          <w:szCs w:val="52"/>
        </w:rPr>
      </w:pPr>
      <w:r>
        <w:rPr>
          <w:rFonts w:hint="eastAsia" w:ascii="黑体" w:hAnsi="黑体" w:eastAsia="黑体" w:cs="黑体"/>
          <w:b/>
          <w:bCs/>
          <w:sz w:val="44"/>
          <w:szCs w:val="52"/>
        </w:rPr>
        <w:t>每周政策速递</w:t>
      </w:r>
    </w:p>
    <w:p>
      <w:pPr>
        <w:snapToGrid w:val="0"/>
        <w:spacing w:line="360" w:lineRule="auto"/>
        <w:jc w:val="center"/>
        <w:rPr>
          <w:rFonts w:ascii="黑体" w:hAnsi="黑体" w:eastAsia="黑体" w:cs="黑体"/>
          <w:b/>
          <w:bCs/>
          <w:sz w:val="44"/>
          <w:szCs w:val="52"/>
        </w:rPr>
      </w:pPr>
      <w:r>
        <w:rPr>
          <w:rFonts w:hint="eastAsia" w:ascii="黑体" w:hAnsi="黑体" w:eastAsia="黑体" w:cs="黑体"/>
          <w:b/>
          <w:bCs/>
          <w:sz w:val="44"/>
          <w:szCs w:val="52"/>
        </w:rPr>
        <w:t>（</w:t>
      </w:r>
      <w:r>
        <w:rPr>
          <w:rFonts w:hint="eastAsia" w:ascii="黑体" w:hAnsi="黑体" w:eastAsia="黑体" w:cs="黑体"/>
          <w:b/>
          <w:bCs/>
          <w:sz w:val="44"/>
          <w:szCs w:val="52"/>
          <w:lang w:val="en-US" w:eastAsia="zh-CN"/>
        </w:rPr>
        <w:t>6</w:t>
      </w:r>
      <w:r>
        <w:rPr>
          <w:rFonts w:hint="eastAsia" w:ascii="黑体" w:hAnsi="黑体" w:eastAsia="黑体" w:cs="黑体"/>
          <w:b/>
          <w:bCs/>
          <w:sz w:val="44"/>
          <w:szCs w:val="52"/>
        </w:rPr>
        <w:t>月</w:t>
      </w:r>
      <w:r>
        <w:rPr>
          <w:rFonts w:hint="eastAsia" w:ascii="黑体" w:hAnsi="黑体" w:eastAsia="黑体" w:cs="黑体"/>
          <w:b/>
          <w:bCs/>
          <w:sz w:val="44"/>
          <w:szCs w:val="52"/>
          <w:lang w:val="en-US" w:eastAsia="zh-CN"/>
        </w:rPr>
        <w:t>6</w:t>
      </w:r>
      <w:r>
        <w:rPr>
          <w:rFonts w:hint="eastAsia" w:ascii="黑体" w:hAnsi="黑体" w:eastAsia="黑体" w:cs="黑体"/>
          <w:b/>
          <w:bCs/>
          <w:sz w:val="44"/>
          <w:szCs w:val="52"/>
        </w:rPr>
        <w:t>日-</w:t>
      </w:r>
      <w:r>
        <w:rPr>
          <w:rFonts w:hint="eastAsia" w:ascii="黑体" w:hAnsi="黑体" w:eastAsia="黑体" w:cs="黑体"/>
          <w:b/>
          <w:bCs/>
          <w:sz w:val="44"/>
          <w:szCs w:val="52"/>
          <w:lang w:val="en-US" w:eastAsia="zh-CN"/>
        </w:rPr>
        <w:t>6</w:t>
      </w:r>
      <w:r>
        <w:rPr>
          <w:rFonts w:hint="eastAsia" w:ascii="黑体" w:hAnsi="黑体" w:eastAsia="黑体" w:cs="黑体"/>
          <w:b/>
          <w:bCs/>
          <w:sz w:val="44"/>
          <w:szCs w:val="52"/>
        </w:rPr>
        <w:t>月</w:t>
      </w:r>
      <w:r>
        <w:rPr>
          <w:rFonts w:hint="eastAsia" w:ascii="黑体" w:hAnsi="黑体" w:eastAsia="黑体" w:cs="黑体"/>
          <w:b/>
          <w:bCs/>
          <w:sz w:val="44"/>
          <w:szCs w:val="52"/>
          <w:lang w:val="en-US" w:eastAsia="zh-CN"/>
        </w:rPr>
        <w:t>13</w:t>
      </w:r>
      <w:r>
        <w:rPr>
          <w:rFonts w:hint="eastAsia" w:ascii="黑体" w:hAnsi="黑体" w:eastAsia="黑体" w:cs="黑体"/>
          <w:b/>
          <w:bCs/>
          <w:sz w:val="44"/>
          <w:szCs w:val="52"/>
        </w:rPr>
        <w:t>日）</w:t>
      </w:r>
    </w:p>
    <w:p>
      <w:pPr>
        <w:snapToGrid w:val="0"/>
        <w:spacing w:line="360" w:lineRule="auto"/>
        <w:ind w:firstLine="720"/>
        <w:jc w:val="center"/>
        <w:rPr>
          <w:sz w:val="36"/>
          <w:szCs w:val="44"/>
        </w:rPr>
      </w:pPr>
    </w:p>
    <w:p>
      <w:pPr>
        <w:snapToGrid w:val="0"/>
        <w:spacing w:line="360" w:lineRule="auto"/>
        <w:ind w:firstLine="720"/>
        <w:jc w:val="center"/>
        <w:rPr>
          <w:sz w:val="36"/>
          <w:szCs w:val="44"/>
        </w:rPr>
      </w:pPr>
    </w:p>
    <w:p>
      <w:pPr>
        <w:snapToGrid w:val="0"/>
        <w:spacing w:line="360" w:lineRule="auto"/>
        <w:ind w:firstLine="720"/>
        <w:jc w:val="center"/>
        <w:rPr>
          <w:sz w:val="36"/>
          <w:szCs w:val="44"/>
        </w:rPr>
      </w:pPr>
    </w:p>
    <w:p>
      <w:pPr>
        <w:snapToGrid w:val="0"/>
        <w:spacing w:line="360" w:lineRule="auto"/>
        <w:ind w:firstLine="720"/>
        <w:jc w:val="center"/>
        <w:rPr>
          <w:sz w:val="36"/>
          <w:szCs w:val="44"/>
        </w:rPr>
      </w:pPr>
    </w:p>
    <w:p>
      <w:pPr>
        <w:snapToGrid w:val="0"/>
        <w:spacing w:line="360" w:lineRule="auto"/>
        <w:jc w:val="center"/>
        <w:rPr>
          <w:sz w:val="28"/>
          <w:szCs w:val="36"/>
        </w:rPr>
      </w:pPr>
    </w:p>
    <w:p>
      <w:pPr>
        <w:snapToGrid w:val="0"/>
        <w:spacing w:line="360" w:lineRule="auto"/>
        <w:jc w:val="center"/>
        <w:rPr>
          <w:sz w:val="28"/>
          <w:szCs w:val="36"/>
        </w:rPr>
      </w:pPr>
    </w:p>
    <w:p>
      <w:pPr>
        <w:snapToGrid w:val="0"/>
        <w:spacing w:line="360" w:lineRule="auto"/>
        <w:jc w:val="center"/>
        <w:rPr>
          <w:sz w:val="28"/>
          <w:szCs w:val="36"/>
        </w:rPr>
      </w:pPr>
    </w:p>
    <w:p>
      <w:pPr>
        <w:snapToGrid w:val="0"/>
        <w:spacing w:line="360" w:lineRule="auto"/>
        <w:jc w:val="center"/>
        <w:rPr>
          <w:sz w:val="28"/>
          <w:szCs w:val="36"/>
        </w:rPr>
      </w:pPr>
    </w:p>
    <w:p>
      <w:pPr>
        <w:snapToGrid w:val="0"/>
        <w:spacing w:line="360" w:lineRule="auto"/>
        <w:jc w:val="center"/>
        <w:rPr>
          <w:sz w:val="28"/>
          <w:szCs w:val="36"/>
        </w:rPr>
      </w:pPr>
    </w:p>
    <w:p>
      <w:pPr>
        <w:snapToGrid w:val="0"/>
        <w:spacing w:line="360" w:lineRule="auto"/>
        <w:jc w:val="center"/>
        <w:rPr>
          <w:sz w:val="28"/>
          <w:szCs w:val="36"/>
        </w:rPr>
      </w:pPr>
    </w:p>
    <w:p>
      <w:pPr>
        <w:snapToGrid w:val="0"/>
        <w:spacing w:line="360" w:lineRule="auto"/>
        <w:jc w:val="center"/>
        <w:rPr>
          <w:sz w:val="28"/>
          <w:szCs w:val="36"/>
        </w:rPr>
      </w:pPr>
    </w:p>
    <w:p>
      <w:pPr>
        <w:snapToGrid w:val="0"/>
        <w:spacing w:line="360" w:lineRule="auto"/>
        <w:ind w:firstLine="560"/>
        <w:jc w:val="both"/>
      </w:pPr>
    </w:p>
    <w:p>
      <w:pPr>
        <w:pStyle w:val="2"/>
        <w:jc w:val="both"/>
        <w:sectPr>
          <w:pgSz w:w="11906" w:h="16838"/>
          <w:pgMar w:top="1440" w:right="1800" w:bottom="1440" w:left="1800" w:header="851" w:footer="992" w:gutter="0"/>
          <w:cols w:space="425" w:num="1"/>
          <w:docGrid w:type="lines" w:linePitch="312" w:charSpace="0"/>
        </w:sectPr>
      </w:pPr>
    </w:p>
    <w:p>
      <w:pPr>
        <w:pStyle w:val="2"/>
        <w:jc w:val="both"/>
      </w:pPr>
      <w:bookmarkStart w:id="0" w:name="_Toc613"/>
      <w:r>
        <w:rPr>
          <w:rFonts w:hint="eastAsia"/>
        </w:rPr>
        <w:t>目录</w:t>
      </w:r>
      <w:bookmarkEnd w:id="0"/>
    </w:p>
    <w:p>
      <w:pPr>
        <w:pStyle w:val="14"/>
        <w:tabs>
          <w:tab w:val="right" w:leader="dot" w:pos="8306"/>
          <w:tab w:val="clear" w:pos="8296"/>
        </w:tabs>
      </w:pPr>
      <w:r>
        <w:rPr>
          <w:rFonts w:ascii="微软雅黑" w:hAnsi="微软雅黑" w:eastAsia="微软雅黑"/>
          <w:sz w:val="21"/>
          <w:szCs w:val="21"/>
        </w:rPr>
        <w:fldChar w:fldCharType="begin"/>
      </w:r>
      <w:r>
        <w:rPr>
          <w:rFonts w:ascii="微软雅黑" w:hAnsi="微软雅黑" w:eastAsia="微软雅黑"/>
          <w:sz w:val="21"/>
          <w:szCs w:val="21"/>
        </w:rPr>
        <w:instrText xml:space="preserve"> TOC \o "1-3" \h \z \u </w:instrText>
      </w:r>
      <w:r>
        <w:rPr>
          <w:rFonts w:ascii="微软雅黑" w:hAnsi="微软雅黑" w:eastAsia="微软雅黑"/>
          <w:sz w:val="21"/>
          <w:szCs w:val="21"/>
        </w:rPr>
        <w:fldChar w:fldCharType="separate"/>
      </w:r>
      <w:r>
        <w:rPr>
          <w:rFonts w:ascii="微软雅黑" w:hAnsi="微软雅黑" w:eastAsia="微软雅黑"/>
          <w:szCs w:val="21"/>
        </w:rPr>
        <w:fldChar w:fldCharType="begin"/>
      </w:r>
      <w:r>
        <w:rPr>
          <w:rFonts w:ascii="微软雅黑" w:hAnsi="微软雅黑" w:eastAsia="微软雅黑"/>
          <w:szCs w:val="21"/>
        </w:rPr>
        <w:instrText xml:space="preserve"> HYPERLINK \l _Toc613 </w:instrText>
      </w:r>
      <w:r>
        <w:rPr>
          <w:rFonts w:ascii="微软雅黑" w:hAnsi="微软雅黑" w:eastAsia="微软雅黑"/>
          <w:szCs w:val="21"/>
        </w:rPr>
        <w:fldChar w:fldCharType="separate"/>
      </w:r>
      <w:r>
        <w:rPr>
          <w:rFonts w:hint="eastAsia"/>
        </w:rPr>
        <w:t>目录</w:t>
      </w:r>
      <w:r>
        <w:tab/>
      </w:r>
      <w:r>
        <w:fldChar w:fldCharType="begin"/>
      </w:r>
      <w:r>
        <w:instrText xml:space="preserve"> PAGEREF _Toc613 \h </w:instrText>
      </w:r>
      <w:r>
        <w:fldChar w:fldCharType="separate"/>
      </w:r>
      <w:r>
        <w:t>1</w:t>
      </w:r>
      <w:r>
        <w:fldChar w:fldCharType="end"/>
      </w:r>
      <w:r>
        <w:rPr>
          <w:rFonts w:ascii="微软雅黑" w:hAnsi="微软雅黑" w:eastAsia="微软雅黑"/>
          <w:szCs w:val="21"/>
        </w:rPr>
        <w:fldChar w:fldCharType="end"/>
      </w:r>
    </w:p>
    <w:p>
      <w:pPr>
        <w:pStyle w:val="14"/>
        <w:tabs>
          <w:tab w:val="right" w:leader="dot" w:pos="8306"/>
          <w:tab w:val="clear" w:pos="8296"/>
        </w:tabs>
      </w:pPr>
      <w:r>
        <w:rPr>
          <w:rFonts w:ascii="微软雅黑" w:hAnsi="微软雅黑" w:eastAsia="微软雅黑"/>
          <w:szCs w:val="28"/>
        </w:rPr>
        <w:fldChar w:fldCharType="begin"/>
      </w:r>
      <w:r>
        <w:rPr>
          <w:rFonts w:ascii="微软雅黑" w:hAnsi="微软雅黑" w:eastAsia="微软雅黑"/>
          <w:szCs w:val="28"/>
        </w:rPr>
        <w:instrText xml:space="preserve"> HYPERLINK \l _Toc13337 </w:instrText>
      </w:r>
      <w:r>
        <w:rPr>
          <w:rFonts w:ascii="微软雅黑" w:hAnsi="微软雅黑" w:eastAsia="微软雅黑"/>
          <w:szCs w:val="28"/>
        </w:rPr>
        <w:fldChar w:fldCharType="separate"/>
      </w:r>
      <w:r>
        <w:rPr>
          <w:rFonts w:hint="eastAsia"/>
        </w:rPr>
        <w:t>重点.关注</w:t>
      </w:r>
      <w:r>
        <w:tab/>
      </w:r>
      <w:r>
        <w:fldChar w:fldCharType="begin"/>
      </w:r>
      <w:r>
        <w:instrText xml:space="preserve"> PAGEREF _Toc13337 \h </w:instrText>
      </w:r>
      <w:r>
        <w:fldChar w:fldCharType="separate"/>
      </w:r>
      <w:r>
        <w:t>2</w:t>
      </w:r>
      <w:r>
        <w:fldChar w:fldCharType="end"/>
      </w:r>
      <w:r>
        <w:rPr>
          <w:rFonts w:ascii="微软雅黑" w:hAnsi="微软雅黑" w:eastAsia="微软雅黑"/>
          <w:szCs w:val="28"/>
        </w:rPr>
        <w:fldChar w:fldCharType="end"/>
      </w:r>
    </w:p>
    <w:p>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_Toc23459 </w:instrText>
      </w:r>
      <w:r>
        <w:rPr>
          <w:rFonts w:ascii="微软雅黑" w:hAnsi="微软雅黑" w:eastAsia="微软雅黑"/>
          <w:szCs w:val="28"/>
        </w:rPr>
        <w:fldChar w:fldCharType="separate"/>
      </w:r>
      <w:r>
        <w:rPr>
          <w:rFonts w:hint="default"/>
        </w:rPr>
        <w:t xml:space="preserve">(1) </w:t>
      </w:r>
      <w:r>
        <w:rPr>
          <w:rFonts w:hint="eastAsia"/>
        </w:rPr>
        <w:t>我国部署建设10个国家数据要素综合试验区</w:t>
      </w:r>
      <w:r>
        <w:tab/>
      </w:r>
      <w:r>
        <w:fldChar w:fldCharType="begin"/>
      </w:r>
      <w:r>
        <w:instrText xml:space="preserve"> PAGEREF _Toc23459 \h </w:instrText>
      </w:r>
      <w:r>
        <w:fldChar w:fldCharType="separate"/>
      </w:r>
      <w:r>
        <w:t>2</w:t>
      </w:r>
      <w:r>
        <w:fldChar w:fldCharType="end"/>
      </w:r>
      <w:r>
        <w:rPr>
          <w:rFonts w:ascii="微软雅黑" w:hAnsi="微软雅黑" w:eastAsia="微软雅黑"/>
          <w:szCs w:val="28"/>
        </w:rPr>
        <w:fldChar w:fldCharType="end"/>
      </w:r>
    </w:p>
    <w:p>
      <w:pPr>
        <w:pStyle w:val="14"/>
        <w:tabs>
          <w:tab w:val="right" w:leader="dot" w:pos="8306"/>
          <w:tab w:val="clear" w:pos="8296"/>
        </w:tabs>
      </w:pPr>
      <w:r>
        <w:rPr>
          <w:rFonts w:ascii="微软雅黑" w:hAnsi="微软雅黑" w:eastAsia="微软雅黑"/>
          <w:szCs w:val="28"/>
        </w:rPr>
        <w:fldChar w:fldCharType="begin"/>
      </w:r>
      <w:r>
        <w:rPr>
          <w:rFonts w:ascii="微软雅黑" w:hAnsi="微软雅黑" w:eastAsia="微软雅黑"/>
          <w:szCs w:val="28"/>
        </w:rPr>
        <w:instrText xml:space="preserve"> HYPERLINK \l _Toc28227 </w:instrText>
      </w:r>
      <w:r>
        <w:rPr>
          <w:rFonts w:ascii="微软雅黑" w:hAnsi="微软雅黑" w:eastAsia="微软雅黑"/>
          <w:szCs w:val="28"/>
        </w:rPr>
        <w:fldChar w:fldCharType="separate"/>
      </w:r>
      <w:r>
        <w:rPr>
          <w:rFonts w:hint="eastAsia"/>
        </w:rPr>
        <w:t>政策.速递</w:t>
      </w:r>
      <w:r>
        <w:tab/>
      </w:r>
      <w:r>
        <w:fldChar w:fldCharType="begin"/>
      </w:r>
      <w:r>
        <w:instrText xml:space="preserve"> PAGEREF _Toc28227 \h </w:instrText>
      </w:r>
      <w:r>
        <w:fldChar w:fldCharType="separate"/>
      </w:r>
      <w:r>
        <w:t>2</w:t>
      </w:r>
      <w:r>
        <w:fldChar w:fldCharType="end"/>
      </w:r>
      <w:r>
        <w:rPr>
          <w:rFonts w:ascii="微软雅黑" w:hAnsi="微软雅黑" w:eastAsia="微软雅黑"/>
          <w:szCs w:val="28"/>
        </w:rPr>
        <w:fldChar w:fldCharType="end"/>
      </w:r>
    </w:p>
    <w:p>
      <w:pPr>
        <w:pStyle w:val="18"/>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_Toc7451 </w:instrText>
      </w:r>
      <w:r>
        <w:rPr>
          <w:rFonts w:ascii="微软雅黑" w:hAnsi="微软雅黑" w:eastAsia="微软雅黑"/>
          <w:szCs w:val="28"/>
        </w:rPr>
        <w:fldChar w:fldCharType="separate"/>
      </w:r>
      <w:r>
        <w:rPr>
          <w:rFonts w:hint="eastAsia"/>
        </w:rPr>
        <w:t>中央</w:t>
      </w:r>
      <w:r>
        <w:tab/>
      </w:r>
      <w:r>
        <w:fldChar w:fldCharType="begin"/>
      </w:r>
      <w:r>
        <w:instrText xml:space="preserve"> PAGEREF _Toc7451 \h </w:instrText>
      </w:r>
      <w:r>
        <w:fldChar w:fldCharType="separate"/>
      </w:r>
      <w:r>
        <w:t>2</w:t>
      </w:r>
      <w:r>
        <w:fldChar w:fldCharType="end"/>
      </w:r>
      <w:r>
        <w:rPr>
          <w:rFonts w:ascii="微软雅黑" w:hAnsi="微软雅黑" w:eastAsia="微软雅黑"/>
          <w:szCs w:val="28"/>
        </w:rPr>
        <w:fldChar w:fldCharType="end"/>
      </w:r>
    </w:p>
    <w:p>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_Toc5408 </w:instrText>
      </w:r>
      <w:r>
        <w:rPr>
          <w:rFonts w:ascii="微软雅黑" w:hAnsi="微软雅黑" w:eastAsia="微软雅黑"/>
          <w:szCs w:val="28"/>
        </w:rPr>
        <w:fldChar w:fldCharType="separate"/>
      </w:r>
      <w:r>
        <w:rPr>
          <w:rFonts w:hint="default"/>
        </w:rPr>
        <w:t xml:space="preserve">(1) </w:t>
      </w:r>
      <w:r>
        <w:rPr>
          <w:rFonts w:hint="eastAsia"/>
        </w:rPr>
        <w:t>《关于深入推进深圳综合改革试点深化改革创新扩大开放的意见》</w:t>
      </w:r>
      <w:r>
        <w:tab/>
      </w:r>
      <w:r>
        <w:fldChar w:fldCharType="begin"/>
      </w:r>
      <w:r>
        <w:instrText xml:space="preserve"> PAGEREF _Toc5408 \h </w:instrText>
      </w:r>
      <w:r>
        <w:fldChar w:fldCharType="separate"/>
      </w:r>
      <w:r>
        <w:t>2</w:t>
      </w:r>
      <w:r>
        <w:fldChar w:fldCharType="end"/>
      </w:r>
      <w:r>
        <w:rPr>
          <w:rFonts w:ascii="微软雅黑" w:hAnsi="微软雅黑" w:eastAsia="微软雅黑"/>
          <w:szCs w:val="28"/>
        </w:rPr>
        <w:fldChar w:fldCharType="end"/>
      </w:r>
    </w:p>
    <w:p>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_Toc13658 </w:instrText>
      </w:r>
      <w:r>
        <w:rPr>
          <w:rFonts w:ascii="微软雅黑" w:hAnsi="微软雅黑" w:eastAsia="微软雅黑"/>
          <w:szCs w:val="28"/>
        </w:rPr>
        <w:fldChar w:fldCharType="separate"/>
      </w:r>
      <w:r>
        <w:rPr>
          <w:rFonts w:hint="default"/>
        </w:rPr>
        <w:t xml:space="preserve">(2) </w:t>
      </w:r>
      <w:r>
        <w:rPr>
          <w:rFonts w:hint="eastAsia"/>
        </w:rPr>
        <w:t>《关于制造业计量创新发展的意见》</w:t>
      </w:r>
      <w:r>
        <w:tab/>
      </w:r>
      <w:r>
        <w:fldChar w:fldCharType="begin"/>
      </w:r>
      <w:r>
        <w:instrText xml:space="preserve"> PAGEREF _Toc13658 \h </w:instrText>
      </w:r>
      <w:r>
        <w:fldChar w:fldCharType="separate"/>
      </w:r>
      <w:r>
        <w:t>2</w:t>
      </w:r>
      <w:r>
        <w:fldChar w:fldCharType="end"/>
      </w:r>
      <w:r>
        <w:rPr>
          <w:rFonts w:ascii="微软雅黑" w:hAnsi="微软雅黑" w:eastAsia="微软雅黑"/>
          <w:szCs w:val="28"/>
        </w:rPr>
        <w:fldChar w:fldCharType="end"/>
      </w:r>
    </w:p>
    <w:p>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_Toc14845 </w:instrText>
      </w:r>
      <w:r>
        <w:rPr>
          <w:rFonts w:ascii="微软雅黑" w:hAnsi="微软雅黑" w:eastAsia="微软雅黑"/>
          <w:szCs w:val="28"/>
        </w:rPr>
        <w:fldChar w:fldCharType="separate"/>
      </w:r>
      <w:r>
        <w:rPr>
          <w:rFonts w:hint="default"/>
        </w:rPr>
        <w:t xml:space="preserve">(3) </w:t>
      </w:r>
      <w:r>
        <w:rPr>
          <w:rFonts w:hint="eastAsia"/>
        </w:rPr>
        <w:t>《关于组织开展能源领域氢能试点工作的通知》</w:t>
      </w:r>
      <w:r>
        <w:tab/>
      </w:r>
      <w:r>
        <w:fldChar w:fldCharType="begin"/>
      </w:r>
      <w:r>
        <w:instrText xml:space="preserve"> PAGEREF _Toc14845 \h </w:instrText>
      </w:r>
      <w:r>
        <w:fldChar w:fldCharType="separate"/>
      </w:r>
      <w:r>
        <w:t>3</w:t>
      </w:r>
      <w:r>
        <w:fldChar w:fldCharType="end"/>
      </w:r>
      <w:r>
        <w:rPr>
          <w:rFonts w:ascii="微软雅黑" w:hAnsi="微软雅黑" w:eastAsia="微软雅黑"/>
          <w:szCs w:val="28"/>
        </w:rPr>
        <w:fldChar w:fldCharType="end"/>
      </w:r>
    </w:p>
    <w:p>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_Toc16781 </w:instrText>
      </w:r>
      <w:r>
        <w:rPr>
          <w:rFonts w:ascii="微软雅黑" w:hAnsi="微软雅黑" w:eastAsia="微软雅黑"/>
          <w:szCs w:val="28"/>
        </w:rPr>
        <w:fldChar w:fldCharType="separate"/>
      </w:r>
      <w:r>
        <w:rPr>
          <w:rFonts w:hint="default"/>
        </w:rPr>
        <w:t xml:space="preserve">(4) </w:t>
      </w:r>
      <w:r>
        <w:rPr>
          <w:rFonts w:hint="eastAsia"/>
        </w:rPr>
        <w:t>《关于金融支持福建探索海峡两岸融合发展新路 建设两岸融合发展示范区的若干措施》</w:t>
      </w:r>
      <w:r>
        <w:tab/>
      </w:r>
      <w:r>
        <w:fldChar w:fldCharType="begin"/>
      </w:r>
      <w:r>
        <w:instrText xml:space="preserve"> PAGEREF _Toc16781 \h </w:instrText>
      </w:r>
      <w:r>
        <w:fldChar w:fldCharType="separate"/>
      </w:r>
      <w:r>
        <w:t>3</w:t>
      </w:r>
      <w:r>
        <w:fldChar w:fldCharType="end"/>
      </w:r>
      <w:r>
        <w:rPr>
          <w:rFonts w:ascii="微软雅黑" w:hAnsi="微软雅黑" w:eastAsia="微软雅黑"/>
          <w:szCs w:val="28"/>
        </w:rPr>
        <w:fldChar w:fldCharType="end"/>
      </w:r>
    </w:p>
    <w:p>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_Toc23077 </w:instrText>
      </w:r>
      <w:r>
        <w:rPr>
          <w:rFonts w:ascii="微软雅黑" w:hAnsi="微软雅黑" w:eastAsia="微软雅黑"/>
          <w:szCs w:val="28"/>
        </w:rPr>
        <w:fldChar w:fldCharType="separate"/>
      </w:r>
      <w:r>
        <w:rPr>
          <w:rFonts w:hint="default"/>
        </w:rPr>
        <w:t xml:space="preserve">(5) </w:t>
      </w:r>
      <w:r>
        <w:rPr>
          <w:rFonts w:hint="eastAsia"/>
        </w:rPr>
        <w:t>《关于开展生物制造中试能力建设平台培育工作的通知》</w:t>
      </w:r>
      <w:r>
        <w:tab/>
      </w:r>
      <w:r>
        <w:fldChar w:fldCharType="begin"/>
      </w:r>
      <w:r>
        <w:instrText xml:space="preserve"> PAGEREF _Toc23077 \h </w:instrText>
      </w:r>
      <w:r>
        <w:fldChar w:fldCharType="separate"/>
      </w:r>
      <w:r>
        <w:t>4</w:t>
      </w:r>
      <w:r>
        <w:fldChar w:fldCharType="end"/>
      </w:r>
      <w:r>
        <w:rPr>
          <w:rFonts w:ascii="微软雅黑" w:hAnsi="微软雅黑" w:eastAsia="微软雅黑"/>
          <w:szCs w:val="28"/>
        </w:rPr>
        <w:fldChar w:fldCharType="end"/>
      </w:r>
    </w:p>
    <w:p>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_Toc29558 </w:instrText>
      </w:r>
      <w:r>
        <w:rPr>
          <w:rFonts w:ascii="微软雅黑" w:hAnsi="微软雅黑" w:eastAsia="微软雅黑"/>
          <w:szCs w:val="28"/>
        </w:rPr>
        <w:fldChar w:fldCharType="separate"/>
      </w:r>
      <w:r>
        <w:rPr>
          <w:rFonts w:hint="default"/>
        </w:rPr>
        <w:t xml:space="preserve">(6) </w:t>
      </w:r>
      <w:r>
        <w:rPr>
          <w:rFonts w:hint="eastAsia"/>
        </w:rPr>
        <w:t>《关于开展国家重点研发计划高新技术成果产业化试点工作的通知》</w:t>
      </w:r>
      <w:r>
        <w:tab/>
      </w:r>
      <w:r>
        <w:fldChar w:fldCharType="begin"/>
      </w:r>
      <w:r>
        <w:instrText xml:space="preserve"> PAGEREF _Toc29558 \h </w:instrText>
      </w:r>
      <w:r>
        <w:fldChar w:fldCharType="separate"/>
      </w:r>
      <w:r>
        <w:t>4</w:t>
      </w:r>
      <w:r>
        <w:fldChar w:fldCharType="end"/>
      </w:r>
      <w:r>
        <w:rPr>
          <w:rFonts w:ascii="微软雅黑" w:hAnsi="微软雅黑" w:eastAsia="微软雅黑"/>
          <w:szCs w:val="28"/>
        </w:rPr>
        <w:fldChar w:fldCharType="end"/>
      </w:r>
    </w:p>
    <w:p>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_Toc27493 </w:instrText>
      </w:r>
      <w:r>
        <w:rPr>
          <w:rFonts w:ascii="微软雅黑" w:hAnsi="微软雅黑" w:eastAsia="微软雅黑"/>
          <w:szCs w:val="28"/>
        </w:rPr>
        <w:fldChar w:fldCharType="separate"/>
      </w:r>
      <w:r>
        <w:rPr>
          <w:rFonts w:hint="default"/>
        </w:rPr>
        <w:t xml:space="preserve">(7) </w:t>
      </w:r>
      <w:r>
        <w:rPr>
          <w:rFonts w:hint="eastAsia"/>
        </w:rPr>
        <w:t>《食品工业数字化转型实施方案》</w:t>
      </w:r>
      <w:r>
        <w:tab/>
      </w:r>
      <w:r>
        <w:fldChar w:fldCharType="begin"/>
      </w:r>
      <w:r>
        <w:instrText xml:space="preserve"> PAGEREF _Toc27493 \h </w:instrText>
      </w:r>
      <w:r>
        <w:fldChar w:fldCharType="separate"/>
      </w:r>
      <w:r>
        <w:t>4</w:t>
      </w:r>
      <w:r>
        <w:fldChar w:fldCharType="end"/>
      </w:r>
      <w:r>
        <w:rPr>
          <w:rFonts w:ascii="微软雅黑" w:hAnsi="微软雅黑" w:eastAsia="微软雅黑"/>
          <w:szCs w:val="28"/>
        </w:rPr>
        <w:fldChar w:fldCharType="end"/>
      </w:r>
    </w:p>
    <w:p>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_Toc12383 </w:instrText>
      </w:r>
      <w:r>
        <w:rPr>
          <w:rFonts w:ascii="微软雅黑" w:hAnsi="微软雅黑" w:eastAsia="微软雅黑"/>
          <w:szCs w:val="28"/>
        </w:rPr>
        <w:fldChar w:fldCharType="separate"/>
      </w:r>
      <w:r>
        <w:rPr>
          <w:rFonts w:hint="default"/>
        </w:rPr>
        <w:t xml:space="preserve">(8) </w:t>
      </w:r>
      <w:r>
        <w:rPr>
          <w:rFonts w:hint="eastAsia"/>
        </w:rPr>
        <w:t>《智能社会发展与治理标准化指引（2025版）》</w:t>
      </w:r>
      <w:r>
        <w:tab/>
      </w:r>
      <w:r>
        <w:fldChar w:fldCharType="begin"/>
      </w:r>
      <w:r>
        <w:instrText xml:space="preserve"> PAGEREF _Toc12383 \h </w:instrText>
      </w:r>
      <w:r>
        <w:fldChar w:fldCharType="separate"/>
      </w:r>
      <w:r>
        <w:t>5</w:t>
      </w:r>
      <w:r>
        <w:fldChar w:fldCharType="end"/>
      </w:r>
      <w:r>
        <w:rPr>
          <w:rFonts w:ascii="微软雅黑" w:hAnsi="微软雅黑" w:eastAsia="微软雅黑"/>
          <w:szCs w:val="28"/>
        </w:rPr>
        <w:fldChar w:fldCharType="end"/>
      </w:r>
    </w:p>
    <w:p>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_Toc12752 </w:instrText>
      </w:r>
      <w:r>
        <w:rPr>
          <w:rFonts w:ascii="微软雅黑" w:hAnsi="微软雅黑" w:eastAsia="微软雅黑"/>
          <w:szCs w:val="28"/>
        </w:rPr>
        <w:fldChar w:fldCharType="separate"/>
      </w:r>
      <w:r>
        <w:rPr>
          <w:rFonts w:hint="default"/>
        </w:rPr>
        <w:t xml:space="preserve">(9) </w:t>
      </w:r>
      <w:r>
        <w:rPr>
          <w:rFonts w:hint="eastAsia"/>
        </w:rPr>
        <w:t>《智慧健康养老产品及服务推广目录（2024年版）》</w:t>
      </w:r>
      <w:r>
        <w:tab/>
      </w:r>
      <w:r>
        <w:fldChar w:fldCharType="begin"/>
      </w:r>
      <w:r>
        <w:instrText xml:space="preserve"> PAGEREF _Toc12752 \h </w:instrText>
      </w:r>
      <w:r>
        <w:fldChar w:fldCharType="separate"/>
      </w:r>
      <w:r>
        <w:t>5</w:t>
      </w:r>
      <w:r>
        <w:fldChar w:fldCharType="end"/>
      </w:r>
      <w:r>
        <w:rPr>
          <w:rFonts w:ascii="微软雅黑" w:hAnsi="微软雅黑" w:eastAsia="微软雅黑"/>
          <w:szCs w:val="28"/>
        </w:rPr>
        <w:fldChar w:fldCharType="end"/>
      </w:r>
    </w:p>
    <w:p>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_Toc30802 </w:instrText>
      </w:r>
      <w:r>
        <w:rPr>
          <w:rFonts w:ascii="微软雅黑" w:hAnsi="微软雅黑" w:eastAsia="微软雅黑"/>
          <w:szCs w:val="28"/>
        </w:rPr>
        <w:fldChar w:fldCharType="separate"/>
      </w:r>
      <w:r>
        <w:rPr>
          <w:rFonts w:hint="default"/>
        </w:rPr>
        <w:t xml:space="preserve">(10) </w:t>
      </w:r>
      <w:r>
        <w:rPr>
          <w:rFonts w:hint="eastAsia"/>
        </w:rPr>
        <w:t>《关于推荐2025年数字适老助残产品和服务典型案例的通知》</w:t>
      </w:r>
      <w:r>
        <w:tab/>
      </w:r>
      <w:r>
        <w:fldChar w:fldCharType="begin"/>
      </w:r>
      <w:r>
        <w:instrText xml:space="preserve"> PAGEREF _Toc30802 \h </w:instrText>
      </w:r>
      <w:r>
        <w:fldChar w:fldCharType="separate"/>
      </w:r>
      <w:r>
        <w:t>5</w:t>
      </w:r>
      <w:r>
        <w:fldChar w:fldCharType="end"/>
      </w:r>
      <w:r>
        <w:rPr>
          <w:rFonts w:ascii="微软雅黑" w:hAnsi="微软雅黑" w:eastAsia="微软雅黑"/>
          <w:szCs w:val="28"/>
        </w:rPr>
        <w:fldChar w:fldCharType="end"/>
      </w:r>
    </w:p>
    <w:p>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_Toc20605 </w:instrText>
      </w:r>
      <w:r>
        <w:rPr>
          <w:rFonts w:ascii="微软雅黑" w:hAnsi="微软雅黑" w:eastAsia="微软雅黑"/>
          <w:szCs w:val="28"/>
        </w:rPr>
        <w:fldChar w:fldCharType="separate"/>
      </w:r>
      <w:r>
        <w:rPr>
          <w:rFonts w:hint="default"/>
        </w:rPr>
        <w:t xml:space="preserve">(11) </w:t>
      </w:r>
      <w:r>
        <w:rPr>
          <w:rFonts w:hint="eastAsia"/>
        </w:rPr>
        <w:t>《关于开展智能养老服务机器人结对攻关与场景应用试点工作的通知》</w:t>
      </w:r>
      <w:r>
        <w:tab/>
      </w:r>
      <w:r>
        <w:fldChar w:fldCharType="begin"/>
      </w:r>
      <w:r>
        <w:instrText xml:space="preserve"> PAGEREF _Toc20605 \h </w:instrText>
      </w:r>
      <w:r>
        <w:fldChar w:fldCharType="separate"/>
      </w:r>
      <w:r>
        <w:t>6</w:t>
      </w:r>
      <w:r>
        <w:fldChar w:fldCharType="end"/>
      </w:r>
      <w:r>
        <w:rPr>
          <w:rFonts w:ascii="微软雅黑" w:hAnsi="微软雅黑" w:eastAsia="微软雅黑"/>
          <w:szCs w:val="28"/>
        </w:rPr>
        <w:fldChar w:fldCharType="end"/>
      </w:r>
    </w:p>
    <w:p>
      <w:pPr>
        <w:pStyle w:val="18"/>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_Toc24667 </w:instrText>
      </w:r>
      <w:r>
        <w:rPr>
          <w:rFonts w:ascii="微软雅黑" w:hAnsi="微软雅黑" w:eastAsia="微软雅黑"/>
          <w:szCs w:val="28"/>
        </w:rPr>
        <w:fldChar w:fldCharType="separate"/>
      </w:r>
      <w:r>
        <w:rPr>
          <w:rFonts w:hint="eastAsia"/>
        </w:rPr>
        <w:t>湖北省</w:t>
      </w:r>
      <w:r>
        <w:tab/>
      </w:r>
      <w:r>
        <w:fldChar w:fldCharType="begin"/>
      </w:r>
      <w:r>
        <w:instrText xml:space="preserve"> PAGEREF _Toc24667 \h </w:instrText>
      </w:r>
      <w:r>
        <w:fldChar w:fldCharType="separate"/>
      </w:r>
      <w:r>
        <w:t>6</w:t>
      </w:r>
      <w:r>
        <w:fldChar w:fldCharType="end"/>
      </w:r>
      <w:r>
        <w:rPr>
          <w:rFonts w:ascii="微软雅黑" w:hAnsi="微软雅黑" w:eastAsia="微软雅黑"/>
          <w:szCs w:val="28"/>
        </w:rPr>
        <w:fldChar w:fldCharType="end"/>
      </w:r>
    </w:p>
    <w:p>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_Toc21843 </w:instrText>
      </w:r>
      <w:r>
        <w:rPr>
          <w:rFonts w:ascii="微软雅黑" w:hAnsi="微软雅黑" w:eastAsia="微软雅黑"/>
          <w:szCs w:val="28"/>
        </w:rPr>
        <w:fldChar w:fldCharType="separate"/>
      </w:r>
      <w:r>
        <w:rPr>
          <w:rFonts w:hint="default"/>
        </w:rPr>
        <w:t xml:space="preserve">(1) </w:t>
      </w:r>
      <w:r>
        <w:rPr>
          <w:rFonts w:hint="eastAsia"/>
        </w:rPr>
        <w:t>《关于2025年湖北省工业互联网平台拟认定名单的公示》</w:t>
      </w:r>
      <w:r>
        <w:tab/>
      </w:r>
      <w:r>
        <w:fldChar w:fldCharType="begin"/>
      </w:r>
      <w:r>
        <w:instrText xml:space="preserve"> PAGEREF _Toc21843 \h </w:instrText>
      </w:r>
      <w:r>
        <w:fldChar w:fldCharType="separate"/>
      </w:r>
      <w:r>
        <w:t>6</w:t>
      </w:r>
      <w:r>
        <w:fldChar w:fldCharType="end"/>
      </w:r>
      <w:r>
        <w:rPr>
          <w:rFonts w:ascii="微软雅黑" w:hAnsi="微软雅黑" w:eastAsia="微软雅黑"/>
          <w:szCs w:val="28"/>
        </w:rPr>
        <w:fldChar w:fldCharType="end"/>
      </w:r>
    </w:p>
    <w:p>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_Toc32679 </w:instrText>
      </w:r>
      <w:r>
        <w:rPr>
          <w:rFonts w:ascii="微软雅黑" w:hAnsi="微软雅黑" w:eastAsia="微软雅黑"/>
          <w:szCs w:val="28"/>
        </w:rPr>
        <w:fldChar w:fldCharType="separate"/>
      </w:r>
      <w:r>
        <w:rPr>
          <w:rFonts w:hint="default"/>
        </w:rPr>
        <w:t xml:space="preserve">(2) </w:t>
      </w:r>
      <w:r>
        <w:rPr>
          <w:rFonts w:hint="eastAsia"/>
        </w:rPr>
        <w:t>《关于组织开展2025年技术先进型服务企业认定工作的通知》</w:t>
      </w:r>
      <w:r>
        <w:tab/>
      </w:r>
      <w:r>
        <w:fldChar w:fldCharType="begin"/>
      </w:r>
      <w:r>
        <w:instrText xml:space="preserve"> PAGEREF _Toc32679 \h </w:instrText>
      </w:r>
      <w:r>
        <w:fldChar w:fldCharType="separate"/>
      </w:r>
      <w:r>
        <w:t>7</w:t>
      </w:r>
      <w:r>
        <w:fldChar w:fldCharType="end"/>
      </w:r>
      <w:r>
        <w:rPr>
          <w:rFonts w:ascii="微软雅黑" w:hAnsi="微软雅黑" w:eastAsia="微软雅黑"/>
          <w:szCs w:val="28"/>
        </w:rPr>
        <w:fldChar w:fldCharType="end"/>
      </w:r>
    </w:p>
    <w:p>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_Toc16419 </w:instrText>
      </w:r>
      <w:r>
        <w:rPr>
          <w:rFonts w:ascii="微软雅黑" w:hAnsi="微软雅黑" w:eastAsia="微软雅黑"/>
          <w:szCs w:val="28"/>
        </w:rPr>
        <w:fldChar w:fldCharType="separate"/>
      </w:r>
      <w:r>
        <w:rPr>
          <w:rFonts w:hint="default"/>
        </w:rPr>
        <w:t xml:space="preserve">(3) </w:t>
      </w:r>
      <w:r>
        <w:rPr>
          <w:rFonts w:hint="eastAsia"/>
        </w:rPr>
        <w:t>《2025年湖北省支持高新技术企业发展专项资金申报启动》</w:t>
      </w:r>
      <w:r>
        <w:tab/>
      </w:r>
      <w:r>
        <w:fldChar w:fldCharType="begin"/>
      </w:r>
      <w:r>
        <w:instrText xml:space="preserve"> PAGEREF _Toc16419 \h </w:instrText>
      </w:r>
      <w:r>
        <w:fldChar w:fldCharType="separate"/>
      </w:r>
      <w:r>
        <w:t>7</w:t>
      </w:r>
      <w:r>
        <w:fldChar w:fldCharType="end"/>
      </w:r>
      <w:r>
        <w:rPr>
          <w:rFonts w:ascii="微软雅黑" w:hAnsi="微软雅黑" w:eastAsia="微软雅黑"/>
          <w:szCs w:val="28"/>
        </w:rPr>
        <w:fldChar w:fldCharType="end"/>
      </w:r>
    </w:p>
    <w:p>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_Toc28342 </w:instrText>
      </w:r>
      <w:r>
        <w:rPr>
          <w:rFonts w:ascii="微软雅黑" w:hAnsi="微软雅黑" w:eastAsia="微软雅黑"/>
          <w:szCs w:val="28"/>
        </w:rPr>
        <w:fldChar w:fldCharType="separate"/>
      </w:r>
      <w:r>
        <w:rPr>
          <w:rFonts w:hint="default"/>
        </w:rPr>
        <w:t xml:space="preserve">(4) </w:t>
      </w:r>
      <w:r>
        <w:rPr>
          <w:rFonts w:hint="eastAsia"/>
        </w:rPr>
        <w:t>《关于2025年度省级中小企业特色产业集群名单的公示》</w:t>
      </w:r>
      <w:r>
        <w:tab/>
      </w:r>
      <w:r>
        <w:fldChar w:fldCharType="begin"/>
      </w:r>
      <w:r>
        <w:instrText xml:space="preserve"> PAGEREF _Toc28342 \h </w:instrText>
      </w:r>
      <w:r>
        <w:fldChar w:fldCharType="separate"/>
      </w:r>
      <w:r>
        <w:t>7</w:t>
      </w:r>
      <w:r>
        <w:fldChar w:fldCharType="end"/>
      </w:r>
      <w:r>
        <w:rPr>
          <w:rFonts w:ascii="微软雅黑" w:hAnsi="微软雅黑" w:eastAsia="微软雅黑"/>
          <w:szCs w:val="28"/>
        </w:rPr>
        <w:fldChar w:fldCharType="end"/>
      </w:r>
    </w:p>
    <w:p>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_Toc18333 </w:instrText>
      </w:r>
      <w:r>
        <w:rPr>
          <w:rFonts w:ascii="微软雅黑" w:hAnsi="微软雅黑" w:eastAsia="微软雅黑"/>
          <w:szCs w:val="28"/>
        </w:rPr>
        <w:fldChar w:fldCharType="separate"/>
      </w:r>
      <w:r>
        <w:rPr>
          <w:rFonts w:hint="default"/>
        </w:rPr>
        <w:t xml:space="preserve">(5) </w:t>
      </w:r>
      <w:r>
        <w:rPr>
          <w:rFonts w:hint="eastAsia"/>
        </w:rPr>
        <w:t>《关于2025年度先进级智能工厂初选名单的公示》</w:t>
      </w:r>
      <w:r>
        <w:tab/>
      </w:r>
      <w:r>
        <w:fldChar w:fldCharType="begin"/>
      </w:r>
      <w:r>
        <w:instrText xml:space="preserve"> PAGEREF _Toc18333 \h </w:instrText>
      </w:r>
      <w:r>
        <w:fldChar w:fldCharType="separate"/>
      </w:r>
      <w:r>
        <w:t>7</w:t>
      </w:r>
      <w:r>
        <w:fldChar w:fldCharType="end"/>
      </w:r>
      <w:r>
        <w:rPr>
          <w:rFonts w:ascii="微软雅黑" w:hAnsi="微软雅黑" w:eastAsia="微软雅黑"/>
          <w:szCs w:val="28"/>
        </w:rPr>
        <w:fldChar w:fldCharType="end"/>
      </w:r>
    </w:p>
    <w:p>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_Toc12536 </w:instrText>
      </w:r>
      <w:r>
        <w:rPr>
          <w:rFonts w:ascii="微软雅黑" w:hAnsi="微软雅黑" w:eastAsia="微软雅黑"/>
          <w:szCs w:val="28"/>
        </w:rPr>
        <w:fldChar w:fldCharType="separate"/>
      </w:r>
      <w:r>
        <w:rPr>
          <w:rFonts w:hint="default"/>
        </w:rPr>
        <w:t xml:space="preserve">(6) </w:t>
      </w:r>
      <w:r>
        <w:rPr>
          <w:rFonts w:hint="eastAsia"/>
          <w:lang w:val="en-US" w:eastAsia="zh-CN"/>
        </w:rPr>
        <w:t>黄石市</w:t>
      </w:r>
      <w:r>
        <w:rPr>
          <w:rFonts w:hint="eastAsia"/>
        </w:rPr>
        <w:t>《关于支持建设创新强市 打造全省科技创新协同示范区的若干政策》</w:t>
      </w:r>
      <w:r>
        <w:tab/>
      </w:r>
      <w:r>
        <w:fldChar w:fldCharType="begin"/>
      </w:r>
      <w:r>
        <w:instrText xml:space="preserve"> PAGEREF _Toc12536 \h </w:instrText>
      </w:r>
      <w:r>
        <w:fldChar w:fldCharType="separate"/>
      </w:r>
      <w:r>
        <w:t>8</w:t>
      </w:r>
      <w:r>
        <w:fldChar w:fldCharType="end"/>
      </w:r>
      <w:r>
        <w:rPr>
          <w:rFonts w:ascii="微软雅黑" w:hAnsi="微软雅黑" w:eastAsia="微软雅黑"/>
          <w:szCs w:val="28"/>
        </w:rPr>
        <w:fldChar w:fldCharType="end"/>
      </w:r>
    </w:p>
    <w:p>
      <w:pPr>
        <w:pStyle w:val="14"/>
        <w:tabs>
          <w:tab w:val="right" w:leader="dot" w:pos="8306"/>
          <w:tab w:val="clear" w:pos="8296"/>
        </w:tabs>
      </w:pPr>
      <w:r>
        <w:rPr>
          <w:rFonts w:ascii="微软雅黑" w:hAnsi="微软雅黑" w:eastAsia="微软雅黑"/>
          <w:szCs w:val="28"/>
        </w:rPr>
        <w:fldChar w:fldCharType="begin"/>
      </w:r>
      <w:r>
        <w:rPr>
          <w:rFonts w:ascii="微软雅黑" w:hAnsi="微软雅黑" w:eastAsia="微软雅黑"/>
          <w:szCs w:val="28"/>
        </w:rPr>
        <w:instrText xml:space="preserve"> HYPERLINK \l _Toc29413 </w:instrText>
      </w:r>
      <w:r>
        <w:rPr>
          <w:rFonts w:ascii="微软雅黑" w:hAnsi="微软雅黑" w:eastAsia="微软雅黑"/>
          <w:szCs w:val="28"/>
        </w:rPr>
        <w:fldChar w:fldCharType="separate"/>
      </w:r>
      <w:r>
        <w:rPr>
          <w:rFonts w:hint="eastAsia"/>
        </w:rPr>
        <w:t>热点.资讯</w:t>
      </w:r>
      <w:r>
        <w:tab/>
      </w:r>
      <w:r>
        <w:fldChar w:fldCharType="begin"/>
      </w:r>
      <w:r>
        <w:instrText xml:space="preserve"> PAGEREF _Toc29413 \h </w:instrText>
      </w:r>
      <w:r>
        <w:fldChar w:fldCharType="separate"/>
      </w:r>
      <w:r>
        <w:t>8</w:t>
      </w:r>
      <w:r>
        <w:fldChar w:fldCharType="end"/>
      </w:r>
      <w:r>
        <w:rPr>
          <w:rFonts w:ascii="微软雅黑" w:hAnsi="微软雅黑" w:eastAsia="微软雅黑"/>
          <w:szCs w:val="28"/>
        </w:rPr>
        <w:fldChar w:fldCharType="end"/>
      </w:r>
    </w:p>
    <w:p>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_Toc25748 </w:instrText>
      </w:r>
      <w:r>
        <w:rPr>
          <w:rFonts w:ascii="微软雅黑" w:hAnsi="微软雅黑" w:eastAsia="微软雅黑"/>
          <w:szCs w:val="28"/>
        </w:rPr>
        <w:fldChar w:fldCharType="separate"/>
      </w:r>
      <w:r>
        <w:rPr>
          <w:rFonts w:hint="default"/>
        </w:rPr>
        <w:t xml:space="preserve">(1) </w:t>
      </w:r>
      <w:r>
        <w:rPr>
          <w:rFonts w:hint="eastAsia"/>
        </w:rPr>
        <w:t>中美经贸磋商机制首次会议举行</w:t>
      </w:r>
      <w:r>
        <w:tab/>
      </w:r>
      <w:r>
        <w:fldChar w:fldCharType="begin"/>
      </w:r>
      <w:r>
        <w:instrText xml:space="preserve"> PAGEREF _Toc25748 \h </w:instrText>
      </w:r>
      <w:r>
        <w:fldChar w:fldCharType="separate"/>
      </w:r>
      <w:r>
        <w:t>8</w:t>
      </w:r>
      <w:r>
        <w:fldChar w:fldCharType="end"/>
      </w:r>
      <w:r>
        <w:rPr>
          <w:rFonts w:ascii="微软雅黑" w:hAnsi="微软雅黑" w:eastAsia="微软雅黑"/>
          <w:szCs w:val="28"/>
        </w:rPr>
        <w:fldChar w:fldCharType="end"/>
      </w:r>
    </w:p>
    <w:p>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_Toc5328 </w:instrText>
      </w:r>
      <w:r>
        <w:rPr>
          <w:rFonts w:ascii="微软雅黑" w:hAnsi="微软雅黑" w:eastAsia="微软雅黑"/>
          <w:szCs w:val="28"/>
        </w:rPr>
        <w:fldChar w:fldCharType="separate"/>
      </w:r>
      <w:r>
        <w:rPr>
          <w:rFonts w:hint="default"/>
          <w:lang w:eastAsia="zh-CN"/>
        </w:rPr>
        <w:t xml:space="preserve">(2) </w:t>
      </w:r>
      <w:r>
        <w:rPr>
          <w:rFonts w:hint="eastAsia"/>
        </w:rPr>
        <w:t>第一批全国零售业创新提升试点城市公布</w:t>
      </w:r>
      <w:r>
        <w:rPr>
          <w:rFonts w:hint="eastAsia"/>
          <w:lang w:eastAsia="zh-CN"/>
        </w:rPr>
        <w:t>，</w:t>
      </w:r>
      <w:r>
        <w:rPr>
          <w:rFonts w:hint="eastAsia"/>
        </w:rPr>
        <w:t>湖北武汉、十堰入选</w:t>
      </w:r>
      <w:r>
        <w:tab/>
      </w:r>
      <w:r>
        <w:fldChar w:fldCharType="begin"/>
      </w:r>
      <w:r>
        <w:instrText xml:space="preserve"> PAGEREF _Toc5328 \h </w:instrText>
      </w:r>
      <w:r>
        <w:fldChar w:fldCharType="separate"/>
      </w:r>
      <w:r>
        <w:t>9</w:t>
      </w:r>
      <w:r>
        <w:fldChar w:fldCharType="end"/>
      </w:r>
      <w:r>
        <w:rPr>
          <w:rFonts w:ascii="微软雅黑" w:hAnsi="微软雅黑" w:eastAsia="微软雅黑"/>
          <w:szCs w:val="28"/>
        </w:rPr>
        <w:fldChar w:fldCharType="end"/>
      </w:r>
    </w:p>
    <w:p>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_Toc12589 </w:instrText>
      </w:r>
      <w:r>
        <w:rPr>
          <w:rFonts w:ascii="微软雅黑" w:hAnsi="微软雅黑" w:eastAsia="微软雅黑"/>
          <w:szCs w:val="28"/>
        </w:rPr>
        <w:fldChar w:fldCharType="separate"/>
      </w:r>
      <w:r>
        <w:rPr>
          <w:rFonts w:hint="default"/>
        </w:rPr>
        <w:t xml:space="preserve">(3) </w:t>
      </w:r>
      <w:r>
        <w:rPr>
          <w:rFonts w:hint="eastAsia"/>
        </w:rPr>
        <w:t>全省汽车产业发展专题会议召开</w:t>
      </w:r>
      <w:r>
        <w:tab/>
      </w:r>
      <w:r>
        <w:fldChar w:fldCharType="begin"/>
      </w:r>
      <w:r>
        <w:instrText xml:space="preserve"> PAGEREF _Toc12589 \h </w:instrText>
      </w:r>
      <w:r>
        <w:fldChar w:fldCharType="separate"/>
      </w:r>
      <w:r>
        <w:t>9</w:t>
      </w:r>
      <w:r>
        <w:fldChar w:fldCharType="end"/>
      </w:r>
      <w:r>
        <w:rPr>
          <w:rFonts w:ascii="微软雅黑" w:hAnsi="微软雅黑" w:eastAsia="微软雅黑"/>
          <w:szCs w:val="28"/>
        </w:rPr>
        <w:fldChar w:fldCharType="end"/>
      </w:r>
    </w:p>
    <w:p>
      <w:pPr>
        <w:snapToGrid w:val="0"/>
        <w:spacing w:line="360" w:lineRule="auto"/>
        <w:jc w:val="both"/>
      </w:pPr>
      <w:r>
        <w:rPr>
          <w:rFonts w:ascii="微软雅黑" w:hAnsi="微软雅黑" w:eastAsia="微软雅黑"/>
          <w:szCs w:val="28"/>
        </w:rPr>
        <w:fldChar w:fldCharType="end"/>
      </w:r>
    </w:p>
    <w:p>
      <w:pPr>
        <w:snapToGrid w:val="0"/>
        <w:spacing w:line="360" w:lineRule="auto"/>
        <w:jc w:val="both"/>
        <w:rPr>
          <w:rFonts w:ascii="方正小标宋简体" w:hAnsi="方正小标宋简体" w:eastAsia="方正小标宋简体" w:cs="方正小标宋简体"/>
          <w:b/>
          <w:kern w:val="44"/>
          <w:sz w:val="32"/>
          <w:szCs w:val="32"/>
        </w:rPr>
      </w:pPr>
      <w:r>
        <w:br w:type="page"/>
      </w:r>
    </w:p>
    <w:p>
      <w:pPr>
        <w:pStyle w:val="32"/>
        <w:jc w:val="both"/>
      </w:pPr>
    </w:p>
    <w:p>
      <w:pPr>
        <w:pStyle w:val="2"/>
        <w:rPr>
          <w:rFonts w:hint="eastAsia"/>
        </w:rPr>
      </w:pPr>
      <w:bookmarkStart w:id="1" w:name="_Toc13337"/>
      <w:r>
        <w:rPr>
          <w:rFonts w:hint="eastAsia"/>
        </w:rPr>
        <w:t>重点.关注</w:t>
      </w:r>
      <w:bookmarkEnd w:id="1"/>
    </w:p>
    <w:p/>
    <w:p>
      <w:pPr>
        <w:pStyle w:val="4"/>
        <w:bidi w:val="0"/>
        <w:rPr>
          <w:rFonts w:hint="eastAsia"/>
        </w:rPr>
      </w:pPr>
      <w:bookmarkStart w:id="2" w:name="_Toc23459"/>
      <w:r>
        <w:rPr>
          <w:rFonts w:hint="eastAsia"/>
        </w:rPr>
        <w:t>我国部署建设10个国家数据要素综合试验区</w:t>
      </w:r>
      <w:bookmarkEnd w:id="2"/>
    </w:p>
    <w:p>
      <w:pPr>
        <w:rPr>
          <w:rFonts w:hint="eastAsia"/>
        </w:rPr>
      </w:pPr>
    </w:p>
    <w:p>
      <w:pPr>
        <w:rPr>
          <w:rFonts w:hint="eastAsia"/>
        </w:rPr>
      </w:pPr>
      <w:r>
        <w:rPr>
          <w:rFonts w:hint="eastAsia"/>
        </w:rPr>
        <w:t>近日，我国做出重要部署，我国将在北京、浙江、安徽等地部署建设10个国家数据要素综合试验区，以支持各地在培育经营主体、繁荣数据市场等方面开展先行先试，推动实体经济与数字经济深度融合。国家数据局推动此项工作，旨在借试验区建设探索数据要素市场发展新模式，推动数据要素高效流通与价值转化，为数字经济发展注入新动力。这一举措对完善数据要素市场体系、促进产业数字化转型意义重大，不仅能提升数据资源利用效率，还将推动跨行业、跨领域数据融合应用，催生更多新业态、新模式。试验区建设有望积累可复制、可推广经验，带动全国数据要素市场发展，助力数字经济高质量发展。</w:t>
      </w:r>
    </w:p>
    <w:p>
      <w:pPr>
        <w:rPr>
          <w:rFonts w:hint="eastAsia"/>
        </w:rPr>
      </w:pPr>
    </w:p>
    <w:p>
      <w:pPr>
        <w:rPr>
          <w:rFonts w:hint="eastAsia"/>
        </w:rPr>
      </w:pPr>
      <w:r>
        <w:rPr>
          <w:rFonts w:hint="eastAsia"/>
        </w:rPr>
        <w:t>发文日期：2025年6月5日</w:t>
      </w:r>
    </w:p>
    <w:p>
      <w:pPr>
        <w:rPr>
          <w:rFonts w:hint="eastAsia"/>
        </w:rPr>
      </w:pPr>
      <w:r>
        <w:rPr>
          <w:rFonts w:hint="eastAsia"/>
        </w:rPr>
        <w:t>发文单位：国家数据局</w:t>
      </w:r>
    </w:p>
    <w:p>
      <w:pPr>
        <w:rPr>
          <w:rFonts w:hint="eastAsia"/>
        </w:rPr>
      </w:pPr>
      <w:r>
        <w:rPr>
          <w:rFonts w:hint="eastAsia"/>
        </w:rPr>
        <w:t>原文链接：https://mp.weixin.qq.com/s/oLo866vdoJiSS5RirH91pA</w:t>
      </w:r>
    </w:p>
    <w:p/>
    <w:p>
      <w:pPr>
        <w:pStyle w:val="2"/>
      </w:pPr>
      <w:bookmarkStart w:id="3" w:name="_Toc28227"/>
      <w:r>
        <w:rPr>
          <w:rFonts w:hint="eastAsia"/>
        </w:rPr>
        <w:t>政策.速递</w:t>
      </w:r>
      <w:bookmarkEnd w:id="3"/>
    </w:p>
    <w:p>
      <w:pPr>
        <w:pStyle w:val="3"/>
      </w:pPr>
      <w:bookmarkStart w:id="4" w:name="_Toc7451"/>
      <w:r>
        <w:rPr>
          <w:rFonts w:hint="eastAsia"/>
        </w:rPr>
        <w:t>中央</w:t>
      </w:r>
      <w:bookmarkEnd w:id="4"/>
      <w:r>
        <w:rPr>
          <w:rFonts w:hint="eastAsia"/>
        </w:rPr>
        <w:t xml:space="preserve"> </w:t>
      </w:r>
    </w:p>
    <w:p>
      <w:pPr>
        <w:rPr>
          <w:rFonts w:hint="eastAsia" w:eastAsia="宋体"/>
          <w:lang w:eastAsia="zh-CN"/>
        </w:rPr>
      </w:pPr>
    </w:p>
    <w:p>
      <w:pPr>
        <w:pStyle w:val="4"/>
        <w:numPr>
          <w:ilvl w:val="0"/>
          <w:numId w:val="2"/>
        </w:numPr>
        <w:bidi w:val="0"/>
        <w:rPr>
          <w:rFonts w:hint="eastAsia"/>
        </w:rPr>
      </w:pPr>
      <w:bookmarkStart w:id="5" w:name="_Toc5408"/>
      <w:r>
        <w:rPr>
          <w:rFonts w:hint="eastAsia"/>
        </w:rPr>
        <w:t>《关于深入推进深圳综合改革试点深化改革创新扩大开放的意见》</w:t>
      </w:r>
      <w:bookmarkEnd w:id="5"/>
    </w:p>
    <w:p>
      <w:pPr>
        <w:rPr>
          <w:rFonts w:hint="eastAsia"/>
        </w:rPr>
      </w:pPr>
    </w:p>
    <w:p>
      <w:pPr>
        <w:rPr>
          <w:rFonts w:hint="eastAsia"/>
        </w:rPr>
      </w:pPr>
      <w:r>
        <w:rPr>
          <w:rFonts w:hint="eastAsia"/>
        </w:rPr>
        <w:t>经党中央、国务院同意，中共中央办公厅、国务院办公厅就深入推进深圳综合改革试点提出意见。总体要求是以习近平新时代中国特色社会主义思想为指导，在多方面先行先试，创造可复制经验。意见提出多项改革举措：统筹推进教育科技人才体制机制一体改革，加强产学研协同，推进育人等方面改革，完善海外人才引进保障；推进金融等赋能实体经济，健全金融服务机制，创新支持新兴产业，深化数据要素改革；建设更高水平开放型经济新体制，推动货物贸易升级、创新服务贸易、完善人员流动配套；健全治理模式，提升民生保障、健全资源管理、深化司法改革；强化组织实施，坚持党的领导，狠抓改革落地，强化经验评估推广。</w:t>
      </w:r>
    </w:p>
    <w:p>
      <w:pPr>
        <w:rPr>
          <w:rFonts w:hint="eastAsia"/>
        </w:rPr>
      </w:pPr>
    </w:p>
    <w:p>
      <w:pPr>
        <w:rPr>
          <w:rFonts w:hint="eastAsia"/>
        </w:rPr>
      </w:pPr>
      <w:r>
        <w:rPr>
          <w:rFonts w:hint="eastAsia"/>
        </w:rPr>
        <w:t>发文日期：202</w:t>
      </w:r>
      <w:r>
        <w:rPr>
          <w:rFonts w:hint="eastAsia"/>
          <w:lang w:val="en-US" w:eastAsia="zh-CN"/>
        </w:rPr>
        <w:t>5</w:t>
      </w:r>
      <w:r>
        <w:rPr>
          <w:rFonts w:hint="eastAsia"/>
        </w:rPr>
        <w:t>年</w:t>
      </w:r>
      <w:r>
        <w:rPr>
          <w:rFonts w:hint="eastAsia"/>
          <w:lang w:val="en-US" w:eastAsia="zh-CN"/>
        </w:rPr>
        <w:t>6</w:t>
      </w:r>
      <w:r>
        <w:rPr>
          <w:rFonts w:hint="eastAsia"/>
        </w:rPr>
        <w:t>月</w:t>
      </w:r>
      <w:r>
        <w:rPr>
          <w:rFonts w:hint="eastAsia"/>
          <w:lang w:val="en-US" w:eastAsia="zh-CN"/>
        </w:rPr>
        <w:t>1</w:t>
      </w:r>
      <w:r>
        <w:rPr>
          <w:rFonts w:hint="eastAsia"/>
        </w:rPr>
        <w:t>0日</w:t>
      </w:r>
    </w:p>
    <w:p>
      <w:pPr>
        <w:rPr>
          <w:rFonts w:hint="eastAsia"/>
        </w:rPr>
      </w:pPr>
      <w:r>
        <w:rPr>
          <w:rFonts w:hint="eastAsia"/>
        </w:rPr>
        <w:t>发文单位：中共中央办公厅、国务院办公厅</w:t>
      </w:r>
    </w:p>
    <w:p>
      <w:pPr>
        <w:rPr>
          <w:rFonts w:hint="eastAsia"/>
        </w:rPr>
      </w:pPr>
      <w:r>
        <w:rPr>
          <w:rFonts w:hint="eastAsia"/>
        </w:rPr>
        <w:t>原文链接：</w:t>
      </w:r>
      <w:r>
        <w:rPr>
          <w:rFonts w:hint="eastAsia"/>
        </w:rPr>
        <w:fldChar w:fldCharType="begin"/>
      </w:r>
      <w:r>
        <w:rPr>
          <w:rFonts w:hint="eastAsia"/>
        </w:rPr>
        <w:instrText xml:space="preserve"> HYPERLINK "https://mp.weixin.qq.com/s/sVKQbgfL0AnN93LoXIQYbQ" </w:instrText>
      </w:r>
      <w:r>
        <w:rPr>
          <w:rFonts w:hint="eastAsia"/>
        </w:rPr>
        <w:fldChar w:fldCharType="separate"/>
      </w:r>
      <w:r>
        <w:rPr>
          <w:rStyle w:val="28"/>
          <w:rFonts w:hint="eastAsia"/>
        </w:rPr>
        <w:t>https://mp.weixin.qq.com/s/sVKQbgfL0AnN93LoXIQYbQ</w:t>
      </w:r>
      <w:r>
        <w:rPr>
          <w:rFonts w:hint="eastAsia"/>
        </w:rPr>
        <w:fldChar w:fldCharType="end"/>
      </w:r>
    </w:p>
    <w:p>
      <w:pPr>
        <w:rPr>
          <w:rFonts w:hint="eastAsia"/>
        </w:rPr>
      </w:pPr>
    </w:p>
    <w:p>
      <w:pPr>
        <w:pStyle w:val="4"/>
        <w:numPr>
          <w:ilvl w:val="0"/>
          <w:numId w:val="2"/>
        </w:numPr>
        <w:bidi w:val="0"/>
        <w:rPr>
          <w:rFonts w:hint="eastAsia"/>
        </w:rPr>
      </w:pPr>
      <w:bookmarkStart w:id="6" w:name="_Toc13658"/>
      <w:r>
        <w:rPr>
          <w:rFonts w:hint="eastAsia"/>
        </w:rPr>
        <w:t>《关于制造业计量创新发展的意见》</w:t>
      </w:r>
      <w:bookmarkEnd w:id="6"/>
    </w:p>
    <w:p>
      <w:pPr>
        <w:rPr>
          <w:rFonts w:hint="eastAsia"/>
        </w:rPr>
      </w:pPr>
      <w:r>
        <w:rPr>
          <w:rFonts w:hint="eastAsia"/>
        </w:rPr>
        <w:t>近日，工业和信息化部印发《关于制造业计量创新发展的意见》（以下简称《意见》），旨在进一步提升制造业计量能力，夯实计量对构建现代化产业体系的保障作用，加快制造业产业基础高级化。这是我国制造业计量领域首个政策性文件。</w:t>
      </w:r>
    </w:p>
    <w:p>
      <w:pPr>
        <w:rPr>
          <w:rFonts w:hint="eastAsia"/>
        </w:rPr>
      </w:pPr>
      <w:r>
        <w:rPr>
          <w:rFonts w:hint="eastAsia"/>
        </w:rPr>
        <w:t>《意见》提出，到2027年，突破100项以上关键计量校准技术，制修订300项以上行业计量校准规范，研制100台套以上计量器具和标准物质，培育50家以上仪器仪表优质企业，建设10家以上制造业高水平计量校准技术服务机构，技术服务网络基本完善，服务能力基本覆盖重要产业领域。到2030年，制造业计量创新水平持续提升，技术服务网络更加完善，重要领域计量综合实力大幅增强，有力支撑我国制造业高质量发展。</w:t>
      </w:r>
    </w:p>
    <w:p>
      <w:pPr>
        <w:rPr>
          <w:rFonts w:hint="eastAsia"/>
        </w:rPr>
      </w:pPr>
    </w:p>
    <w:p>
      <w:pPr>
        <w:rPr>
          <w:rFonts w:hint="eastAsia"/>
        </w:rPr>
      </w:pPr>
      <w:r>
        <w:rPr>
          <w:rFonts w:hint="eastAsia"/>
        </w:rPr>
        <w:t>发文日期：2025年6月</w:t>
      </w:r>
      <w:r>
        <w:rPr>
          <w:rFonts w:hint="eastAsia"/>
          <w:lang w:val="en-US" w:eastAsia="zh-CN"/>
        </w:rPr>
        <w:t>13</w:t>
      </w:r>
      <w:r>
        <w:rPr>
          <w:rFonts w:hint="eastAsia"/>
        </w:rPr>
        <w:t>日</w:t>
      </w:r>
    </w:p>
    <w:p>
      <w:pPr>
        <w:rPr>
          <w:rFonts w:hint="eastAsia"/>
        </w:rPr>
      </w:pPr>
      <w:r>
        <w:rPr>
          <w:rFonts w:hint="eastAsia"/>
        </w:rPr>
        <w:t>发文单位：工业和信息化部</w:t>
      </w:r>
    </w:p>
    <w:p>
      <w:pPr>
        <w:rPr>
          <w:rFonts w:hint="eastAsia"/>
        </w:rPr>
      </w:pPr>
      <w:r>
        <w:rPr>
          <w:rFonts w:hint="eastAsia"/>
        </w:rPr>
        <w:t>原文链接：https://mp.weixin.qq.com/s/wueA_wNvlCdunB4cQ0cMVg</w:t>
      </w:r>
    </w:p>
    <w:p>
      <w:pPr>
        <w:rPr>
          <w:rFonts w:hint="eastAsia"/>
        </w:rPr>
      </w:pPr>
    </w:p>
    <w:p>
      <w:pPr>
        <w:rPr>
          <w:rFonts w:hint="eastAsia"/>
        </w:rPr>
      </w:pPr>
    </w:p>
    <w:p>
      <w:pPr>
        <w:pStyle w:val="4"/>
        <w:numPr>
          <w:ilvl w:val="0"/>
          <w:numId w:val="2"/>
        </w:numPr>
        <w:bidi w:val="0"/>
        <w:rPr>
          <w:rFonts w:hint="eastAsia"/>
        </w:rPr>
      </w:pPr>
      <w:bookmarkStart w:id="7" w:name="_Toc14845"/>
      <w:r>
        <w:rPr>
          <w:rFonts w:hint="eastAsia"/>
        </w:rPr>
        <w:t>《关于组织开展能源领域氢能试点工作的通知》</w:t>
      </w:r>
      <w:bookmarkEnd w:id="7"/>
    </w:p>
    <w:p>
      <w:pPr>
        <w:rPr>
          <w:rFonts w:hint="eastAsia"/>
        </w:rPr>
      </w:pPr>
    </w:p>
    <w:p>
      <w:pPr>
        <w:rPr>
          <w:rFonts w:hint="eastAsia"/>
        </w:rPr>
      </w:pPr>
      <w:r>
        <w:rPr>
          <w:rFonts w:hint="eastAsia"/>
        </w:rPr>
        <w:t xml:space="preserve">国家能源局发布《关于组织开展能源领域氢能试点工作的通知》，其中提到，国家能源局将遴选部分项目和区域开展氢能试点工作，进一步推动创新氢能管理模式，探索氢能产业发展的多元化路径，形成可复制可推广的经验，支撑氢能“制储输用”全链条发展；对符合条件的项目和区域试点优先纳入制造业中长期贷款、优先推荐纳入“两重”“两新”等支持范围，相关技术装备优先纳入能源领域首台（套）重大技术装备。支持依托试点项目，制定相关国家标准和行业标准，推动相关项目参与碳市场、绿证市场交易。 </w:t>
      </w:r>
    </w:p>
    <w:p>
      <w:pPr>
        <w:rPr>
          <w:rFonts w:hint="eastAsia"/>
        </w:rPr>
      </w:pPr>
    </w:p>
    <w:p>
      <w:pPr>
        <w:rPr>
          <w:rFonts w:hint="eastAsia"/>
        </w:rPr>
      </w:pPr>
    </w:p>
    <w:p>
      <w:pPr>
        <w:rPr>
          <w:rFonts w:hint="eastAsia"/>
        </w:rPr>
      </w:pPr>
      <w:r>
        <w:rPr>
          <w:rFonts w:hint="eastAsia"/>
        </w:rPr>
        <w:t>发文日期：2025年6月10日</w:t>
      </w:r>
    </w:p>
    <w:p>
      <w:pPr>
        <w:rPr>
          <w:rFonts w:hint="eastAsia"/>
        </w:rPr>
      </w:pPr>
      <w:r>
        <w:rPr>
          <w:rFonts w:hint="eastAsia"/>
        </w:rPr>
        <w:t>发文单位：国家能源局综合司</w:t>
      </w:r>
    </w:p>
    <w:p>
      <w:pPr>
        <w:rPr>
          <w:rFonts w:hint="eastAsia"/>
        </w:rPr>
      </w:pPr>
      <w:r>
        <w:rPr>
          <w:rFonts w:hint="eastAsia"/>
        </w:rPr>
        <w:t>原文链接：</w:t>
      </w:r>
      <w:r>
        <w:rPr>
          <w:rFonts w:hint="eastAsia"/>
        </w:rPr>
        <w:fldChar w:fldCharType="begin"/>
      </w:r>
      <w:r>
        <w:rPr>
          <w:rFonts w:hint="eastAsia"/>
        </w:rPr>
        <w:instrText xml:space="preserve"> HYPERLINK "https://mp.weixin.qq.com/s/diRBxBUOHr8KYd-4pCSLsg" </w:instrText>
      </w:r>
      <w:r>
        <w:rPr>
          <w:rFonts w:hint="eastAsia"/>
        </w:rPr>
        <w:fldChar w:fldCharType="separate"/>
      </w:r>
      <w:r>
        <w:rPr>
          <w:rStyle w:val="28"/>
          <w:rFonts w:hint="eastAsia"/>
        </w:rPr>
        <w:t>https://mp.weixin.qq.com/s/diRBxBUOHr8KYd-4pCSLsg</w:t>
      </w:r>
      <w:r>
        <w:rPr>
          <w:rFonts w:hint="eastAsia"/>
        </w:rPr>
        <w:fldChar w:fldCharType="end"/>
      </w:r>
    </w:p>
    <w:p>
      <w:pPr>
        <w:rPr>
          <w:rFonts w:hint="eastAsia"/>
        </w:rPr>
      </w:pPr>
    </w:p>
    <w:p>
      <w:pPr>
        <w:pStyle w:val="4"/>
        <w:numPr>
          <w:ilvl w:val="0"/>
          <w:numId w:val="2"/>
        </w:numPr>
        <w:bidi w:val="0"/>
        <w:rPr>
          <w:rFonts w:hint="eastAsia"/>
        </w:rPr>
      </w:pPr>
      <w:bookmarkStart w:id="8" w:name="_Toc16781"/>
      <w:r>
        <w:rPr>
          <w:rFonts w:hint="eastAsia"/>
        </w:rPr>
        <w:t>《关于金融支持福建探索海峡两岸融合发展新路 建设两岸融合发展示范区的若干措施》</w:t>
      </w:r>
      <w:bookmarkEnd w:id="8"/>
    </w:p>
    <w:p>
      <w:pPr>
        <w:rPr>
          <w:rFonts w:hint="eastAsia"/>
        </w:rPr>
      </w:pPr>
    </w:p>
    <w:p>
      <w:pPr>
        <w:rPr>
          <w:rFonts w:hint="eastAsia"/>
        </w:rPr>
      </w:pPr>
      <w:r>
        <w:rPr>
          <w:rFonts w:hint="eastAsia"/>
        </w:rPr>
        <w:t>近日，中国人民银行、国家外汇局联合印发《关于金融支持福建探索海峡两岸融合发展新路 建设两岸融合发展示范区的若干措施》，旨在贯彻落实相关意见，深化两岸金融领域融合发展。《若干措施》着眼两岸融合发展示范区建设，从优化两岸共同“生活圈”金融生态、服务台胞台资企业登陆第一家园建设，支持开展跨境贸易高水平开放试点，支持资本项下跨境投融资便利化，全面加强金融监管、有效防范化解金融风险等四方面提出12条政策措施，对深化示范区建设、推进金融高水平开放意义重大。下一步，两部门将推动各项政策落实落细，加大金融支持海峡两岸融合发展力度，为示范区建设提供金融支撑。</w:t>
      </w:r>
    </w:p>
    <w:p>
      <w:pPr>
        <w:rPr>
          <w:rFonts w:hint="eastAsia"/>
        </w:rPr>
      </w:pPr>
    </w:p>
    <w:p>
      <w:pPr>
        <w:rPr>
          <w:rFonts w:hint="eastAsia"/>
        </w:rPr>
      </w:pPr>
      <w:r>
        <w:rPr>
          <w:rFonts w:hint="eastAsia"/>
        </w:rPr>
        <w:t>发文日期：2025年6月12日</w:t>
      </w:r>
    </w:p>
    <w:p>
      <w:pPr>
        <w:rPr>
          <w:rFonts w:hint="eastAsia"/>
        </w:rPr>
      </w:pPr>
      <w:r>
        <w:rPr>
          <w:rFonts w:hint="eastAsia"/>
        </w:rPr>
        <w:t>发文单位：中国人民银行、国家外汇局</w:t>
      </w:r>
    </w:p>
    <w:p>
      <w:pPr>
        <w:rPr>
          <w:rFonts w:hint="eastAsia"/>
        </w:rPr>
      </w:pPr>
      <w:r>
        <w:rPr>
          <w:rFonts w:hint="eastAsia"/>
        </w:rPr>
        <w:t>原文链接：</w:t>
      </w:r>
      <w:r>
        <w:rPr>
          <w:rFonts w:hint="eastAsia"/>
        </w:rPr>
        <w:fldChar w:fldCharType="begin"/>
      </w:r>
      <w:r>
        <w:rPr>
          <w:rFonts w:hint="eastAsia"/>
        </w:rPr>
        <w:instrText xml:space="preserve"> HYPERLINK "https://mp.weixin.qq.com/s/5UFkX4CDRWZ8masNhgkS2A" </w:instrText>
      </w:r>
      <w:r>
        <w:rPr>
          <w:rFonts w:hint="eastAsia"/>
        </w:rPr>
        <w:fldChar w:fldCharType="separate"/>
      </w:r>
      <w:r>
        <w:rPr>
          <w:rStyle w:val="28"/>
          <w:rFonts w:hint="eastAsia"/>
        </w:rPr>
        <w:t>https://mp.weixin.qq.com/s/5UFkX4CDRWZ8masNhgkS2A</w:t>
      </w:r>
      <w:r>
        <w:rPr>
          <w:rFonts w:hint="eastAsia"/>
        </w:rPr>
        <w:fldChar w:fldCharType="end"/>
      </w:r>
    </w:p>
    <w:p>
      <w:pPr>
        <w:rPr>
          <w:rFonts w:hint="eastAsia"/>
        </w:rPr>
      </w:pPr>
    </w:p>
    <w:p>
      <w:pPr>
        <w:pStyle w:val="4"/>
        <w:numPr>
          <w:ilvl w:val="0"/>
          <w:numId w:val="2"/>
        </w:numPr>
        <w:bidi w:val="0"/>
        <w:rPr>
          <w:rFonts w:hint="eastAsia"/>
        </w:rPr>
      </w:pPr>
      <w:bookmarkStart w:id="9" w:name="_Toc23077"/>
      <w:r>
        <w:rPr>
          <w:rFonts w:hint="eastAsia"/>
        </w:rPr>
        <w:t>《关于开展生物制造中试能力建设平台培育工作的通知》</w:t>
      </w:r>
      <w:bookmarkEnd w:id="9"/>
    </w:p>
    <w:p>
      <w:pPr>
        <w:rPr>
          <w:rFonts w:hint="eastAsia"/>
        </w:rPr>
      </w:pPr>
    </w:p>
    <w:p>
      <w:pPr>
        <w:rPr>
          <w:rFonts w:hint="eastAsia"/>
        </w:rPr>
      </w:pPr>
      <w:r>
        <w:rPr>
          <w:rFonts w:hint="eastAsia"/>
        </w:rPr>
        <w:t>近日，工业和信息化部、国家发展改革委印发通知，部署开展生物制造中试能力建设平台培育工作。通知提出，到2027年，力争培育中试能力建设平台20个以上，服务企业超200家，孵化产品400个以上，支撑创新成果产业化应用。此次培育聚焦生物制造各领域，涵盖食品及添加剂、生物制药等重点产品领域，还有新原料开发利用、植物底盘细胞等新兴领域。通知强调坚持逐步培育、分类打造，鼓励国家级平台参与；坚持市场主导、需求引导，推动中试平台市场化运营；坚持规范引领、安全可靠，保障平台数据与生物安全。符合要求的已运营中试平台可申请列入名单，经省级部门推荐、专家评价等程序确定名单，并进行动态管理。此外，通知还从组织协调、资源保障、发展生态等方面提出其他要求。</w:t>
      </w:r>
    </w:p>
    <w:p>
      <w:pPr>
        <w:rPr>
          <w:rFonts w:hint="eastAsia"/>
        </w:rPr>
      </w:pPr>
    </w:p>
    <w:p>
      <w:pPr>
        <w:rPr>
          <w:rFonts w:hint="eastAsia"/>
        </w:rPr>
      </w:pPr>
      <w:r>
        <w:rPr>
          <w:rFonts w:hint="eastAsia"/>
        </w:rPr>
        <w:t>发文日期：2025年6月10日</w:t>
      </w:r>
    </w:p>
    <w:p>
      <w:pPr>
        <w:rPr>
          <w:rFonts w:hint="eastAsia"/>
        </w:rPr>
      </w:pPr>
      <w:r>
        <w:rPr>
          <w:rFonts w:hint="eastAsia"/>
        </w:rPr>
        <w:t>发文单位：工业和信息化部办公厅、国家发展改革委办公厅</w:t>
      </w:r>
    </w:p>
    <w:p>
      <w:pPr>
        <w:rPr>
          <w:rFonts w:hint="eastAsia"/>
        </w:rPr>
      </w:pPr>
      <w:r>
        <w:rPr>
          <w:rFonts w:hint="eastAsia"/>
        </w:rPr>
        <w:t>原文链接：https://mp.weixin.qq.com/s/XbSnkjjnIruwGDMO39JV6w</w:t>
      </w:r>
    </w:p>
    <w:p>
      <w:pPr>
        <w:rPr>
          <w:rFonts w:hint="eastAsia"/>
        </w:rPr>
      </w:pPr>
    </w:p>
    <w:p>
      <w:pPr>
        <w:rPr>
          <w:rFonts w:hint="eastAsia"/>
        </w:rPr>
      </w:pPr>
    </w:p>
    <w:p>
      <w:pPr>
        <w:pStyle w:val="4"/>
        <w:numPr>
          <w:ilvl w:val="0"/>
          <w:numId w:val="2"/>
        </w:numPr>
        <w:bidi w:val="0"/>
        <w:rPr>
          <w:rFonts w:hint="eastAsia"/>
        </w:rPr>
      </w:pPr>
      <w:bookmarkStart w:id="10" w:name="_Toc29558"/>
      <w:r>
        <w:rPr>
          <w:rFonts w:hint="eastAsia"/>
        </w:rPr>
        <w:t>《关于开展国家重点研发计划高新技术成果产业化试点工作的通知》</w:t>
      </w:r>
      <w:bookmarkEnd w:id="10"/>
    </w:p>
    <w:p>
      <w:pPr>
        <w:rPr>
          <w:rFonts w:hint="eastAsia"/>
        </w:rPr>
      </w:pPr>
    </w:p>
    <w:p>
      <w:pPr>
        <w:rPr>
          <w:rFonts w:hint="eastAsia"/>
        </w:rPr>
      </w:pPr>
      <w:r>
        <w:rPr>
          <w:rFonts w:hint="eastAsia"/>
        </w:rPr>
        <w:t>工业和信息化部近日印发通知，开展国家重点研发计划高新技术成果产业化试点工作。聚焦先进制造、新材料领域成果，以试点强化产业供需对接等，推动科研成果向规模化、市场化转化，引领新质生产力发展，支撑现代化产业体系建设。按照自主申报等原则，分试点区域和试点单位申报，试点单位分产业化实施类、第三方服务类、金融服务类。明确试点工作要求，包括工作重点、政策保障、提升产业化能力等。申报单位线上申报，省级部门审核推荐，经综合评审形成试点名单。工信部将加强政策指导和服务，评估成效并推广经验。</w:t>
      </w:r>
    </w:p>
    <w:p>
      <w:pPr>
        <w:rPr>
          <w:rFonts w:hint="eastAsia"/>
        </w:rPr>
      </w:pPr>
    </w:p>
    <w:p>
      <w:pPr>
        <w:rPr>
          <w:rFonts w:hint="eastAsia"/>
        </w:rPr>
      </w:pPr>
      <w:r>
        <w:rPr>
          <w:rFonts w:hint="eastAsia"/>
        </w:rPr>
        <w:t>发文日期：2025年6月6日</w:t>
      </w:r>
    </w:p>
    <w:p>
      <w:pPr>
        <w:rPr>
          <w:rFonts w:hint="eastAsia"/>
        </w:rPr>
      </w:pPr>
      <w:r>
        <w:rPr>
          <w:rFonts w:hint="eastAsia"/>
        </w:rPr>
        <w:t>发文单位：工业和信息化部办公厅</w:t>
      </w:r>
    </w:p>
    <w:p>
      <w:pPr>
        <w:rPr>
          <w:rFonts w:hint="eastAsia"/>
        </w:rPr>
      </w:pPr>
      <w:r>
        <w:rPr>
          <w:rFonts w:hint="eastAsia"/>
        </w:rPr>
        <w:t>原文链接：https://mp.weixin.qq.com/s/IHHu_h0kBILNrKAKfijXDg</w:t>
      </w:r>
    </w:p>
    <w:p>
      <w:pPr>
        <w:rPr>
          <w:rFonts w:hint="eastAsia"/>
        </w:rPr>
      </w:pPr>
    </w:p>
    <w:p>
      <w:pPr>
        <w:pStyle w:val="4"/>
        <w:numPr>
          <w:ilvl w:val="0"/>
          <w:numId w:val="2"/>
        </w:numPr>
        <w:bidi w:val="0"/>
        <w:rPr>
          <w:rFonts w:hint="eastAsia"/>
        </w:rPr>
      </w:pPr>
      <w:bookmarkStart w:id="11" w:name="_Toc27493"/>
      <w:r>
        <w:rPr>
          <w:rFonts w:hint="eastAsia"/>
        </w:rPr>
        <w:t>《食品工业数字化转型实施方案》</w:t>
      </w:r>
      <w:bookmarkEnd w:id="11"/>
    </w:p>
    <w:p>
      <w:pPr>
        <w:rPr>
          <w:rFonts w:hint="eastAsia"/>
        </w:rPr>
      </w:pPr>
    </w:p>
    <w:p>
      <w:pPr>
        <w:rPr>
          <w:rFonts w:hint="eastAsia"/>
        </w:rPr>
      </w:pPr>
      <w:r>
        <w:rPr>
          <w:rFonts w:hint="eastAsia"/>
        </w:rPr>
        <w:t>近日，工业和信息化部会同六部门联合印发该方案，旨在加快推动食品工业数字化转型升级。方案设定了清晰目标，到2027年，重点与规模以上食品企业多项数字化指标达一定比例，培育智能工厂、建设数字化园区等；到2030年，新一代信息技术在规模以上企业全方位普及，培育国际竞争力产业集群。围绕目标部署4大行动、18项具体措施，包括信息技术创新应用、新模式新业态培育、产业提质升级、筑基聚力赋能，还对细分领域加强分类指导。同时，方案从完善机制、优化政策、加大金融支持等多方面保障实施，并强化监测评价。</w:t>
      </w:r>
    </w:p>
    <w:p>
      <w:pPr>
        <w:rPr>
          <w:rFonts w:hint="eastAsia"/>
        </w:rPr>
      </w:pPr>
    </w:p>
    <w:p>
      <w:pPr>
        <w:rPr>
          <w:rFonts w:hint="eastAsia"/>
        </w:rPr>
      </w:pPr>
      <w:r>
        <w:rPr>
          <w:rFonts w:hint="eastAsia"/>
        </w:rPr>
        <w:t>发文日期：2025年6月</w:t>
      </w:r>
      <w:r>
        <w:rPr>
          <w:rFonts w:hint="eastAsia"/>
          <w:lang w:val="en-US" w:eastAsia="zh-CN"/>
        </w:rPr>
        <w:t>10</w:t>
      </w:r>
      <w:r>
        <w:rPr>
          <w:rFonts w:hint="eastAsia"/>
        </w:rPr>
        <w:t>日</w:t>
      </w:r>
    </w:p>
    <w:p>
      <w:pPr>
        <w:rPr>
          <w:rFonts w:hint="eastAsia"/>
        </w:rPr>
      </w:pPr>
      <w:r>
        <w:rPr>
          <w:rFonts w:hint="eastAsia"/>
        </w:rPr>
        <w:t>发文单位：工业和信息化部、教育部、人力资源社会保障部、中国人民银行、市场监管总局、国家粮食和储备局、国家数据局</w:t>
      </w:r>
    </w:p>
    <w:p>
      <w:pPr>
        <w:rPr>
          <w:rFonts w:hint="eastAsia"/>
        </w:rPr>
      </w:pPr>
      <w:r>
        <w:rPr>
          <w:rFonts w:hint="eastAsia"/>
        </w:rPr>
        <w:t>原文链接：</w:t>
      </w:r>
      <w:r>
        <w:rPr>
          <w:rFonts w:hint="eastAsia"/>
        </w:rPr>
        <w:fldChar w:fldCharType="begin"/>
      </w:r>
      <w:r>
        <w:rPr>
          <w:rFonts w:hint="eastAsia"/>
        </w:rPr>
        <w:instrText xml:space="preserve"> HYPERLINK "https://mp.weixin.qq.com/s/lvrAGzjqbLGeIr7j4T2OVg" </w:instrText>
      </w:r>
      <w:r>
        <w:rPr>
          <w:rFonts w:hint="eastAsia"/>
        </w:rPr>
        <w:fldChar w:fldCharType="separate"/>
      </w:r>
      <w:r>
        <w:rPr>
          <w:rStyle w:val="28"/>
          <w:rFonts w:hint="eastAsia"/>
        </w:rPr>
        <w:t>https://mp.weixin.qq.com/s/lvrAGzjqbLGeIr7j4T2OVg</w:t>
      </w:r>
      <w:r>
        <w:rPr>
          <w:rFonts w:hint="eastAsia"/>
        </w:rPr>
        <w:fldChar w:fldCharType="end"/>
      </w:r>
    </w:p>
    <w:p>
      <w:pPr>
        <w:rPr>
          <w:rFonts w:hint="eastAsia"/>
        </w:rPr>
      </w:pPr>
    </w:p>
    <w:p>
      <w:pPr>
        <w:pStyle w:val="4"/>
        <w:bidi w:val="0"/>
        <w:rPr>
          <w:rFonts w:hint="eastAsia"/>
        </w:rPr>
      </w:pPr>
      <w:bookmarkStart w:id="12" w:name="_Toc12383"/>
      <w:r>
        <w:rPr>
          <w:rFonts w:hint="eastAsia"/>
        </w:rPr>
        <w:t>《智能社会发展与治理标准化指引（2025版）》</w:t>
      </w:r>
      <w:bookmarkEnd w:id="12"/>
    </w:p>
    <w:p>
      <w:pPr>
        <w:rPr>
          <w:rFonts w:hint="eastAsia"/>
        </w:rPr>
      </w:pPr>
    </w:p>
    <w:p>
      <w:pPr>
        <w:rPr>
          <w:rFonts w:hint="eastAsia"/>
        </w:rPr>
      </w:pPr>
      <w:r>
        <w:rPr>
          <w:rFonts w:hint="eastAsia"/>
        </w:rPr>
        <w:t>为贯彻落实相关意见和纲要，把握社会智能化转型趋势，发挥标准化作用，深化智能社会发展与治理，中央网信办秘书局、市场监管总局办公厅近期联合印发《智能社会发展与治理标准化指引（2025版）》。《指引》旨在建立健全工作机制，建成覆盖智能技术主要社会应用场景的标准体系，以适应技术创新、满足产业需求、支撑智能社会建设，助力国家治理体系和治理能力现代化。《指引》提出了基本原则和要求，明确常见智能技术应用场景、社会影响及观测评估指标，规定人工智能社会实验程序和要求，构建了标准体系，为各方开展智能社会发展与治理理论研究和实践活动提供技术支撑和规范指引。</w:t>
      </w:r>
    </w:p>
    <w:p>
      <w:pPr>
        <w:rPr>
          <w:rFonts w:hint="eastAsia"/>
        </w:rPr>
      </w:pPr>
    </w:p>
    <w:p>
      <w:pPr>
        <w:rPr>
          <w:rFonts w:hint="eastAsia"/>
        </w:rPr>
      </w:pPr>
      <w:r>
        <w:rPr>
          <w:rFonts w:hint="eastAsia"/>
        </w:rPr>
        <w:t>发文日期：2025年6月10日</w:t>
      </w:r>
    </w:p>
    <w:p>
      <w:pPr>
        <w:rPr>
          <w:rFonts w:hint="eastAsia"/>
        </w:rPr>
      </w:pPr>
      <w:r>
        <w:rPr>
          <w:rFonts w:hint="eastAsia"/>
        </w:rPr>
        <w:t>发文单位：中央网信办秘书局、市场监管总局办公厅</w:t>
      </w:r>
    </w:p>
    <w:p>
      <w:pPr>
        <w:rPr>
          <w:rFonts w:hint="eastAsia"/>
        </w:rPr>
      </w:pPr>
      <w:r>
        <w:rPr>
          <w:rFonts w:hint="eastAsia"/>
        </w:rPr>
        <w:t>原文链接：</w:t>
      </w:r>
      <w:r>
        <w:rPr>
          <w:rFonts w:hint="eastAsia"/>
        </w:rPr>
        <w:fldChar w:fldCharType="begin"/>
      </w:r>
      <w:r>
        <w:rPr>
          <w:rFonts w:hint="eastAsia"/>
        </w:rPr>
        <w:instrText xml:space="preserve"> HYPERLINK "https://mp.weixin.qq.com/s/l9VM3auNGrfR0hwKG1gtEQ" </w:instrText>
      </w:r>
      <w:r>
        <w:rPr>
          <w:rFonts w:hint="eastAsia"/>
        </w:rPr>
        <w:fldChar w:fldCharType="separate"/>
      </w:r>
      <w:r>
        <w:rPr>
          <w:rStyle w:val="28"/>
          <w:rFonts w:hint="eastAsia"/>
        </w:rPr>
        <w:t>https://mp.weixin.qq.com/s/l9VM3auNGrfR0hwKG1gtEQ</w:t>
      </w:r>
      <w:r>
        <w:rPr>
          <w:rFonts w:hint="eastAsia"/>
        </w:rPr>
        <w:fldChar w:fldCharType="end"/>
      </w:r>
    </w:p>
    <w:p>
      <w:pPr>
        <w:rPr>
          <w:rFonts w:hint="eastAsia"/>
        </w:rPr>
      </w:pPr>
    </w:p>
    <w:p>
      <w:pPr>
        <w:pStyle w:val="4"/>
        <w:numPr>
          <w:ilvl w:val="0"/>
          <w:numId w:val="2"/>
        </w:numPr>
        <w:bidi w:val="0"/>
        <w:rPr>
          <w:rFonts w:hint="eastAsia"/>
        </w:rPr>
      </w:pPr>
      <w:bookmarkStart w:id="13" w:name="_Toc12752"/>
      <w:r>
        <w:rPr>
          <w:rFonts w:hint="eastAsia"/>
        </w:rPr>
        <w:t>《智慧健康养老产品及服务推广目录（2024年版）》</w:t>
      </w:r>
      <w:bookmarkEnd w:id="13"/>
    </w:p>
    <w:p>
      <w:pPr>
        <w:rPr>
          <w:rFonts w:hint="eastAsia"/>
        </w:rPr>
      </w:pPr>
    </w:p>
    <w:p>
      <w:pPr>
        <w:rPr>
          <w:rFonts w:hint="eastAsia"/>
        </w:rPr>
      </w:pPr>
      <w:r>
        <w:rPr>
          <w:rFonts w:hint="eastAsia"/>
        </w:rPr>
        <w:t>工业和信息化部、民政部、国家卫生健康委员会发布通告，根据《工业和信息化部办公厅 民政部办公厅 国家卫生健康委办公厅关于组织开展2024年智慧健康养老产品及服务推广目录申报工作的通知》，经企业自愿申报、地方推荐、专家评审、面向社会公示等程序，确定了《智慧健康养老产品及服务推广目录（2024年版）》，现予以公布。通告还附带了《智慧健康养老产品及服务推广目录（2024年版）》作为附件。</w:t>
      </w:r>
    </w:p>
    <w:p>
      <w:pPr>
        <w:rPr>
          <w:rFonts w:hint="eastAsia"/>
        </w:rPr>
      </w:pPr>
    </w:p>
    <w:p>
      <w:pPr>
        <w:rPr>
          <w:rFonts w:hint="eastAsia"/>
        </w:rPr>
      </w:pPr>
      <w:r>
        <w:rPr>
          <w:rFonts w:hint="eastAsia"/>
        </w:rPr>
        <w:t>发文日期：2025年6月5日</w:t>
      </w:r>
    </w:p>
    <w:p>
      <w:pPr>
        <w:rPr>
          <w:rFonts w:hint="eastAsia"/>
        </w:rPr>
      </w:pPr>
      <w:r>
        <w:rPr>
          <w:rFonts w:hint="eastAsia"/>
        </w:rPr>
        <w:t>发文单位：工业和信息化部、民政部、国家卫生健康委员会</w:t>
      </w:r>
    </w:p>
    <w:p>
      <w:pPr>
        <w:rPr>
          <w:rFonts w:hint="eastAsia"/>
        </w:rPr>
      </w:pPr>
      <w:r>
        <w:rPr>
          <w:rFonts w:hint="eastAsia"/>
        </w:rPr>
        <w:t>原文链接：</w:t>
      </w:r>
      <w:r>
        <w:rPr>
          <w:rFonts w:hint="eastAsia"/>
        </w:rPr>
        <w:fldChar w:fldCharType="begin"/>
      </w:r>
      <w:r>
        <w:rPr>
          <w:rFonts w:hint="eastAsia"/>
        </w:rPr>
        <w:instrText xml:space="preserve"> HYPERLINK "https://mp.weixin.qq.com/s/Kqlbtvz0URPBZ4umzrpsnA" </w:instrText>
      </w:r>
      <w:r>
        <w:rPr>
          <w:rFonts w:hint="eastAsia"/>
        </w:rPr>
        <w:fldChar w:fldCharType="separate"/>
      </w:r>
      <w:r>
        <w:rPr>
          <w:rStyle w:val="28"/>
          <w:rFonts w:hint="eastAsia"/>
        </w:rPr>
        <w:t>https://mp.weixin.qq.com/s/Kqlbtvz0URPBZ4umzrpsnA</w:t>
      </w:r>
      <w:r>
        <w:rPr>
          <w:rFonts w:hint="eastAsia"/>
        </w:rPr>
        <w:fldChar w:fldCharType="end"/>
      </w:r>
    </w:p>
    <w:p>
      <w:pPr>
        <w:rPr>
          <w:rFonts w:hint="eastAsia"/>
        </w:rPr>
      </w:pPr>
    </w:p>
    <w:p>
      <w:pPr>
        <w:pStyle w:val="4"/>
        <w:numPr>
          <w:ilvl w:val="0"/>
          <w:numId w:val="2"/>
        </w:numPr>
        <w:bidi w:val="0"/>
        <w:rPr>
          <w:rFonts w:hint="eastAsia"/>
        </w:rPr>
      </w:pPr>
      <w:bookmarkStart w:id="14" w:name="_Toc30802"/>
      <w:r>
        <w:rPr>
          <w:rFonts w:hint="eastAsia"/>
        </w:rPr>
        <w:t>《关于推荐2025年数字适老助残产品和服务典型案例的通知》</w:t>
      </w:r>
      <w:bookmarkEnd w:id="14"/>
    </w:p>
    <w:p>
      <w:pPr>
        <w:rPr>
          <w:rFonts w:hint="eastAsia"/>
        </w:rPr>
      </w:pPr>
    </w:p>
    <w:p>
      <w:pPr>
        <w:rPr>
          <w:rFonts w:hint="eastAsia"/>
        </w:rPr>
      </w:pPr>
      <w:r>
        <w:rPr>
          <w:rFonts w:hint="eastAsia"/>
        </w:rPr>
        <w:t>近日，工业和信息化部、民政部等六部门联合印发通知，部署开展2025年数字适老助残产品和服务典型案例推荐工作。本次推荐围绕创新技术、互联网应用、硬件产品、智能服务四类，遴选技术水平高、创新能力强、质量优、成效好的产品和服务，激发企业内生动力，赋能银发经济。申报主体应在境内注册，有独立法人资格等。申报项目须落地实施，有创新性和可推广性。</w:t>
      </w:r>
    </w:p>
    <w:p>
      <w:pPr>
        <w:rPr>
          <w:rFonts w:hint="eastAsia"/>
        </w:rPr>
      </w:pPr>
    </w:p>
    <w:p>
      <w:pPr>
        <w:rPr>
          <w:rFonts w:hint="eastAsia"/>
        </w:rPr>
      </w:pPr>
      <w:r>
        <w:rPr>
          <w:rFonts w:hint="eastAsia"/>
        </w:rPr>
        <w:t>发文日期：2025年</w:t>
      </w:r>
      <w:r>
        <w:rPr>
          <w:rFonts w:hint="eastAsia"/>
          <w:lang w:val="en-US" w:eastAsia="zh-CN"/>
        </w:rPr>
        <w:t>6</w:t>
      </w:r>
      <w:r>
        <w:rPr>
          <w:rFonts w:hint="eastAsia"/>
        </w:rPr>
        <w:t>月</w:t>
      </w:r>
      <w:r>
        <w:rPr>
          <w:rFonts w:hint="eastAsia"/>
          <w:lang w:val="en-US" w:eastAsia="zh-CN"/>
        </w:rPr>
        <w:t>11</w:t>
      </w:r>
      <w:r>
        <w:rPr>
          <w:rFonts w:hint="eastAsia"/>
        </w:rPr>
        <w:t>日</w:t>
      </w:r>
    </w:p>
    <w:p>
      <w:pPr>
        <w:rPr>
          <w:rFonts w:hint="eastAsia"/>
        </w:rPr>
      </w:pPr>
      <w:r>
        <w:rPr>
          <w:rFonts w:hint="eastAsia"/>
        </w:rPr>
        <w:t>发文单位：工业和信息化部办公厅、民政部办公厅、交通运输部办公厅、文化和旅游部办公厅、金融监管总局办公厅、中国残联办公厅</w:t>
      </w:r>
    </w:p>
    <w:p>
      <w:pPr>
        <w:rPr>
          <w:rFonts w:hint="eastAsia"/>
        </w:rPr>
      </w:pPr>
      <w:r>
        <w:rPr>
          <w:rFonts w:hint="eastAsia"/>
        </w:rPr>
        <w:t>原文链接：https://mp.weixin.qq.com/s/SVGjZaI9lSK7fIlKQPpcfg</w:t>
      </w:r>
    </w:p>
    <w:p>
      <w:pPr>
        <w:rPr>
          <w:rFonts w:hint="eastAsia"/>
        </w:rPr>
      </w:pPr>
    </w:p>
    <w:p>
      <w:pPr>
        <w:rPr>
          <w:rFonts w:hint="eastAsia"/>
        </w:rPr>
      </w:pPr>
    </w:p>
    <w:p>
      <w:pPr>
        <w:pStyle w:val="4"/>
        <w:numPr>
          <w:ilvl w:val="0"/>
          <w:numId w:val="2"/>
        </w:numPr>
        <w:bidi w:val="0"/>
        <w:rPr>
          <w:rFonts w:hint="eastAsia"/>
        </w:rPr>
      </w:pPr>
      <w:bookmarkStart w:id="15" w:name="_Toc20605"/>
      <w:r>
        <w:rPr>
          <w:rFonts w:hint="eastAsia"/>
        </w:rPr>
        <w:t>《关于开展智能养老服务机器人结对攻关与场景应用试点工作的通知》</w:t>
      </w:r>
      <w:bookmarkEnd w:id="15"/>
    </w:p>
    <w:p>
      <w:pPr>
        <w:rPr>
          <w:rFonts w:hint="eastAsia"/>
        </w:rPr>
      </w:pPr>
    </w:p>
    <w:p>
      <w:pPr>
        <w:rPr>
          <w:rFonts w:hint="eastAsia"/>
        </w:rPr>
      </w:pPr>
      <w:r>
        <w:rPr>
          <w:rFonts w:hint="eastAsia"/>
        </w:rPr>
        <w:t>工业和信息化部、民政部联合印发通知，部署2025 - 2027年开展智能养老服务机器人结对攻关与场景应用试点工作。试点坚持“政府引导、需求牵引、分步实施、持续迭代”原则，聚焦提升老年人生活质量等，分阶段实施攻关和应用试点项目。试点内容包括：开展结对攻关，针对现有产品短板，围绕养老服务场景开展研用结对；开展场景应用验证，在家庭、社区和养老机构试点应用并完成产品迭代；完善标准及评价体系，研制产品和服务标准规范及评价标准。申报以联合体形式自愿申报，需符合相关条件。组织实施涵盖项目申报、组织推荐、项目遴选、开展试点、成果推广与政策支持等环节，对典型试点项目给予支持。</w:t>
      </w:r>
    </w:p>
    <w:p>
      <w:pPr>
        <w:rPr>
          <w:rFonts w:hint="eastAsia"/>
        </w:rPr>
      </w:pPr>
    </w:p>
    <w:p>
      <w:pPr>
        <w:rPr>
          <w:rFonts w:hint="eastAsia"/>
        </w:rPr>
      </w:pPr>
      <w:r>
        <w:rPr>
          <w:rFonts w:hint="eastAsia"/>
        </w:rPr>
        <w:t>发文日期：2025年</w:t>
      </w:r>
      <w:r>
        <w:rPr>
          <w:rFonts w:hint="eastAsia"/>
          <w:lang w:val="en-US" w:eastAsia="zh-CN"/>
        </w:rPr>
        <w:t>6</w:t>
      </w:r>
      <w:r>
        <w:rPr>
          <w:rFonts w:hint="eastAsia"/>
        </w:rPr>
        <w:t>月</w:t>
      </w:r>
      <w:r>
        <w:rPr>
          <w:rFonts w:hint="eastAsia"/>
          <w:lang w:val="en-US" w:eastAsia="zh-CN"/>
        </w:rPr>
        <w:t>9</w:t>
      </w:r>
      <w:r>
        <w:rPr>
          <w:rFonts w:hint="eastAsia"/>
        </w:rPr>
        <w:t>日</w:t>
      </w:r>
    </w:p>
    <w:p>
      <w:pPr>
        <w:rPr>
          <w:rFonts w:hint="eastAsia"/>
        </w:rPr>
      </w:pPr>
      <w:r>
        <w:rPr>
          <w:rFonts w:hint="eastAsia"/>
        </w:rPr>
        <w:t>发文单位：工业和信息化部办公厅、民政部办公厅</w:t>
      </w:r>
    </w:p>
    <w:p>
      <w:pPr>
        <w:rPr>
          <w:rFonts w:hint="eastAsia"/>
        </w:rPr>
      </w:pPr>
      <w:r>
        <w:rPr>
          <w:rFonts w:hint="eastAsia"/>
        </w:rPr>
        <w:t>原文链接：</w:t>
      </w:r>
      <w:r>
        <w:rPr>
          <w:rFonts w:hint="eastAsia"/>
        </w:rPr>
        <w:fldChar w:fldCharType="begin"/>
      </w:r>
      <w:r>
        <w:rPr>
          <w:rFonts w:hint="eastAsia"/>
        </w:rPr>
        <w:instrText xml:space="preserve"> HYPERLINK "https://mp.weixin.qq.com/s/j2I3wdNT9wkNn9A8i_iBZA" </w:instrText>
      </w:r>
      <w:r>
        <w:rPr>
          <w:rFonts w:hint="eastAsia"/>
        </w:rPr>
        <w:fldChar w:fldCharType="separate"/>
      </w:r>
      <w:r>
        <w:rPr>
          <w:rStyle w:val="28"/>
          <w:rFonts w:hint="eastAsia"/>
        </w:rPr>
        <w:t>https://mp.weixin.qq.com/s/j2I3wdNT9wkNn9A8i_iBZA</w:t>
      </w:r>
      <w:r>
        <w:rPr>
          <w:rFonts w:hint="eastAsia"/>
        </w:rPr>
        <w:fldChar w:fldCharType="end"/>
      </w:r>
    </w:p>
    <w:p>
      <w:pPr>
        <w:rPr>
          <w:rFonts w:hint="eastAsia"/>
        </w:rPr>
      </w:pPr>
    </w:p>
    <w:p>
      <w:pPr>
        <w:rPr>
          <w:rFonts w:hint="eastAsia"/>
        </w:rPr>
      </w:pPr>
    </w:p>
    <w:p>
      <w:pPr>
        <w:pStyle w:val="3"/>
        <w:rPr>
          <w:rFonts w:hint="eastAsia"/>
        </w:rPr>
      </w:pPr>
      <w:bookmarkStart w:id="16" w:name="_Toc24667"/>
      <w:r>
        <w:rPr>
          <w:rFonts w:hint="eastAsia"/>
        </w:rPr>
        <w:t>湖北省</w:t>
      </w:r>
      <w:bookmarkEnd w:id="16"/>
    </w:p>
    <w:p>
      <w:pPr>
        <w:rPr>
          <w:rFonts w:hint="eastAsia"/>
        </w:rPr>
      </w:pPr>
    </w:p>
    <w:p>
      <w:pPr>
        <w:rPr>
          <w:rFonts w:hint="eastAsia"/>
        </w:rPr>
      </w:pPr>
    </w:p>
    <w:p>
      <w:pPr>
        <w:pStyle w:val="4"/>
        <w:numPr>
          <w:ilvl w:val="0"/>
          <w:numId w:val="3"/>
        </w:numPr>
        <w:bidi w:val="0"/>
        <w:rPr>
          <w:rFonts w:hint="eastAsia"/>
        </w:rPr>
      </w:pPr>
      <w:bookmarkStart w:id="17" w:name="_Toc21843"/>
      <w:r>
        <w:rPr>
          <w:rFonts w:hint="eastAsia"/>
        </w:rPr>
        <w:t>《关于2025年湖北省工业互联网平台拟认定名单的公示》</w:t>
      </w:r>
      <w:bookmarkEnd w:id="17"/>
    </w:p>
    <w:p>
      <w:pPr>
        <w:rPr>
          <w:rFonts w:hint="eastAsia"/>
        </w:rPr>
      </w:pPr>
    </w:p>
    <w:p>
      <w:pPr>
        <w:rPr>
          <w:rFonts w:hint="eastAsia"/>
          <w:lang w:val="en-US" w:eastAsia="zh-CN"/>
        </w:rPr>
      </w:pPr>
      <w:r>
        <w:rPr>
          <w:rFonts w:hint="eastAsia"/>
        </w:rPr>
        <w:t>按照《省经信厅办公室关于组织2025年湖北省工业互联网平台申报工作的通知》要求，经企业申报、市州推荐、专家评审和会议研究，省经信厅拟认定烽火通信科技股份有限公司“烽火FitIN工业互联网平台”等44个平台为2025年湖北省工业互联网平台。</w:t>
      </w:r>
      <w:r>
        <w:rPr>
          <w:rFonts w:hint="eastAsia"/>
          <w:lang w:val="en-US" w:eastAsia="zh-CN"/>
        </w:rPr>
        <w:t xml:space="preserve"> </w:t>
      </w:r>
    </w:p>
    <w:p>
      <w:pPr>
        <w:rPr>
          <w:rFonts w:hint="eastAsia"/>
          <w:lang w:val="en-US" w:eastAsia="zh-CN"/>
        </w:rPr>
      </w:pPr>
    </w:p>
    <w:p>
      <w:pPr>
        <w:rPr>
          <w:rFonts w:hint="eastAsia"/>
        </w:rPr>
      </w:pPr>
      <w:r>
        <w:rPr>
          <w:rFonts w:hint="eastAsia"/>
        </w:rPr>
        <w:t>发文日期：2025年6月10日</w:t>
      </w:r>
    </w:p>
    <w:p>
      <w:pPr>
        <w:rPr>
          <w:rFonts w:hint="eastAsia"/>
        </w:rPr>
      </w:pPr>
      <w:r>
        <w:rPr>
          <w:rFonts w:hint="eastAsia"/>
        </w:rPr>
        <w:t>发文单位：湖北省经济和信息化厅</w:t>
      </w:r>
    </w:p>
    <w:p>
      <w:pPr>
        <w:rPr>
          <w:rFonts w:hint="eastAsia"/>
        </w:rPr>
      </w:pPr>
      <w:r>
        <w:rPr>
          <w:rFonts w:hint="eastAsia"/>
        </w:rPr>
        <w:t>原文链接：https://mp.weixin.qq.com/s/v1OyeZYwCueSSDfrteZ8Xw</w:t>
      </w:r>
    </w:p>
    <w:p>
      <w:pPr>
        <w:rPr>
          <w:rFonts w:hint="eastAsia"/>
        </w:rPr>
      </w:pPr>
    </w:p>
    <w:p/>
    <w:p>
      <w:pPr>
        <w:pStyle w:val="4"/>
        <w:numPr>
          <w:ilvl w:val="0"/>
          <w:numId w:val="3"/>
        </w:numPr>
        <w:bidi w:val="0"/>
        <w:rPr>
          <w:rFonts w:hint="eastAsia"/>
        </w:rPr>
      </w:pPr>
      <w:bookmarkStart w:id="18" w:name="_Toc32679"/>
      <w:r>
        <w:rPr>
          <w:rFonts w:hint="eastAsia"/>
        </w:rPr>
        <w:t>《关于组织开展2025年技术先进型服务企业认定工作的通知》</w:t>
      </w:r>
      <w:bookmarkEnd w:id="18"/>
    </w:p>
    <w:p>
      <w:pPr>
        <w:rPr>
          <w:rFonts w:hint="eastAsia"/>
        </w:rPr>
      </w:pPr>
    </w:p>
    <w:p>
      <w:pPr>
        <w:rPr>
          <w:rFonts w:hint="eastAsia"/>
        </w:rPr>
      </w:pPr>
      <w:r>
        <w:rPr>
          <w:rFonts w:hint="eastAsia"/>
        </w:rPr>
        <w:t>为贯彻相关政策精神，依据有关规定，湖北省科技厅就2025年技术先进型服务企业认定工作发布通知。申报企业须为省内注册经营的法人，从事规定业务且收入占比超50%，大专以上学历员工占比超50%，离岸服务外包业务收入不低于35%。申报时间为2025年7月20日前，市（州）科技局汇总推荐截止7月30日。</w:t>
      </w:r>
    </w:p>
    <w:p>
      <w:pPr>
        <w:rPr>
          <w:rFonts w:hint="eastAsia"/>
        </w:rPr>
      </w:pPr>
    </w:p>
    <w:p>
      <w:pPr>
        <w:rPr>
          <w:rFonts w:hint="eastAsia"/>
        </w:rPr>
      </w:pPr>
      <w:r>
        <w:rPr>
          <w:rFonts w:hint="eastAsia"/>
        </w:rPr>
        <w:t>发文日期:2025年6月</w:t>
      </w:r>
      <w:r>
        <w:rPr>
          <w:rFonts w:hint="eastAsia"/>
          <w:lang w:val="en-US" w:eastAsia="zh-CN"/>
        </w:rPr>
        <w:t>5</w:t>
      </w:r>
      <w:r>
        <w:rPr>
          <w:rFonts w:hint="eastAsia"/>
        </w:rPr>
        <w:t>日</w:t>
      </w:r>
    </w:p>
    <w:p>
      <w:pPr>
        <w:rPr>
          <w:rFonts w:hint="eastAsia"/>
        </w:rPr>
      </w:pPr>
      <w:r>
        <w:rPr>
          <w:rFonts w:hint="eastAsia"/>
        </w:rPr>
        <w:t>发文单位:湖北省科技厅</w:t>
      </w:r>
    </w:p>
    <w:p>
      <w:pPr>
        <w:rPr>
          <w:rFonts w:hint="eastAsia"/>
        </w:rPr>
      </w:pPr>
      <w:r>
        <w:rPr>
          <w:rFonts w:hint="eastAsia"/>
        </w:rPr>
        <w:t>原文链接:https://mp.weixin.qq.com/s/Qqe1XCFxGWsyA0GHLxrWnQ</w:t>
      </w:r>
    </w:p>
    <w:p>
      <w:pPr>
        <w:rPr>
          <w:rFonts w:hint="eastAsia"/>
        </w:rPr>
      </w:pPr>
    </w:p>
    <w:p>
      <w:pPr>
        <w:pStyle w:val="4"/>
        <w:numPr>
          <w:ilvl w:val="0"/>
          <w:numId w:val="3"/>
        </w:numPr>
        <w:bidi w:val="0"/>
        <w:rPr>
          <w:rFonts w:hint="eastAsia"/>
        </w:rPr>
      </w:pPr>
      <w:bookmarkStart w:id="19" w:name="_Toc16419"/>
      <w:r>
        <w:rPr>
          <w:rFonts w:hint="eastAsia"/>
        </w:rPr>
        <w:t>《2025年湖北省支持高新技术企业发展专项资金申报启动》</w:t>
      </w:r>
      <w:bookmarkEnd w:id="19"/>
    </w:p>
    <w:p>
      <w:pPr>
        <w:rPr>
          <w:rFonts w:hint="eastAsia"/>
        </w:rPr>
      </w:pPr>
    </w:p>
    <w:p>
      <w:pPr>
        <w:rPr>
          <w:rFonts w:hint="eastAsia"/>
        </w:rPr>
      </w:pPr>
      <w:r>
        <w:rPr>
          <w:rFonts w:hint="eastAsia"/>
        </w:rPr>
        <w:t>湖北省科技厅发布通知，启动2025年支持高新技术企业发展专项资金申报工作。申报企业需为湖北省有效期内高新技术企业，具有独立法人资格，诚信科研、依法纳税，符合研发费用税前加计扣除政策等。专项资金奖励对象为企业2024年度研发经费投入增量，按研发经费投入强度设三档奖励系数，实行分段奖补，单个企业最高奖100万元。申报流程包括企业网上申报、地方审核、资金下达。企业需提供申报书、审计报告等材料，网上申报截止7月20日，市（州）审核推荐截止7月30日。</w:t>
      </w:r>
    </w:p>
    <w:p>
      <w:pPr>
        <w:rPr>
          <w:rFonts w:hint="eastAsia"/>
        </w:rPr>
      </w:pPr>
    </w:p>
    <w:p>
      <w:pPr>
        <w:rPr>
          <w:rFonts w:hint="eastAsia"/>
        </w:rPr>
      </w:pPr>
      <w:r>
        <w:rPr>
          <w:rFonts w:hint="eastAsia"/>
        </w:rPr>
        <w:t>发文日期：2025年6月</w:t>
      </w:r>
      <w:r>
        <w:rPr>
          <w:rFonts w:hint="eastAsia"/>
          <w:lang w:val="en-US" w:eastAsia="zh-CN"/>
        </w:rPr>
        <w:t>6</w:t>
      </w:r>
      <w:r>
        <w:rPr>
          <w:rFonts w:hint="eastAsia"/>
        </w:rPr>
        <w:t>日</w:t>
      </w:r>
    </w:p>
    <w:p>
      <w:pPr>
        <w:rPr>
          <w:rFonts w:hint="eastAsia"/>
        </w:rPr>
      </w:pPr>
      <w:r>
        <w:rPr>
          <w:rFonts w:hint="eastAsia"/>
        </w:rPr>
        <w:t>发文单位：湖北省科技厅</w:t>
      </w:r>
    </w:p>
    <w:p>
      <w:pPr>
        <w:rPr>
          <w:rFonts w:hint="eastAsia"/>
        </w:rPr>
      </w:pPr>
      <w:r>
        <w:rPr>
          <w:rFonts w:hint="eastAsia"/>
        </w:rPr>
        <w:t>原文链接：</w:t>
      </w:r>
      <w:r>
        <w:rPr>
          <w:rFonts w:hint="eastAsia"/>
        </w:rPr>
        <w:fldChar w:fldCharType="begin"/>
      </w:r>
      <w:r>
        <w:rPr>
          <w:rFonts w:hint="eastAsia"/>
        </w:rPr>
        <w:instrText xml:space="preserve"> HYPERLINK "https://mp.weixin.qq.com/s/5sbAH02BcYd6Y1EJVfJ1IQ" </w:instrText>
      </w:r>
      <w:r>
        <w:rPr>
          <w:rFonts w:hint="eastAsia"/>
        </w:rPr>
        <w:fldChar w:fldCharType="separate"/>
      </w:r>
      <w:r>
        <w:rPr>
          <w:rStyle w:val="28"/>
          <w:rFonts w:hint="eastAsia"/>
        </w:rPr>
        <w:t>https://mp.weixin.qq.com/s/5sbAH02BcYd6Y1EJVfJ1IQ</w:t>
      </w:r>
      <w:r>
        <w:rPr>
          <w:rFonts w:hint="eastAsia"/>
        </w:rPr>
        <w:fldChar w:fldCharType="end"/>
      </w:r>
    </w:p>
    <w:p>
      <w:pPr>
        <w:rPr>
          <w:rFonts w:hint="eastAsia"/>
        </w:rPr>
      </w:pPr>
    </w:p>
    <w:p>
      <w:pPr>
        <w:pStyle w:val="4"/>
        <w:numPr>
          <w:ilvl w:val="0"/>
          <w:numId w:val="3"/>
        </w:numPr>
        <w:bidi w:val="0"/>
        <w:rPr>
          <w:rFonts w:hint="eastAsia"/>
        </w:rPr>
      </w:pPr>
      <w:bookmarkStart w:id="20" w:name="_Toc28342"/>
      <w:r>
        <w:rPr>
          <w:rFonts w:hint="eastAsia"/>
        </w:rPr>
        <w:t>《关于2025年度省级中小企业特色产业集群名单的公示》</w:t>
      </w:r>
      <w:bookmarkEnd w:id="20"/>
    </w:p>
    <w:p>
      <w:pPr>
        <w:rPr>
          <w:rFonts w:hint="eastAsia"/>
        </w:rPr>
      </w:pPr>
    </w:p>
    <w:p>
      <w:pPr>
        <w:rPr>
          <w:rFonts w:hint="eastAsia" w:eastAsia="宋体"/>
          <w:lang w:val="en-US" w:eastAsia="zh-CN"/>
        </w:rPr>
      </w:pPr>
      <w:r>
        <w:rPr>
          <w:rFonts w:hint="eastAsia"/>
        </w:rPr>
        <w:t>湖北省经济和信息化厅根据《省经信厅办公室关于组织推荐2025年度省级中小企业特色产业集群的通知》要求，经市州经信部门初核推荐、专家审核等流程，现对通过审核拟认定的15家省级中小企业特色产业集群名单予以公示。</w:t>
      </w:r>
      <w:r>
        <w:rPr>
          <w:rFonts w:hint="eastAsia"/>
          <w:lang w:val="en-US" w:eastAsia="zh-CN"/>
        </w:rPr>
        <w:t>其中，武汉新增2个，武汉智能检测设备产业集群、智能网联汽车软件产业集群入选。</w:t>
      </w:r>
    </w:p>
    <w:p>
      <w:pPr>
        <w:rPr>
          <w:rFonts w:hint="eastAsia"/>
        </w:rPr>
      </w:pPr>
    </w:p>
    <w:p>
      <w:pPr>
        <w:rPr>
          <w:rFonts w:hint="eastAsia"/>
        </w:rPr>
      </w:pPr>
      <w:r>
        <w:rPr>
          <w:rFonts w:hint="eastAsia"/>
        </w:rPr>
        <w:t>发文日期：2025年6月6日</w:t>
      </w:r>
    </w:p>
    <w:p>
      <w:pPr>
        <w:rPr>
          <w:rFonts w:hint="eastAsia"/>
        </w:rPr>
      </w:pPr>
      <w:r>
        <w:rPr>
          <w:rFonts w:hint="eastAsia"/>
        </w:rPr>
        <w:t>发文单位：湖北省经济和信息化厅</w:t>
      </w:r>
    </w:p>
    <w:p>
      <w:pPr>
        <w:rPr>
          <w:rFonts w:hint="eastAsia"/>
        </w:rPr>
      </w:pPr>
      <w:r>
        <w:rPr>
          <w:rFonts w:hint="eastAsia"/>
        </w:rPr>
        <w:t>原文链接：https://mp.weixin.qq.com/s/jhvxHB0LqxKctAa2jkGHGw</w:t>
      </w:r>
    </w:p>
    <w:p>
      <w:pPr>
        <w:rPr>
          <w:rFonts w:hint="eastAsia"/>
        </w:rPr>
      </w:pPr>
    </w:p>
    <w:p>
      <w:pPr>
        <w:pStyle w:val="4"/>
        <w:numPr>
          <w:ilvl w:val="0"/>
          <w:numId w:val="3"/>
        </w:numPr>
        <w:bidi w:val="0"/>
        <w:rPr>
          <w:rFonts w:hint="eastAsia"/>
        </w:rPr>
      </w:pPr>
      <w:bookmarkStart w:id="21" w:name="_Toc18333"/>
      <w:r>
        <w:rPr>
          <w:rFonts w:hint="eastAsia"/>
        </w:rPr>
        <w:t>《关于2025年度先进级智能工厂初选名单的公示》</w:t>
      </w:r>
      <w:bookmarkEnd w:id="21"/>
    </w:p>
    <w:p>
      <w:pPr>
        <w:rPr>
          <w:rFonts w:hint="eastAsia"/>
        </w:rPr>
      </w:pPr>
    </w:p>
    <w:p>
      <w:pPr>
        <w:rPr>
          <w:rFonts w:hint="eastAsia" w:eastAsia="宋体"/>
          <w:lang w:val="en-US" w:eastAsia="zh-CN"/>
        </w:rPr>
      </w:pPr>
      <w:r>
        <w:rPr>
          <w:rFonts w:hint="eastAsia"/>
        </w:rPr>
        <w:t>湖北省经济和信息化厅现将智能工厂梯度培育2025年度先进级智能工厂初选名单予以公示，公示期限为2025年6月9日至2025年6月11日。</w:t>
      </w:r>
      <w:r>
        <w:rPr>
          <w:rFonts w:hint="eastAsia"/>
          <w:lang w:val="en-US" w:eastAsia="zh-CN"/>
        </w:rPr>
        <w:t>其中，黄石市湖北大二互科技股份有限公司、湖北能联新材料有限公司等17家企业入选，新增数居全省第一。</w:t>
      </w:r>
    </w:p>
    <w:p>
      <w:pPr>
        <w:rPr>
          <w:rFonts w:hint="eastAsia"/>
        </w:rPr>
      </w:pPr>
    </w:p>
    <w:p>
      <w:pPr>
        <w:rPr>
          <w:rFonts w:hint="eastAsia"/>
        </w:rPr>
      </w:pPr>
      <w:r>
        <w:rPr>
          <w:rFonts w:hint="eastAsia"/>
        </w:rPr>
        <w:t>发文日期：2025年6月8日</w:t>
      </w:r>
    </w:p>
    <w:p>
      <w:pPr>
        <w:rPr>
          <w:rFonts w:hint="eastAsia"/>
        </w:rPr>
      </w:pPr>
      <w:r>
        <w:rPr>
          <w:rFonts w:hint="eastAsia"/>
        </w:rPr>
        <w:t>发文单位：湖北省经济和信息化厅</w:t>
      </w:r>
    </w:p>
    <w:p>
      <w:pPr>
        <w:rPr>
          <w:rFonts w:hint="eastAsia"/>
        </w:rPr>
      </w:pPr>
      <w:r>
        <w:rPr>
          <w:rFonts w:hint="eastAsia"/>
        </w:rPr>
        <w:t>原文链接：</w:t>
      </w:r>
      <w:r>
        <w:rPr>
          <w:rFonts w:hint="eastAsia"/>
        </w:rPr>
        <w:fldChar w:fldCharType="begin"/>
      </w:r>
      <w:r>
        <w:rPr>
          <w:rFonts w:hint="eastAsia"/>
        </w:rPr>
        <w:instrText xml:space="preserve"> HYPERLINK "https://mp.weixin.qq.com/s/Rw0h9W5V6rsgMMr1ccwlKg" </w:instrText>
      </w:r>
      <w:r>
        <w:rPr>
          <w:rFonts w:hint="eastAsia"/>
        </w:rPr>
        <w:fldChar w:fldCharType="separate"/>
      </w:r>
      <w:r>
        <w:rPr>
          <w:rStyle w:val="28"/>
          <w:rFonts w:hint="eastAsia"/>
        </w:rPr>
        <w:t>https://mp.weixin.qq.com/s/Rw0h9W5V6rsgMMr1ccwlKg</w:t>
      </w:r>
      <w:r>
        <w:rPr>
          <w:rFonts w:hint="eastAsia"/>
        </w:rPr>
        <w:fldChar w:fldCharType="end"/>
      </w:r>
    </w:p>
    <w:p>
      <w:pPr>
        <w:rPr>
          <w:rFonts w:hint="eastAsia"/>
        </w:rPr>
      </w:pPr>
    </w:p>
    <w:p>
      <w:pPr>
        <w:pStyle w:val="4"/>
        <w:numPr>
          <w:ilvl w:val="0"/>
          <w:numId w:val="3"/>
        </w:numPr>
        <w:bidi w:val="0"/>
        <w:rPr>
          <w:rFonts w:hint="eastAsia"/>
        </w:rPr>
      </w:pPr>
      <w:bookmarkStart w:id="22" w:name="_Toc12536"/>
      <w:r>
        <w:rPr>
          <w:rFonts w:hint="eastAsia"/>
          <w:lang w:val="en-US" w:eastAsia="zh-CN"/>
        </w:rPr>
        <w:t>黄石市</w:t>
      </w:r>
      <w:r>
        <w:rPr>
          <w:rFonts w:hint="eastAsia"/>
        </w:rPr>
        <w:t>《关于支持建设创新强市 打造全省科技创新协同示范区的若干政策》</w:t>
      </w:r>
      <w:bookmarkEnd w:id="22"/>
    </w:p>
    <w:p>
      <w:pPr>
        <w:rPr>
          <w:rFonts w:hint="eastAsia"/>
        </w:rPr>
      </w:pPr>
    </w:p>
    <w:p>
      <w:pPr>
        <w:rPr>
          <w:rFonts w:hint="eastAsia"/>
        </w:rPr>
      </w:pPr>
      <w:r>
        <w:rPr>
          <w:rFonts w:hint="eastAsia"/>
        </w:rPr>
        <w:t>为深入实施国家创新驱动发展战略和湖北省科创引领战略，黄石市科技局拟修订政策，起草了《关于支持建设创新强市 打造全省科技创新协同示范区的若干政策》（征求意见稿）并公开征求意见。政策包括多方面支持内容：支持创新主体培育，对科技型中小企业和高新技术企业给予奖励；支持创新平台建设，对国家级、省级和市级平台给予不同程度资金支持；支持技术攻关，鼓励企业开展关键核心技术攻关并对获奖单位和项目奖励；支持科技成果转化，建设技术交易市场、鼓励技术交易和与中科院合作；支持基础研究和软科学研究；支持科技人才队伍建设，培育引进团队和选派特派员；支持科技金融，对科技信贷和保险给予贴息、补偿和补贴。政策自发布日起施行，有效期三年。</w:t>
      </w:r>
    </w:p>
    <w:p>
      <w:pPr>
        <w:rPr>
          <w:rFonts w:hint="eastAsia"/>
        </w:rPr>
      </w:pPr>
    </w:p>
    <w:p>
      <w:pPr>
        <w:rPr>
          <w:rFonts w:hint="eastAsia"/>
        </w:rPr>
      </w:pPr>
      <w:r>
        <w:rPr>
          <w:rFonts w:hint="eastAsia"/>
        </w:rPr>
        <w:t>发文日期：2025年6月</w:t>
      </w:r>
      <w:r>
        <w:rPr>
          <w:rFonts w:hint="eastAsia"/>
          <w:lang w:val="en-US" w:eastAsia="zh-CN"/>
        </w:rPr>
        <w:t>5</w:t>
      </w:r>
      <w:r>
        <w:rPr>
          <w:rFonts w:hint="eastAsia"/>
        </w:rPr>
        <w:t>日</w:t>
      </w:r>
    </w:p>
    <w:p>
      <w:pPr>
        <w:rPr>
          <w:rFonts w:hint="eastAsia"/>
        </w:rPr>
      </w:pPr>
      <w:r>
        <w:rPr>
          <w:rFonts w:hint="eastAsia"/>
        </w:rPr>
        <w:t>发文单位：黄石市科学技术局</w:t>
      </w:r>
    </w:p>
    <w:p>
      <w:pPr>
        <w:rPr>
          <w:rFonts w:hint="eastAsia"/>
        </w:rPr>
      </w:pPr>
      <w:r>
        <w:rPr>
          <w:rFonts w:hint="eastAsia"/>
        </w:rPr>
        <w:t>原文链接：</w:t>
      </w:r>
      <w:r>
        <w:rPr>
          <w:rFonts w:hint="eastAsia"/>
        </w:rPr>
        <w:fldChar w:fldCharType="begin"/>
      </w:r>
      <w:r>
        <w:rPr>
          <w:rFonts w:hint="eastAsia"/>
        </w:rPr>
        <w:instrText xml:space="preserve"> HYPERLINK "https://mp.weixin.qq.com/s/1cZcdCTyOayy2TmRi7vxxg" </w:instrText>
      </w:r>
      <w:r>
        <w:rPr>
          <w:rFonts w:hint="eastAsia"/>
        </w:rPr>
        <w:fldChar w:fldCharType="separate"/>
      </w:r>
      <w:r>
        <w:rPr>
          <w:rStyle w:val="28"/>
          <w:rFonts w:hint="eastAsia"/>
        </w:rPr>
        <w:t>https://mp.weixin.qq.com/s/1cZcdCTyOayy2TmRi7vxxg</w:t>
      </w:r>
      <w:r>
        <w:rPr>
          <w:rFonts w:hint="eastAsia"/>
        </w:rPr>
        <w:fldChar w:fldCharType="end"/>
      </w:r>
    </w:p>
    <w:p>
      <w:pPr>
        <w:rPr>
          <w:rFonts w:hint="eastAsia"/>
        </w:rPr>
      </w:pPr>
    </w:p>
    <w:p>
      <w:pPr>
        <w:pStyle w:val="2"/>
      </w:pPr>
      <w:bookmarkStart w:id="23" w:name="_Toc29413"/>
      <w:r>
        <w:rPr>
          <w:rFonts w:hint="eastAsia"/>
        </w:rPr>
        <w:t>热点.资讯</w:t>
      </w:r>
      <w:bookmarkEnd w:id="23"/>
    </w:p>
    <w:p>
      <w:pPr>
        <w:pStyle w:val="4"/>
        <w:numPr>
          <w:ilvl w:val="0"/>
          <w:numId w:val="4"/>
        </w:numPr>
        <w:bidi w:val="0"/>
        <w:rPr>
          <w:rFonts w:hint="eastAsia"/>
        </w:rPr>
      </w:pPr>
      <w:bookmarkStart w:id="24" w:name="_Toc25748"/>
      <w:r>
        <w:rPr>
          <w:rFonts w:hint="eastAsia"/>
        </w:rPr>
        <w:t>中美经贸磋商机制首次会议举行</w:t>
      </w:r>
      <w:bookmarkEnd w:id="24"/>
    </w:p>
    <w:p>
      <w:pPr>
        <w:rPr>
          <w:rFonts w:hint="eastAsia"/>
        </w:rPr>
      </w:pPr>
    </w:p>
    <w:p>
      <w:pPr>
        <w:rPr>
          <w:rFonts w:hint="eastAsia"/>
        </w:rPr>
      </w:pPr>
      <w:r>
        <w:rPr>
          <w:rFonts w:hint="eastAsia"/>
        </w:rPr>
        <w:t>当地时间6月9日至10日，中美经贸中方牵头人何立峰与美方牵头人贝森特、卢特尼克、格里尔在英国伦敦举行中美经贸磋商机制首次会议。双方坦诚深入对话，就经贸议题交换意见，就落实两国元首6月5日通话共识和巩固日内瓦经贸会谈成果的措施框架达成原则一致，在解决彼此经贸关切上取得新进展。何立峰指出，会议在两国元首战略共识指引下开展，中方对经贸问题态度明确，中美经贸应互利共赢，中方愿通过平等对话解决分歧，有诚意也有原则。中方期望双方按元首要求发挥机制作用，共同维护对话成果，推动经贸关系发展。美方称会议成果积极，将与中方相向而行落实共识。</w:t>
      </w:r>
    </w:p>
    <w:p>
      <w:pPr>
        <w:rPr>
          <w:rFonts w:hint="eastAsia"/>
        </w:rPr>
      </w:pPr>
    </w:p>
    <w:p>
      <w:pPr>
        <w:rPr>
          <w:rFonts w:hint="eastAsia"/>
        </w:rPr>
      </w:pPr>
      <w:r>
        <w:rPr>
          <w:rFonts w:hint="eastAsia"/>
        </w:rPr>
        <w:t>发文日期：2025年6月11日</w:t>
      </w:r>
    </w:p>
    <w:p>
      <w:pPr>
        <w:rPr>
          <w:rFonts w:hint="eastAsia"/>
        </w:rPr>
      </w:pPr>
      <w:r>
        <w:rPr>
          <w:rFonts w:hint="eastAsia"/>
        </w:rPr>
        <w:t>发文单位：新华社</w:t>
      </w:r>
    </w:p>
    <w:p>
      <w:pPr>
        <w:rPr>
          <w:rFonts w:hint="eastAsia"/>
        </w:rPr>
      </w:pPr>
      <w:r>
        <w:rPr>
          <w:rFonts w:hint="eastAsia"/>
        </w:rPr>
        <w:t>原文链接：</w:t>
      </w:r>
      <w:r>
        <w:rPr>
          <w:rFonts w:hint="eastAsia"/>
        </w:rPr>
        <w:fldChar w:fldCharType="begin"/>
      </w:r>
      <w:r>
        <w:rPr>
          <w:rFonts w:hint="eastAsia"/>
        </w:rPr>
        <w:instrText xml:space="preserve"> HYPERLINK "https://mp.weixin.qq.com/s/QX3U1iGS1LtmSSTBj2raoQ" </w:instrText>
      </w:r>
      <w:r>
        <w:rPr>
          <w:rFonts w:hint="eastAsia"/>
        </w:rPr>
        <w:fldChar w:fldCharType="separate"/>
      </w:r>
      <w:r>
        <w:rPr>
          <w:rStyle w:val="28"/>
          <w:rFonts w:hint="eastAsia"/>
        </w:rPr>
        <w:t>https://mp.weixin.qq.com/s/QX3U1iGS1LtmSSTBj2raoQ</w:t>
      </w:r>
      <w:r>
        <w:rPr>
          <w:rFonts w:hint="eastAsia"/>
        </w:rPr>
        <w:fldChar w:fldCharType="end"/>
      </w:r>
    </w:p>
    <w:p>
      <w:pPr>
        <w:rPr>
          <w:rFonts w:hint="eastAsia"/>
        </w:rPr>
      </w:pPr>
    </w:p>
    <w:p>
      <w:pPr>
        <w:pStyle w:val="4"/>
        <w:numPr>
          <w:ilvl w:val="0"/>
          <w:numId w:val="4"/>
        </w:numPr>
        <w:bidi w:val="0"/>
        <w:rPr>
          <w:rFonts w:hint="eastAsia"/>
          <w:lang w:eastAsia="zh-CN"/>
        </w:rPr>
      </w:pPr>
      <w:bookmarkStart w:id="25" w:name="_Toc5328"/>
      <w:r>
        <w:rPr>
          <w:rFonts w:hint="eastAsia"/>
        </w:rPr>
        <w:t>第一批全国零售业创新提升试点城市公布</w:t>
      </w:r>
      <w:r>
        <w:rPr>
          <w:rFonts w:hint="eastAsia"/>
          <w:lang w:eastAsia="zh-CN"/>
        </w:rPr>
        <w:t>，</w:t>
      </w:r>
      <w:r>
        <w:rPr>
          <w:rFonts w:hint="eastAsia"/>
        </w:rPr>
        <w:t>湖北武汉、十堰入选</w:t>
      </w:r>
      <w:bookmarkEnd w:id="25"/>
    </w:p>
    <w:p>
      <w:pPr>
        <w:rPr>
          <w:rFonts w:hint="eastAsia"/>
        </w:rPr>
      </w:pPr>
    </w:p>
    <w:p>
      <w:pPr>
        <w:rPr>
          <w:rFonts w:hint="eastAsia"/>
        </w:rPr>
      </w:pPr>
      <w:r>
        <w:rPr>
          <w:rFonts w:hint="eastAsia"/>
          <w:lang w:val="en-US" w:eastAsia="zh-CN"/>
        </w:rPr>
        <w:t>近日</w:t>
      </w:r>
      <w:r>
        <w:rPr>
          <w:rFonts w:hint="eastAsia"/>
        </w:rPr>
        <w:t>，商务部等5部门办公厅公布第一批全国零售业创新提升试点城市名单，共38个，湖北武汉、十堰入选，将开展为期两年试点工作。2024年底，商务部等7部门印发《零售业创新提升工程实施方案》，计划到2029年初步形成现代零售体系。2025 - 2029年每年确定一批试点城市。武汉聚焦零售商业设施改造和运营能力提升，推动零售业高质量发展。十堰围绕五大方面推动存量零售商业设施改造，如开展“一店一策”改造、发展首店经济、拓展数字化消费场景等。方案还明确各地要在多方面给予便利和优惠政策，结合城市更新等统筹改造商业设施。</w:t>
      </w:r>
    </w:p>
    <w:p>
      <w:pPr>
        <w:rPr>
          <w:rFonts w:hint="eastAsia"/>
        </w:rPr>
      </w:pPr>
    </w:p>
    <w:p>
      <w:pPr>
        <w:rPr>
          <w:rFonts w:hint="eastAsia"/>
        </w:rPr>
      </w:pPr>
      <w:r>
        <w:rPr>
          <w:rFonts w:hint="eastAsia"/>
        </w:rPr>
        <w:t>发文日期：2025年6月6日</w:t>
      </w:r>
    </w:p>
    <w:p>
      <w:pPr>
        <w:rPr>
          <w:rFonts w:hint="eastAsia"/>
        </w:rPr>
      </w:pPr>
      <w:r>
        <w:rPr>
          <w:rFonts w:hint="eastAsia"/>
        </w:rPr>
        <w:t>发文单位：商务部等5部门</w:t>
      </w:r>
    </w:p>
    <w:p>
      <w:pPr>
        <w:rPr>
          <w:rFonts w:hint="eastAsia"/>
        </w:rPr>
      </w:pPr>
      <w:r>
        <w:rPr>
          <w:rFonts w:hint="eastAsia"/>
        </w:rPr>
        <w:t>原文链接：https://mp.weixin.qq.com/s/1rrcL3b9ZYNSXye70wrZ0A</w:t>
      </w:r>
    </w:p>
    <w:p>
      <w:pPr>
        <w:rPr>
          <w:rFonts w:hint="eastAsia"/>
        </w:rPr>
      </w:pPr>
    </w:p>
    <w:p>
      <w:pPr>
        <w:pStyle w:val="4"/>
        <w:numPr>
          <w:ilvl w:val="0"/>
          <w:numId w:val="4"/>
        </w:numPr>
        <w:bidi w:val="0"/>
        <w:rPr>
          <w:rFonts w:hint="eastAsia"/>
        </w:rPr>
      </w:pPr>
      <w:bookmarkStart w:id="26" w:name="_Toc12589"/>
      <w:r>
        <w:rPr>
          <w:rFonts w:hint="eastAsia"/>
        </w:rPr>
        <w:t>全省汽车产业发展专题会议召开</w:t>
      </w:r>
      <w:bookmarkEnd w:id="26"/>
    </w:p>
    <w:p>
      <w:pPr>
        <w:rPr>
          <w:rFonts w:hint="eastAsia"/>
        </w:rPr>
      </w:pPr>
    </w:p>
    <w:p>
      <w:pPr>
        <w:rPr>
          <w:rFonts w:hint="eastAsia"/>
        </w:rPr>
      </w:pPr>
      <w:r>
        <w:rPr>
          <w:rFonts w:hint="eastAsia"/>
        </w:rPr>
        <w:t>6月7日，全省汽车产业发展专题会议在武汉召开。省委副书记诸葛宇杰出席并讲话，强调要贯彻习近平总书记考察湖北重要讲话精神，落实省委、省政府工作部署，推动汽车产业转型升级。副省长程用文主持会议。会议指出，要认识汽车产业发展格局变化，增强转型紧迫感，发挥自身优势，推进科技创新与产业创新，促进汽车产业电动化、智能化升级。重点地区要推动产业量质提升，龙头企业要提升竞争力，有关部门要优化政策、强化服务。各地各部门要加强调度，解决企业问题，合力打好发展攻坚战。会上，东风汽车集团董事长介绍企业情况，部分车企代表交流发言。会议前期，省领导开展了相关调研。</w:t>
      </w:r>
    </w:p>
    <w:p>
      <w:pPr>
        <w:rPr>
          <w:rFonts w:hint="eastAsia"/>
        </w:rPr>
      </w:pPr>
    </w:p>
    <w:p>
      <w:pPr>
        <w:rPr>
          <w:rFonts w:hint="eastAsia"/>
        </w:rPr>
      </w:pPr>
      <w:r>
        <w:rPr>
          <w:rFonts w:hint="eastAsia"/>
        </w:rPr>
        <w:t>发文日期：2025年6月9日</w:t>
      </w:r>
    </w:p>
    <w:p>
      <w:pPr>
        <w:rPr>
          <w:rFonts w:hint="default" w:eastAsia="宋体"/>
          <w:lang w:val="en-US" w:eastAsia="zh-CN"/>
        </w:rPr>
      </w:pPr>
      <w:r>
        <w:rPr>
          <w:rFonts w:hint="eastAsia"/>
        </w:rPr>
        <w:t>发文单位：</w:t>
      </w:r>
      <w:r>
        <w:rPr>
          <w:rFonts w:hint="eastAsia"/>
          <w:lang w:val="en-US" w:eastAsia="zh-CN"/>
        </w:rPr>
        <w:t>湖北日报</w:t>
      </w:r>
      <w:bookmarkStart w:id="27" w:name="_GoBack"/>
      <w:bookmarkEnd w:id="27"/>
    </w:p>
    <w:p>
      <w:pPr>
        <w:rPr>
          <w:rFonts w:hint="eastAsia"/>
        </w:rPr>
      </w:pPr>
      <w:r>
        <w:rPr>
          <w:rFonts w:hint="eastAsia"/>
        </w:rPr>
        <w:t>原文链接：</w:t>
      </w:r>
      <w:r>
        <w:rPr>
          <w:rFonts w:hint="eastAsia"/>
        </w:rPr>
        <w:fldChar w:fldCharType="begin"/>
      </w:r>
      <w:r>
        <w:rPr>
          <w:rFonts w:hint="eastAsia"/>
        </w:rPr>
        <w:instrText xml:space="preserve"> HYPERLINK "https://mp.weixin.qq.com/s/6TEbOnvgc0i3WqcZncFI4Q" </w:instrText>
      </w:r>
      <w:r>
        <w:rPr>
          <w:rFonts w:hint="eastAsia"/>
        </w:rPr>
        <w:fldChar w:fldCharType="separate"/>
      </w:r>
      <w:r>
        <w:rPr>
          <w:rStyle w:val="28"/>
          <w:rFonts w:hint="eastAsia"/>
        </w:rPr>
        <w:t>https://mp.weixin.qq.com/s/6TEbOnvgc0i3WqcZncFI4Q</w:t>
      </w:r>
      <w:r>
        <w:rPr>
          <w:rFonts w:hint="eastAsia"/>
        </w:rPr>
        <w:fldChar w:fldCharType="end"/>
      </w:r>
    </w:p>
    <w:p>
      <w:pPr>
        <w:rPr>
          <w:rFonts w:hint="eastAsia"/>
        </w:rPr>
      </w:pPr>
    </w:p>
    <w:p>
      <w:pPr>
        <w:rPr>
          <w:rFonts w:hint="eastAsia"/>
        </w:rPr>
      </w:pPr>
    </w:p>
    <w:p>
      <w:pPr>
        <w:rPr>
          <w:rFonts w:hint="eastAsia"/>
        </w:rPr>
      </w:pPr>
    </w:p>
    <w:sectPr>
      <w:footerReference r:id="rId3"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方正小标宋简体">
    <w:panose1 w:val="02000000000000000000"/>
    <w:charset w:val="86"/>
    <w:family w:val="auto"/>
    <w:pitch w:val="default"/>
    <w:sig w:usb0="A00002BF" w:usb1="184F6CFA" w:usb2="00000012" w:usb3="00000000" w:csb0="00040001" w:csb1="00000000"/>
  </w:font>
  <w:font w:name="Calibri Light">
    <w:panose1 w:val="020F03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2"/>
                          </w:pPr>
                          <w:r>
                            <w:fldChar w:fldCharType="begin"/>
                          </w:r>
                          <w:r>
                            <w:instrText xml:space="preserve"> PAGE  \* MERGEFORMAT </w:instrText>
                          </w:r>
                          <w:r>
                            <w:fldChar w:fldCharType="separate"/>
                          </w:r>
                          <w:r>
                            <w:t>20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pPr>
                      <w:pStyle w:val="12"/>
                    </w:pPr>
                    <w:r>
                      <w:fldChar w:fldCharType="begin"/>
                    </w:r>
                    <w:r>
                      <w:instrText xml:space="preserve"> PAGE  \* MERGEFORMAT </w:instrText>
                    </w:r>
                    <w:r>
                      <w:fldChar w:fldCharType="separate"/>
                    </w:r>
                    <w:r>
                      <w:t>20</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61AAF6"/>
    <w:multiLevelType w:val="singleLevel"/>
    <w:tmpl w:val="9661AAF6"/>
    <w:lvl w:ilvl="0" w:tentative="0">
      <w:start w:val="1"/>
      <w:numFmt w:val="decimal"/>
      <w:pStyle w:val="4"/>
      <w:lvlText w:val="(%1)"/>
      <w:lvlJc w:val="left"/>
      <w:pPr>
        <w:ind w:left="425" w:hanging="425"/>
      </w:pPr>
      <w:rPr>
        <w:rFonts w:hint="default"/>
      </w:rPr>
    </w:lvl>
  </w:abstractNum>
  <w:num w:numId="1">
    <w:abstractNumId w:val="0"/>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hideSpellingErrors/>
  <w:hideGrammaticalErrors/>
  <w:documentProtection w:enforcement="0"/>
  <w:defaultTabStop w:val="36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3B87749"/>
    <w:rsid w:val="00005CCC"/>
    <w:rsid w:val="00010FD5"/>
    <w:rsid w:val="00026FE8"/>
    <w:rsid w:val="000410FC"/>
    <w:rsid w:val="00047104"/>
    <w:rsid w:val="000536EC"/>
    <w:rsid w:val="000629A4"/>
    <w:rsid w:val="00072F84"/>
    <w:rsid w:val="000733D6"/>
    <w:rsid w:val="00073967"/>
    <w:rsid w:val="00075948"/>
    <w:rsid w:val="00084D11"/>
    <w:rsid w:val="00085151"/>
    <w:rsid w:val="00096DDE"/>
    <w:rsid w:val="000A4340"/>
    <w:rsid w:val="000A44D2"/>
    <w:rsid w:val="000A44FC"/>
    <w:rsid w:val="000A4642"/>
    <w:rsid w:val="000A547C"/>
    <w:rsid w:val="000A613C"/>
    <w:rsid w:val="000E632C"/>
    <w:rsid w:val="000F0F72"/>
    <w:rsid w:val="000F3299"/>
    <w:rsid w:val="001069AF"/>
    <w:rsid w:val="00116665"/>
    <w:rsid w:val="00130104"/>
    <w:rsid w:val="00142016"/>
    <w:rsid w:val="001444EC"/>
    <w:rsid w:val="00152E21"/>
    <w:rsid w:val="00170B7B"/>
    <w:rsid w:val="00174B07"/>
    <w:rsid w:val="00177F10"/>
    <w:rsid w:val="00180460"/>
    <w:rsid w:val="00181702"/>
    <w:rsid w:val="00182B8E"/>
    <w:rsid w:val="00192AD6"/>
    <w:rsid w:val="0019332D"/>
    <w:rsid w:val="00193C78"/>
    <w:rsid w:val="00196B7E"/>
    <w:rsid w:val="001A238A"/>
    <w:rsid w:val="001A4F2E"/>
    <w:rsid w:val="001B3F5C"/>
    <w:rsid w:val="001B4228"/>
    <w:rsid w:val="001B6511"/>
    <w:rsid w:val="001D2978"/>
    <w:rsid w:val="001E0014"/>
    <w:rsid w:val="001E30C9"/>
    <w:rsid w:val="001E69CA"/>
    <w:rsid w:val="001F7350"/>
    <w:rsid w:val="001F79CE"/>
    <w:rsid w:val="00203822"/>
    <w:rsid w:val="00207F33"/>
    <w:rsid w:val="0021682C"/>
    <w:rsid w:val="0021704E"/>
    <w:rsid w:val="00223274"/>
    <w:rsid w:val="0022351D"/>
    <w:rsid w:val="00226199"/>
    <w:rsid w:val="00226B79"/>
    <w:rsid w:val="002374D3"/>
    <w:rsid w:val="00237F42"/>
    <w:rsid w:val="00241E27"/>
    <w:rsid w:val="00242B16"/>
    <w:rsid w:val="00244B4D"/>
    <w:rsid w:val="00247E53"/>
    <w:rsid w:val="0025353D"/>
    <w:rsid w:val="00257943"/>
    <w:rsid w:val="002632E5"/>
    <w:rsid w:val="00266FF5"/>
    <w:rsid w:val="00270D04"/>
    <w:rsid w:val="00281DCB"/>
    <w:rsid w:val="00283AC6"/>
    <w:rsid w:val="00284BFD"/>
    <w:rsid w:val="00290211"/>
    <w:rsid w:val="002904EF"/>
    <w:rsid w:val="00291686"/>
    <w:rsid w:val="00292B47"/>
    <w:rsid w:val="002A1B62"/>
    <w:rsid w:val="002A5076"/>
    <w:rsid w:val="002A725C"/>
    <w:rsid w:val="002C0CBB"/>
    <w:rsid w:val="002C119B"/>
    <w:rsid w:val="002E0917"/>
    <w:rsid w:val="002E2F64"/>
    <w:rsid w:val="00303573"/>
    <w:rsid w:val="003247E7"/>
    <w:rsid w:val="003265BB"/>
    <w:rsid w:val="00332003"/>
    <w:rsid w:val="003326FD"/>
    <w:rsid w:val="00335212"/>
    <w:rsid w:val="00344659"/>
    <w:rsid w:val="00347B0A"/>
    <w:rsid w:val="003514D1"/>
    <w:rsid w:val="00356C86"/>
    <w:rsid w:val="00357AB7"/>
    <w:rsid w:val="00362DF4"/>
    <w:rsid w:val="003744C4"/>
    <w:rsid w:val="00374F36"/>
    <w:rsid w:val="003759AD"/>
    <w:rsid w:val="00386112"/>
    <w:rsid w:val="00392B90"/>
    <w:rsid w:val="003C20C2"/>
    <w:rsid w:val="003C222D"/>
    <w:rsid w:val="003C799E"/>
    <w:rsid w:val="003D4097"/>
    <w:rsid w:val="003D4658"/>
    <w:rsid w:val="004174BD"/>
    <w:rsid w:val="004251FF"/>
    <w:rsid w:val="00443896"/>
    <w:rsid w:val="00443EC9"/>
    <w:rsid w:val="0044715A"/>
    <w:rsid w:val="004554A4"/>
    <w:rsid w:val="004565D4"/>
    <w:rsid w:val="00460BCD"/>
    <w:rsid w:val="00467FB9"/>
    <w:rsid w:val="00471127"/>
    <w:rsid w:val="00474903"/>
    <w:rsid w:val="00480050"/>
    <w:rsid w:val="00485558"/>
    <w:rsid w:val="00486B4C"/>
    <w:rsid w:val="00491190"/>
    <w:rsid w:val="00494369"/>
    <w:rsid w:val="004A7F09"/>
    <w:rsid w:val="004C360C"/>
    <w:rsid w:val="004C4AF1"/>
    <w:rsid w:val="004C6666"/>
    <w:rsid w:val="004D4702"/>
    <w:rsid w:val="004E76D9"/>
    <w:rsid w:val="004F35B3"/>
    <w:rsid w:val="004F789F"/>
    <w:rsid w:val="00500CAF"/>
    <w:rsid w:val="00503AAE"/>
    <w:rsid w:val="00506E3E"/>
    <w:rsid w:val="00512F38"/>
    <w:rsid w:val="005163DD"/>
    <w:rsid w:val="00522EBB"/>
    <w:rsid w:val="00524612"/>
    <w:rsid w:val="00530199"/>
    <w:rsid w:val="005367FB"/>
    <w:rsid w:val="00542AF1"/>
    <w:rsid w:val="00545A0F"/>
    <w:rsid w:val="005567E4"/>
    <w:rsid w:val="00575E24"/>
    <w:rsid w:val="00581AA2"/>
    <w:rsid w:val="005922C3"/>
    <w:rsid w:val="00593EF4"/>
    <w:rsid w:val="00596438"/>
    <w:rsid w:val="005A06ED"/>
    <w:rsid w:val="005A12BE"/>
    <w:rsid w:val="005A1588"/>
    <w:rsid w:val="005B1F83"/>
    <w:rsid w:val="005B51B7"/>
    <w:rsid w:val="005B72D5"/>
    <w:rsid w:val="005C2DD0"/>
    <w:rsid w:val="005D1336"/>
    <w:rsid w:val="005D44E9"/>
    <w:rsid w:val="005D5319"/>
    <w:rsid w:val="00610FA0"/>
    <w:rsid w:val="006340C8"/>
    <w:rsid w:val="00650888"/>
    <w:rsid w:val="00651258"/>
    <w:rsid w:val="00654172"/>
    <w:rsid w:val="00660798"/>
    <w:rsid w:val="00661BE7"/>
    <w:rsid w:val="00662654"/>
    <w:rsid w:val="00665176"/>
    <w:rsid w:val="00671B63"/>
    <w:rsid w:val="00671FCB"/>
    <w:rsid w:val="00674BEF"/>
    <w:rsid w:val="00682D16"/>
    <w:rsid w:val="00692F93"/>
    <w:rsid w:val="00696E0A"/>
    <w:rsid w:val="006A23AC"/>
    <w:rsid w:val="006A5042"/>
    <w:rsid w:val="006B2C3E"/>
    <w:rsid w:val="006B5123"/>
    <w:rsid w:val="006B5F46"/>
    <w:rsid w:val="006C77FE"/>
    <w:rsid w:val="006D1B29"/>
    <w:rsid w:val="006D1F86"/>
    <w:rsid w:val="006E0D01"/>
    <w:rsid w:val="006E0D45"/>
    <w:rsid w:val="006F0BC8"/>
    <w:rsid w:val="006F4974"/>
    <w:rsid w:val="00702101"/>
    <w:rsid w:val="00714E1D"/>
    <w:rsid w:val="0072325C"/>
    <w:rsid w:val="00736A16"/>
    <w:rsid w:val="00751845"/>
    <w:rsid w:val="00753A25"/>
    <w:rsid w:val="00756153"/>
    <w:rsid w:val="00774FB2"/>
    <w:rsid w:val="00777579"/>
    <w:rsid w:val="007844BB"/>
    <w:rsid w:val="007857F5"/>
    <w:rsid w:val="00785FFC"/>
    <w:rsid w:val="00787A3C"/>
    <w:rsid w:val="00796E01"/>
    <w:rsid w:val="007A04B7"/>
    <w:rsid w:val="007B35F1"/>
    <w:rsid w:val="007B5C8E"/>
    <w:rsid w:val="007B6A37"/>
    <w:rsid w:val="007C0439"/>
    <w:rsid w:val="007D4435"/>
    <w:rsid w:val="007E100E"/>
    <w:rsid w:val="007E3DA8"/>
    <w:rsid w:val="007E40C9"/>
    <w:rsid w:val="007F7649"/>
    <w:rsid w:val="008079D8"/>
    <w:rsid w:val="00822DFE"/>
    <w:rsid w:val="008235E0"/>
    <w:rsid w:val="00831B9D"/>
    <w:rsid w:val="00844B88"/>
    <w:rsid w:val="00861386"/>
    <w:rsid w:val="00862697"/>
    <w:rsid w:val="00866592"/>
    <w:rsid w:val="0087419C"/>
    <w:rsid w:val="0087699F"/>
    <w:rsid w:val="00881707"/>
    <w:rsid w:val="008817BF"/>
    <w:rsid w:val="00890454"/>
    <w:rsid w:val="00893693"/>
    <w:rsid w:val="00894AAE"/>
    <w:rsid w:val="00895458"/>
    <w:rsid w:val="00897379"/>
    <w:rsid w:val="008A4AD6"/>
    <w:rsid w:val="008A4B13"/>
    <w:rsid w:val="008B1650"/>
    <w:rsid w:val="008B5DE9"/>
    <w:rsid w:val="008C2B23"/>
    <w:rsid w:val="008D7A71"/>
    <w:rsid w:val="008E24B7"/>
    <w:rsid w:val="008E6A6D"/>
    <w:rsid w:val="008E725F"/>
    <w:rsid w:val="008E7906"/>
    <w:rsid w:val="008F0C27"/>
    <w:rsid w:val="00902F69"/>
    <w:rsid w:val="009050E0"/>
    <w:rsid w:val="00914D24"/>
    <w:rsid w:val="00922D05"/>
    <w:rsid w:val="0092303A"/>
    <w:rsid w:val="00925B1E"/>
    <w:rsid w:val="009271A1"/>
    <w:rsid w:val="00930C1E"/>
    <w:rsid w:val="00931E3E"/>
    <w:rsid w:val="00944B94"/>
    <w:rsid w:val="00945405"/>
    <w:rsid w:val="009475C0"/>
    <w:rsid w:val="00950E2E"/>
    <w:rsid w:val="009535CB"/>
    <w:rsid w:val="00965217"/>
    <w:rsid w:val="009704D2"/>
    <w:rsid w:val="009770CC"/>
    <w:rsid w:val="00985B48"/>
    <w:rsid w:val="00993B24"/>
    <w:rsid w:val="00994908"/>
    <w:rsid w:val="009A7360"/>
    <w:rsid w:val="009C31BB"/>
    <w:rsid w:val="009C56E5"/>
    <w:rsid w:val="009D0FF5"/>
    <w:rsid w:val="009E1921"/>
    <w:rsid w:val="009E3A1D"/>
    <w:rsid w:val="00A003C5"/>
    <w:rsid w:val="00A01BB1"/>
    <w:rsid w:val="00A11B1F"/>
    <w:rsid w:val="00A154ED"/>
    <w:rsid w:val="00A15554"/>
    <w:rsid w:val="00A1581F"/>
    <w:rsid w:val="00A17A19"/>
    <w:rsid w:val="00A17D7C"/>
    <w:rsid w:val="00A262B3"/>
    <w:rsid w:val="00A27674"/>
    <w:rsid w:val="00A309B8"/>
    <w:rsid w:val="00A37825"/>
    <w:rsid w:val="00A41E1A"/>
    <w:rsid w:val="00A43255"/>
    <w:rsid w:val="00A5112A"/>
    <w:rsid w:val="00A51200"/>
    <w:rsid w:val="00A54AA9"/>
    <w:rsid w:val="00A60179"/>
    <w:rsid w:val="00A62735"/>
    <w:rsid w:val="00A64947"/>
    <w:rsid w:val="00A74BCE"/>
    <w:rsid w:val="00A74D0B"/>
    <w:rsid w:val="00A80D79"/>
    <w:rsid w:val="00A91FF5"/>
    <w:rsid w:val="00A962CD"/>
    <w:rsid w:val="00AA112B"/>
    <w:rsid w:val="00AA2D23"/>
    <w:rsid w:val="00AB768F"/>
    <w:rsid w:val="00AD192A"/>
    <w:rsid w:val="00AD1C32"/>
    <w:rsid w:val="00AE49A2"/>
    <w:rsid w:val="00AF6A69"/>
    <w:rsid w:val="00B049A3"/>
    <w:rsid w:val="00B07E19"/>
    <w:rsid w:val="00B172F3"/>
    <w:rsid w:val="00B37EC7"/>
    <w:rsid w:val="00B40DC3"/>
    <w:rsid w:val="00B40E7D"/>
    <w:rsid w:val="00B410B6"/>
    <w:rsid w:val="00B41DB6"/>
    <w:rsid w:val="00B5013F"/>
    <w:rsid w:val="00B50A3C"/>
    <w:rsid w:val="00B55677"/>
    <w:rsid w:val="00B55995"/>
    <w:rsid w:val="00B620A4"/>
    <w:rsid w:val="00B62CED"/>
    <w:rsid w:val="00B636D4"/>
    <w:rsid w:val="00B637B0"/>
    <w:rsid w:val="00B658B9"/>
    <w:rsid w:val="00B7031B"/>
    <w:rsid w:val="00B70E70"/>
    <w:rsid w:val="00B72EDD"/>
    <w:rsid w:val="00B7595B"/>
    <w:rsid w:val="00B9189B"/>
    <w:rsid w:val="00B9617D"/>
    <w:rsid w:val="00BC25F5"/>
    <w:rsid w:val="00BC6A2A"/>
    <w:rsid w:val="00BD777B"/>
    <w:rsid w:val="00BD7F06"/>
    <w:rsid w:val="00BF513F"/>
    <w:rsid w:val="00C04033"/>
    <w:rsid w:val="00C07003"/>
    <w:rsid w:val="00C2292F"/>
    <w:rsid w:val="00C26AC4"/>
    <w:rsid w:val="00C32DF0"/>
    <w:rsid w:val="00C44AF7"/>
    <w:rsid w:val="00C47FD2"/>
    <w:rsid w:val="00C56626"/>
    <w:rsid w:val="00C6252C"/>
    <w:rsid w:val="00C71565"/>
    <w:rsid w:val="00C77B17"/>
    <w:rsid w:val="00C82EED"/>
    <w:rsid w:val="00CA3DF8"/>
    <w:rsid w:val="00CA46D9"/>
    <w:rsid w:val="00CA507E"/>
    <w:rsid w:val="00CA6027"/>
    <w:rsid w:val="00CB23CC"/>
    <w:rsid w:val="00CB32F6"/>
    <w:rsid w:val="00CB4E5C"/>
    <w:rsid w:val="00CB62F7"/>
    <w:rsid w:val="00CC30F4"/>
    <w:rsid w:val="00CC416D"/>
    <w:rsid w:val="00CE5664"/>
    <w:rsid w:val="00D15B85"/>
    <w:rsid w:val="00D43077"/>
    <w:rsid w:val="00D50E81"/>
    <w:rsid w:val="00D57D31"/>
    <w:rsid w:val="00D61DDF"/>
    <w:rsid w:val="00D63F24"/>
    <w:rsid w:val="00D72FF6"/>
    <w:rsid w:val="00D750EF"/>
    <w:rsid w:val="00D77C0A"/>
    <w:rsid w:val="00D858EE"/>
    <w:rsid w:val="00D95B69"/>
    <w:rsid w:val="00DA5187"/>
    <w:rsid w:val="00DB4691"/>
    <w:rsid w:val="00DC421F"/>
    <w:rsid w:val="00DC693F"/>
    <w:rsid w:val="00DE0AEE"/>
    <w:rsid w:val="00DE3B08"/>
    <w:rsid w:val="00DE4A98"/>
    <w:rsid w:val="00DE5C6B"/>
    <w:rsid w:val="00DF30E6"/>
    <w:rsid w:val="00DF6839"/>
    <w:rsid w:val="00E00F2A"/>
    <w:rsid w:val="00E136C1"/>
    <w:rsid w:val="00E15105"/>
    <w:rsid w:val="00E15D98"/>
    <w:rsid w:val="00E26D62"/>
    <w:rsid w:val="00E27961"/>
    <w:rsid w:val="00E32459"/>
    <w:rsid w:val="00E32F4F"/>
    <w:rsid w:val="00E353E8"/>
    <w:rsid w:val="00E551E8"/>
    <w:rsid w:val="00E560B0"/>
    <w:rsid w:val="00E567B1"/>
    <w:rsid w:val="00E62A84"/>
    <w:rsid w:val="00E66922"/>
    <w:rsid w:val="00E67FB9"/>
    <w:rsid w:val="00E7169B"/>
    <w:rsid w:val="00E71865"/>
    <w:rsid w:val="00E94C18"/>
    <w:rsid w:val="00EA79BE"/>
    <w:rsid w:val="00EB0883"/>
    <w:rsid w:val="00EC0011"/>
    <w:rsid w:val="00EC2DD6"/>
    <w:rsid w:val="00ED283F"/>
    <w:rsid w:val="00EE54C6"/>
    <w:rsid w:val="00EF2981"/>
    <w:rsid w:val="00EF40BC"/>
    <w:rsid w:val="00F002E1"/>
    <w:rsid w:val="00F10529"/>
    <w:rsid w:val="00F16D2A"/>
    <w:rsid w:val="00F17EAE"/>
    <w:rsid w:val="00F300FA"/>
    <w:rsid w:val="00F31E2B"/>
    <w:rsid w:val="00F328C7"/>
    <w:rsid w:val="00F34E15"/>
    <w:rsid w:val="00F41973"/>
    <w:rsid w:val="00F75C8A"/>
    <w:rsid w:val="00F83D16"/>
    <w:rsid w:val="00F87A9E"/>
    <w:rsid w:val="00F90ED7"/>
    <w:rsid w:val="00F96377"/>
    <w:rsid w:val="00FA7F25"/>
    <w:rsid w:val="00FC69EA"/>
    <w:rsid w:val="00FD2E8F"/>
    <w:rsid w:val="00FD4BB5"/>
    <w:rsid w:val="00FF3D58"/>
    <w:rsid w:val="00FF3E41"/>
    <w:rsid w:val="015D5504"/>
    <w:rsid w:val="016347D7"/>
    <w:rsid w:val="01743E73"/>
    <w:rsid w:val="01C45D06"/>
    <w:rsid w:val="021D04ED"/>
    <w:rsid w:val="02313F99"/>
    <w:rsid w:val="02727A8F"/>
    <w:rsid w:val="027D7504"/>
    <w:rsid w:val="02957F4A"/>
    <w:rsid w:val="02AD29B2"/>
    <w:rsid w:val="03181066"/>
    <w:rsid w:val="03634626"/>
    <w:rsid w:val="03D352ED"/>
    <w:rsid w:val="04772A4B"/>
    <w:rsid w:val="0582467D"/>
    <w:rsid w:val="05926AFC"/>
    <w:rsid w:val="05D77E4F"/>
    <w:rsid w:val="05D84CA5"/>
    <w:rsid w:val="05E0200A"/>
    <w:rsid w:val="061B1990"/>
    <w:rsid w:val="064550D0"/>
    <w:rsid w:val="066A47CE"/>
    <w:rsid w:val="06B141BC"/>
    <w:rsid w:val="06F20FC3"/>
    <w:rsid w:val="07031442"/>
    <w:rsid w:val="07A34B98"/>
    <w:rsid w:val="07AC7C25"/>
    <w:rsid w:val="07BD5E3D"/>
    <w:rsid w:val="081F17B3"/>
    <w:rsid w:val="087D09B3"/>
    <w:rsid w:val="088A7506"/>
    <w:rsid w:val="08944458"/>
    <w:rsid w:val="08D556E5"/>
    <w:rsid w:val="08DE1DFC"/>
    <w:rsid w:val="09063232"/>
    <w:rsid w:val="09362972"/>
    <w:rsid w:val="09D5345C"/>
    <w:rsid w:val="0A15616C"/>
    <w:rsid w:val="0A6C3DC0"/>
    <w:rsid w:val="0A747118"/>
    <w:rsid w:val="0AA4793D"/>
    <w:rsid w:val="0B0A42C4"/>
    <w:rsid w:val="0B2F4186"/>
    <w:rsid w:val="0B5F4794"/>
    <w:rsid w:val="0B7926DE"/>
    <w:rsid w:val="0BC85D5B"/>
    <w:rsid w:val="0BD82C59"/>
    <w:rsid w:val="0C160487"/>
    <w:rsid w:val="0C317648"/>
    <w:rsid w:val="0C7451AE"/>
    <w:rsid w:val="0C9617E4"/>
    <w:rsid w:val="0C9F6FE3"/>
    <w:rsid w:val="0D173E04"/>
    <w:rsid w:val="0D2E2D13"/>
    <w:rsid w:val="0D354ACD"/>
    <w:rsid w:val="0D492902"/>
    <w:rsid w:val="0D6F10B3"/>
    <w:rsid w:val="0D8536BD"/>
    <w:rsid w:val="0D8F4EFE"/>
    <w:rsid w:val="0E293FE3"/>
    <w:rsid w:val="0E4D5CB6"/>
    <w:rsid w:val="0EA46E2D"/>
    <w:rsid w:val="0EFF5127"/>
    <w:rsid w:val="0F210A3A"/>
    <w:rsid w:val="0F415C16"/>
    <w:rsid w:val="0F607679"/>
    <w:rsid w:val="10086D9C"/>
    <w:rsid w:val="102A466F"/>
    <w:rsid w:val="105812FF"/>
    <w:rsid w:val="111C0739"/>
    <w:rsid w:val="111E1B8C"/>
    <w:rsid w:val="11610DAE"/>
    <w:rsid w:val="116A724E"/>
    <w:rsid w:val="116D60A1"/>
    <w:rsid w:val="117A72EF"/>
    <w:rsid w:val="11FD46BF"/>
    <w:rsid w:val="120B5F4D"/>
    <w:rsid w:val="12323823"/>
    <w:rsid w:val="124F42B7"/>
    <w:rsid w:val="12834530"/>
    <w:rsid w:val="13901E1C"/>
    <w:rsid w:val="13A7230D"/>
    <w:rsid w:val="14EF1875"/>
    <w:rsid w:val="14F325C5"/>
    <w:rsid w:val="15026D53"/>
    <w:rsid w:val="15B4486D"/>
    <w:rsid w:val="15CA2F2E"/>
    <w:rsid w:val="15E74C42"/>
    <w:rsid w:val="16CB5F30"/>
    <w:rsid w:val="16F2389F"/>
    <w:rsid w:val="16F643D6"/>
    <w:rsid w:val="171C5435"/>
    <w:rsid w:val="172D2B29"/>
    <w:rsid w:val="17E217ED"/>
    <w:rsid w:val="17F00444"/>
    <w:rsid w:val="18517FB6"/>
    <w:rsid w:val="188E75F7"/>
    <w:rsid w:val="18A44462"/>
    <w:rsid w:val="18D81447"/>
    <w:rsid w:val="191E1382"/>
    <w:rsid w:val="193F7A6A"/>
    <w:rsid w:val="19600F94"/>
    <w:rsid w:val="199A28AA"/>
    <w:rsid w:val="1A650426"/>
    <w:rsid w:val="1AA03612"/>
    <w:rsid w:val="1BCB75FC"/>
    <w:rsid w:val="1BDA0F1B"/>
    <w:rsid w:val="1BFF5B23"/>
    <w:rsid w:val="1C777DA5"/>
    <w:rsid w:val="1C7E467E"/>
    <w:rsid w:val="1D0D671B"/>
    <w:rsid w:val="1D305121"/>
    <w:rsid w:val="1D36397B"/>
    <w:rsid w:val="1D4B182A"/>
    <w:rsid w:val="1D5C48CC"/>
    <w:rsid w:val="1D835251"/>
    <w:rsid w:val="1DD943FB"/>
    <w:rsid w:val="1DE87A80"/>
    <w:rsid w:val="1E194C81"/>
    <w:rsid w:val="1E3E561C"/>
    <w:rsid w:val="1E68566C"/>
    <w:rsid w:val="1E95273B"/>
    <w:rsid w:val="1EA47B74"/>
    <w:rsid w:val="1F5E41C7"/>
    <w:rsid w:val="1F8B4401"/>
    <w:rsid w:val="1FFF5FBA"/>
    <w:rsid w:val="21554059"/>
    <w:rsid w:val="216B2E85"/>
    <w:rsid w:val="218872DA"/>
    <w:rsid w:val="218F2E30"/>
    <w:rsid w:val="21BF16DB"/>
    <w:rsid w:val="21C443C4"/>
    <w:rsid w:val="223C67F4"/>
    <w:rsid w:val="224A458F"/>
    <w:rsid w:val="22942040"/>
    <w:rsid w:val="22DA671D"/>
    <w:rsid w:val="23050835"/>
    <w:rsid w:val="231A7D53"/>
    <w:rsid w:val="23887B38"/>
    <w:rsid w:val="238B1360"/>
    <w:rsid w:val="24013DB9"/>
    <w:rsid w:val="24441950"/>
    <w:rsid w:val="248D76DC"/>
    <w:rsid w:val="249A5A1E"/>
    <w:rsid w:val="24A36916"/>
    <w:rsid w:val="25172BDE"/>
    <w:rsid w:val="25744A0D"/>
    <w:rsid w:val="25902C01"/>
    <w:rsid w:val="259A51CD"/>
    <w:rsid w:val="25D56865"/>
    <w:rsid w:val="26082272"/>
    <w:rsid w:val="262178C9"/>
    <w:rsid w:val="264755DA"/>
    <w:rsid w:val="2661459D"/>
    <w:rsid w:val="267E0CAB"/>
    <w:rsid w:val="26A84EBA"/>
    <w:rsid w:val="26EA363F"/>
    <w:rsid w:val="27144592"/>
    <w:rsid w:val="278B23EE"/>
    <w:rsid w:val="278B7B24"/>
    <w:rsid w:val="27C03641"/>
    <w:rsid w:val="281318C7"/>
    <w:rsid w:val="28541E37"/>
    <w:rsid w:val="285F3CB1"/>
    <w:rsid w:val="286928C5"/>
    <w:rsid w:val="289C366A"/>
    <w:rsid w:val="28A2214A"/>
    <w:rsid w:val="2936694E"/>
    <w:rsid w:val="2996455E"/>
    <w:rsid w:val="29DB04A2"/>
    <w:rsid w:val="29EE50B4"/>
    <w:rsid w:val="29FE7B47"/>
    <w:rsid w:val="2A367640"/>
    <w:rsid w:val="2A48356C"/>
    <w:rsid w:val="2ABC75C8"/>
    <w:rsid w:val="2B12230A"/>
    <w:rsid w:val="2B7E1510"/>
    <w:rsid w:val="2B8051DB"/>
    <w:rsid w:val="2BAA31B3"/>
    <w:rsid w:val="2BC63FD4"/>
    <w:rsid w:val="2C0D4F8D"/>
    <w:rsid w:val="2C376A9B"/>
    <w:rsid w:val="2C3A1B18"/>
    <w:rsid w:val="2C3F0EDD"/>
    <w:rsid w:val="2C4C4F3B"/>
    <w:rsid w:val="2C60078F"/>
    <w:rsid w:val="2C646B95"/>
    <w:rsid w:val="2C7E1414"/>
    <w:rsid w:val="2C810E08"/>
    <w:rsid w:val="2C8E59C0"/>
    <w:rsid w:val="2CBA6A70"/>
    <w:rsid w:val="2CD504F2"/>
    <w:rsid w:val="2D0F4C79"/>
    <w:rsid w:val="2D1D55AF"/>
    <w:rsid w:val="2D2B1461"/>
    <w:rsid w:val="2DC147E3"/>
    <w:rsid w:val="2EA90867"/>
    <w:rsid w:val="2EAD7087"/>
    <w:rsid w:val="2F454A5C"/>
    <w:rsid w:val="2FC43258"/>
    <w:rsid w:val="2FE467A7"/>
    <w:rsid w:val="302C011A"/>
    <w:rsid w:val="302C34A7"/>
    <w:rsid w:val="303A22C6"/>
    <w:rsid w:val="304940D8"/>
    <w:rsid w:val="30517430"/>
    <w:rsid w:val="30C3032E"/>
    <w:rsid w:val="30F37EDC"/>
    <w:rsid w:val="31055CDB"/>
    <w:rsid w:val="313C17BF"/>
    <w:rsid w:val="314A714A"/>
    <w:rsid w:val="315423FA"/>
    <w:rsid w:val="324507AD"/>
    <w:rsid w:val="3344327C"/>
    <w:rsid w:val="338B4F0A"/>
    <w:rsid w:val="33CC223D"/>
    <w:rsid w:val="345179FF"/>
    <w:rsid w:val="34814F15"/>
    <w:rsid w:val="34826328"/>
    <w:rsid w:val="34984755"/>
    <w:rsid w:val="34E959C3"/>
    <w:rsid w:val="34F85D6A"/>
    <w:rsid w:val="34FC2804"/>
    <w:rsid w:val="34FF4777"/>
    <w:rsid w:val="35120222"/>
    <w:rsid w:val="3518714F"/>
    <w:rsid w:val="353D3435"/>
    <w:rsid w:val="354A6EEA"/>
    <w:rsid w:val="356B1CF3"/>
    <w:rsid w:val="35AF70D3"/>
    <w:rsid w:val="37654E9C"/>
    <w:rsid w:val="3784633D"/>
    <w:rsid w:val="38213B8C"/>
    <w:rsid w:val="382373DA"/>
    <w:rsid w:val="383B0B04"/>
    <w:rsid w:val="38591578"/>
    <w:rsid w:val="38AC16A8"/>
    <w:rsid w:val="38CF7D58"/>
    <w:rsid w:val="38F0269B"/>
    <w:rsid w:val="39206A7F"/>
    <w:rsid w:val="3A372F4A"/>
    <w:rsid w:val="3A7C1D7A"/>
    <w:rsid w:val="3AAD7959"/>
    <w:rsid w:val="3AD068AC"/>
    <w:rsid w:val="3ADB44C6"/>
    <w:rsid w:val="3AED5FA8"/>
    <w:rsid w:val="3B285284"/>
    <w:rsid w:val="3B2C319C"/>
    <w:rsid w:val="3B2D2566"/>
    <w:rsid w:val="3B387B37"/>
    <w:rsid w:val="3B68647D"/>
    <w:rsid w:val="3BAF2C97"/>
    <w:rsid w:val="3C074E47"/>
    <w:rsid w:val="3C756255"/>
    <w:rsid w:val="3C9E39FD"/>
    <w:rsid w:val="3C9F4DD0"/>
    <w:rsid w:val="3D0D46DF"/>
    <w:rsid w:val="3D254A9A"/>
    <w:rsid w:val="3D3C5A02"/>
    <w:rsid w:val="3D430E91"/>
    <w:rsid w:val="3D723C25"/>
    <w:rsid w:val="3D8F5CCA"/>
    <w:rsid w:val="3D910454"/>
    <w:rsid w:val="3D964F1B"/>
    <w:rsid w:val="3E0C2560"/>
    <w:rsid w:val="3EB02237"/>
    <w:rsid w:val="3EB80B41"/>
    <w:rsid w:val="3EE65C63"/>
    <w:rsid w:val="3FCF6608"/>
    <w:rsid w:val="40476BB4"/>
    <w:rsid w:val="4092377C"/>
    <w:rsid w:val="40AA78B9"/>
    <w:rsid w:val="40E65973"/>
    <w:rsid w:val="411E6EBB"/>
    <w:rsid w:val="41B079AE"/>
    <w:rsid w:val="41FF0A9A"/>
    <w:rsid w:val="42417218"/>
    <w:rsid w:val="43B55C44"/>
    <w:rsid w:val="44A633D7"/>
    <w:rsid w:val="450B6BAA"/>
    <w:rsid w:val="45531639"/>
    <w:rsid w:val="45EC57D9"/>
    <w:rsid w:val="465467E3"/>
    <w:rsid w:val="466D03B6"/>
    <w:rsid w:val="467A4130"/>
    <w:rsid w:val="46ED3D62"/>
    <w:rsid w:val="46F030A7"/>
    <w:rsid w:val="46FE5A27"/>
    <w:rsid w:val="472165E1"/>
    <w:rsid w:val="472D42FC"/>
    <w:rsid w:val="472D7E58"/>
    <w:rsid w:val="474447A0"/>
    <w:rsid w:val="474B1F88"/>
    <w:rsid w:val="47B50093"/>
    <w:rsid w:val="47CE3835"/>
    <w:rsid w:val="47E938E8"/>
    <w:rsid w:val="47F548C0"/>
    <w:rsid w:val="48543A65"/>
    <w:rsid w:val="48551120"/>
    <w:rsid w:val="489A6008"/>
    <w:rsid w:val="48CE1A32"/>
    <w:rsid w:val="492B6619"/>
    <w:rsid w:val="49356079"/>
    <w:rsid w:val="4957634E"/>
    <w:rsid w:val="496F10FC"/>
    <w:rsid w:val="49881CCB"/>
    <w:rsid w:val="49975FBC"/>
    <w:rsid w:val="49D13AE4"/>
    <w:rsid w:val="49E1480A"/>
    <w:rsid w:val="49FB653F"/>
    <w:rsid w:val="4A4B3E0B"/>
    <w:rsid w:val="4A5D44B5"/>
    <w:rsid w:val="4A6437D4"/>
    <w:rsid w:val="4A8F086C"/>
    <w:rsid w:val="4AB070BD"/>
    <w:rsid w:val="4AE46E2A"/>
    <w:rsid w:val="4B086260"/>
    <w:rsid w:val="4B792C11"/>
    <w:rsid w:val="4C6C6665"/>
    <w:rsid w:val="4C993854"/>
    <w:rsid w:val="4C9D782D"/>
    <w:rsid w:val="4CBA0C3C"/>
    <w:rsid w:val="4CC773C4"/>
    <w:rsid w:val="4CE81B67"/>
    <w:rsid w:val="4CF077D9"/>
    <w:rsid w:val="4D211BA8"/>
    <w:rsid w:val="4E816CDB"/>
    <w:rsid w:val="4EC5185F"/>
    <w:rsid w:val="4F0516BA"/>
    <w:rsid w:val="4F2D446F"/>
    <w:rsid w:val="4F7A2315"/>
    <w:rsid w:val="4F9273F2"/>
    <w:rsid w:val="4FB31056"/>
    <w:rsid w:val="501D04C6"/>
    <w:rsid w:val="50224539"/>
    <w:rsid w:val="50675167"/>
    <w:rsid w:val="509B115C"/>
    <w:rsid w:val="50E705D7"/>
    <w:rsid w:val="50F773EF"/>
    <w:rsid w:val="50FA6AF3"/>
    <w:rsid w:val="51040E29"/>
    <w:rsid w:val="51CF2789"/>
    <w:rsid w:val="51EE696A"/>
    <w:rsid w:val="52E60BBD"/>
    <w:rsid w:val="53537FC2"/>
    <w:rsid w:val="537A576C"/>
    <w:rsid w:val="538D6EF1"/>
    <w:rsid w:val="53E24E79"/>
    <w:rsid w:val="54051CBA"/>
    <w:rsid w:val="54627517"/>
    <w:rsid w:val="54C301E3"/>
    <w:rsid w:val="54CD3E95"/>
    <w:rsid w:val="54FE1085"/>
    <w:rsid w:val="5507618C"/>
    <w:rsid w:val="555313D1"/>
    <w:rsid w:val="555465EE"/>
    <w:rsid w:val="5630606F"/>
    <w:rsid w:val="56431446"/>
    <w:rsid w:val="564D2F1F"/>
    <w:rsid w:val="56601D30"/>
    <w:rsid w:val="56864980"/>
    <w:rsid w:val="56BD287A"/>
    <w:rsid w:val="57617D64"/>
    <w:rsid w:val="579023A5"/>
    <w:rsid w:val="579D2991"/>
    <w:rsid w:val="57EF105C"/>
    <w:rsid w:val="58831FCD"/>
    <w:rsid w:val="58A81A34"/>
    <w:rsid w:val="597D4298"/>
    <w:rsid w:val="59CC3500"/>
    <w:rsid w:val="5A17089F"/>
    <w:rsid w:val="5A2B78A9"/>
    <w:rsid w:val="5AC204A2"/>
    <w:rsid w:val="5ADE079F"/>
    <w:rsid w:val="5ADF2CEC"/>
    <w:rsid w:val="5B74302C"/>
    <w:rsid w:val="5B93792A"/>
    <w:rsid w:val="5B9F4190"/>
    <w:rsid w:val="5BBE44A1"/>
    <w:rsid w:val="5C0F2120"/>
    <w:rsid w:val="5CC2508E"/>
    <w:rsid w:val="5CC95CE6"/>
    <w:rsid w:val="5CF04714"/>
    <w:rsid w:val="5CF641B7"/>
    <w:rsid w:val="5CFA7B5F"/>
    <w:rsid w:val="5CFD12BC"/>
    <w:rsid w:val="5D872105"/>
    <w:rsid w:val="5DCE519B"/>
    <w:rsid w:val="5DDC2951"/>
    <w:rsid w:val="5E042794"/>
    <w:rsid w:val="5E8E75A3"/>
    <w:rsid w:val="5E9860A7"/>
    <w:rsid w:val="5EBC232F"/>
    <w:rsid w:val="5EC0678A"/>
    <w:rsid w:val="5ED877D8"/>
    <w:rsid w:val="5EE240B6"/>
    <w:rsid w:val="5F1A5C6D"/>
    <w:rsid w:val="5F2F7A39"/>
    <w:rsid w:val="5FA814DF"/>
    <w:rsid w:val="5FE82FD2"/>
    <w:rsid w:val="5FED58DF"/>
    <w:rsid w:val="6040616F"/>
    <w:rsid w:val="60B168B0"/>
    <w:rsid w:val="60C5514D"/>
    <w:rsid w:val="60D96503"/>
    <w:rsid w:val="60DD148F"/>
    <w:rsid w:val="60FF3D49"/>
    <w:rsid w:val="61305322"/>
    <w:rsid w:val="6159154D"/>
    <w:rsid w:val="61994C8C"/>
    <w:rsid w:val="61A65755"/>
    <w:rsid w:val="61BA65BF"/>
    <w:rsid w:val="628F77C1"/>
    <w:rsid w:val="62922B86"/>
    <w:rsid w:val="62B83782"/>
    <w:rsid w:val="62F67905"/>
    <w:rsid w:val="63344D9C"/>
    <w:rsid w:val="6372336A"/>
    <w:rsid w:val="63852965"/>
    <w:rsid w:val="63B719CA"/>
    <w:rsid w:val="63B87749"/>
    <w:rsid w:val="63E92F01"/>
    <w:rsid w:val="64063AB3"/>
    <w:rsid w:val="64255857"/>
    <w:rsid w:val="64371776"/>
    <w:rsid w:val="64371EBE"/>
    <w:rsid w:val="64565DD5"/>
    <w:rsid w:val="646903D7"/>
    <w:rsid w:val="647B624F"/>
    <w:rsid w:val="64B47B11"/>
    <w:rsid w:val="64E2382D"/>
    <w:rsid w:val="652C145A"/>
    <w:rsid w:val="652C2B23"/>
    <w:rsid w:val="652E3534"/>
    <w:rsid w:val="6614440A"/>
    <w:rsid w:val="678E46C4"/>
    <w:rsid w:val="6800730B"/>
    <w:rsid w:val="681B5ADF"/>
    <w:rsid w:val="685E210F"/>
    <w:rsid w:val="686065CC"/>
    <w:rsid w:val="689D00AB"/>
    <w:rsid w:val="68A94442"/>
    <w:rsid w:val="68BC5CCF"/>
    <w:rsid w:val="694B1CA9"/>
    <w:rsid w:val="696848C8"/>
    <w:rsid w:val="69D87C9F"/>
    <w:rsid w:val="69F0323B"/>
    <w:rsid w:val="6A333F49"/>
    <w:rsid w:val="6A3D7B02"/>
    <w:rsid w:val="6A6F3824"/>
    <w:rsid w:val="6AB204F0"/>
    <w:rsid w:val="6AE125CF"/>
    <w:rsid w:val="6AF97ECD"/>
    <w:rsid w:val="6B0F5943"/>
    <w:rsid w:val="6B356F25"/>
    <w:rsid w:val="6C6121CE"/>
    <w:rsid w:val="6C7822A9"/>
    <w:rsid w:val="6C9B0687"/>
    <w:rsid w:val="6CCD0C34"/>
    <w:rsid w:val="6D2B360C"/>
    <w:rsid w:val="6DD94EB7"/>
    <w:rsid w:val="6ED65668"/>
    <w:rsid w:val="6F5F3C10"/>
    <w:rsid w:val="6F7D619A"/>
    <w:rsid w:val="6F9F35B4"/>
    <w:rsid w:val="6FCA71E0"/>
    <w:rsid w:val="6FD827A7"/>
    <w:rsid w:val="703145D9"/>
    <w:rsid w:val="706C1141"/>
    <w:rsid w:val="706E7C9E"/>
    <w:rsid w:val="707324D0"/>
    <w:rsid w:val="70CF5032"/>
    <w:rsid w:val="711F7F62"/>
    <w:rsid w:val="71856DEF"/>
    <w:rsid w:val="71A130D0"/>
    <w:rsid w:val="71DA004A"/>
    <w:rsid w:val="71EA67C2"/>
    <w:rsid w:val="726B69B0"/>
    <w:rsid w:val="728A0291"/>
    <w:rsid w:val="729F531D"/>
    <w:rsid w:val="72CF47E7"/>
    <w:rsid w:val="72ED48AE"/>
    <w:rsid w:val="730361B9"/>
    <w:rsid w:val="734466F5"/>
    <w:rsid w:val="738D5656"/>
    <w:rsid w:val="73EA2043"/>
    <w:rsid w:val="742740AC"/>
    <w:rsid w:val="743A2B40"/>
    <w:rsid w:val="745F7336"/>
    <w:rsid w:val="74923BF4"/>
    <w:rsid w:val="74C44810"/>
    <w:rsid w:val="74CF773B"/>
    <w:rsid w:val="750202C6"/>
    <w:rsid w:val="75475CD9"/>
    <w:rsid w:val="75B354EE"/>
    <w:rsid w:val="75BC3DFE"/>
    <w:rsid w:val="76A06528"/>
    <w:rsid w:val="76DB2792"/>
    <w:rsid w:val="77091498"/>
    <w:rsid w:val="77BA7B83"/>
    <w:rsid w:val="77EA05CE"/>
    <w:rsid w:val="785D1817"/>
    <w:rsid w:val="786C5947"/>
    <w:rsid w:val="78861E4A"/>
    <w:rsid w:val="78D37FAF"/>
    <w:rsid w:val="78F57EFF"/>
    <w:rsid w:val="79BF5E05"/>
    <w:rsid w:val="79F71BE1"/>
    <w:rsid w:val="7A0D60DE"/>
    <w:rsid w:val="7A0F5025"/>
    <w:rsid w:val="7A16003B"/>
    <w:rsid w:val="7A367DDC"/>
    <w:rsid w:val="7A6A4943"/>
    <w:rsid w:val="7AE600D4"/>
    <w:rsid w:val="7AEC35AA"/>
    <w:rsid w:val="7B0A28DC"/>
    <w:rsid w:val="7B0B390C"/>
    <w:rsid w:val="7B8109A5"/>
    <w:rsid w:val="7BBA0FB3"/>
    <w:rsid w:val="7BF21F72"/>
    <w:rsid w:val="7C8A196F"/>
    <w:rsid w:val="7C9B21DA"/>
    <w:rsid w:val="7CAC5049"/>
    <w:rsid w:val="7CE31C56"/>
    <w:rsid w:val="7D5A1A2C"/>
    <w:rsid w:val="7D686286"/>
    <w:rsid w:val="7D757A64"/>
    <w:rsid w:val="7D921F97"/>
    <w:rsid w:val="7DA34981"/>
    <w:rsid w:val="7DA83736"/>
    <w:rsid w:val="7DB9757F"/>
    <w:rsid w:val="7E104461"/>
    <w:rsid w:val="7F00252F"/>
    <w:rsid w:val="7F39186C"/>
    <w:rsid w:val="7F6E5771"/>
    <w:rsid w:val="7FCE50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qFormat="1" w:unhideWhenUsed="0"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paragraph" w:styleId="2">
    <w:name w:val="heading 1"/>
    <w:basedOn w:val="1"/>
    <w:next w:val="1"/>
    <w:qFormat/>
    <w:uiPriority w:val="0"/>
    <w:pPr>
      <w:keepNext/>
      <w:keepLines/>
      <w:adjustRightInd w:val="0"/>
      <w:snapToGrid w:val="0"/>
      <w:spacing w:line="360" w:lineRule="auto"/>
      <w:jc w:val="center"/>
      <w:outlineLvl w:val="0"/>
    </w:pPr>
    <w:rPr>
      <w:rFonts w:ascii="方正小标宋简体" w:hAnsi="方正小标宋简体" w:eastAsia="方正小标宋简体" w:cs="方正小标宋简体"/>
      <w:b/>
      <w:kern w:val="44"/>
      <w:sz w:val="32"/>
      <w:szCs w:val="32"/>
    </w:rPr>
  </w:style>
  <w:style w:type="paragraph" w:styleId="3">
    <w:name w:val="heading 2"/>
    <w:basedOn w:val="1"/>
    <w:next w:val="1"/>
    <w:link w:val="44"/>
    <w:unhideWhenUsed/>
    <w:qFormat/>
    <w:uiPriority w:val="0"/>
    <w:pPr>
      <w:snapToGrid w:val="0"/>
      <w:jc w:val="center"/>
      <w:outlineLvl w:val="1"/>
    </w:pPr>
    <w:rPr>
      <w:rFonts w:ascii="仿宋_GB2312" w:hAnsi="仿宋_GB2312" w:eastAsia="仿宋_GB2312" w:cs="仿宋_GB2312"/>
      <w:b/>
      <w:bCs/>
      <w:sz w:val="32"/>
      <w:szCs w:val="32"/>
    </w:rPr>
  </w:style>
  <w:style w:type="paragraph" w:styleId="4">
    <w:name w:val="heading 3"/>
    <w:basedOn w:val="3"/>
    <w:next w:val="1"/>
    <w:link w:val="34"/>
    <w:unhideWhenUsed/>
    <w:qFormat/>
    <w:uiPriority w:val="0"/>
    <w:pPr>
      <w:numPr>
        <w:ilvl w:val="0"/>
        <w:numId w:val="1"/>
      </w:numPr>
      <w:jc w:val="left"/>
      <w:outlineLvl w:val="2"/>
    </w:pPr>
  </w:style>
  <w:style w:type="character" w:default="1" w:styleId="25">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5">
    <w:name w:val="toc 7"/>
    <w:basedOn w:val="1"/>
    <w:next w:val="1"/>
    <w:qFormat/>
    <w:uiPriority w:val="0"/>
    <w:pPr>
      <w:ind w:left="1440"/>
    </w:pPr>
    <w:rPr>
      <w:rFonts w:asciiTheme="minorHAnsi" w:hAnsiTheme="minorHAnsi" w:cstheme="minorHAnsi"/>
      <w:sz w:val="18"/>
      <w:szCs w:val="18"/>
    </w:rPr>
  </w:style>
  <w:style w:type="paragraph" w:styleId="6">
    <w:name w:val="caption"/>
    <w:basedOn w:val="1"/>
    <w:next w:val="1"/>
    <w:unhideWhenUsed/>
    <w:qFormat/>
    <w:uiPriority w:val="0"/>
    <w:rPr>
      <w:rFonts w:eastAsia="黑体" w:asciiTheme="majorHAnsi" w:hAnsiTheme="majorHAnsi" w:cstheme="majorBidi"/>
      <w:sz w:val="20"/>
      <w:szCs w:val="20"/>
    </w:rPr>
  </w:style>
  <w:style w:type="paragraph" w:styleId="7">
    <w:name w:val="annotation text"/>
    <w:basedOn w:val="1"/>
    <w:link w:val="42"/>
    <w:qFormat/>
    <w:uiPriority w:val="0"/>
  </w:style>
  <w:style w:type="paragraph" w:styleId="8">
    <w:name w:val="toc 5"/>
    <w:basedOn w:val="1"/>
    <w:next w:val="1"/>
    <w:qFormat/>
    <w:uiPriority w:val="0"/>
    <w:pPr>
      <w:ind w:left="960"/>
    </w:pPr>
    <w:rPr>
      <w:rFonts w:asciiTheme="minorHAnsi" w:hAnsiTheme="minorHAnsi" w:cstheme="minorHAnsi"/>
      <w:sz w:val="18"/>
      <w:szCs w:val="18"/>
    </w:rPr>
  </w:style>
  <w:style w:type="paragraph" w:styleId="9">
    <w:name w:val="toc 3"/>
    <w:basedOn w:val="1"/>
    <w:next w:val="1"/>
    <w:qFormat/>
    <w:uiPriority w:val="39"/>
    <w:pPr>
      <w:ind w:left="480"/>
    </w:pPr>
    <w:rPr>
      <w:rFonts w:asciiTheme="minorHAnsi" w:hAnsiTheme="minorHAnsi" w:cstheme="minorHAnsi"/>
      <w:i/>
      <w:iCs/>
      <w:sz w:val="20"/>
      <w:szCs w:val="20"/>
    </w:rPr>
  </w:style>
  <w:style w:type="paragraph" w:styleId="10">
    <w:name w:val="toc 8"/>
    <w:basedOn w:val="1"/>
    <w:next w:val="1"/>
    <w:qFormat/>
    <w:uiPriority w:val="0"/>
    <w:pPr>
      <w:ind w:left="1680"/>
    </w:pPr>
    <w:rPr>
      <w:rFonts w:asciiTheme="minorHAnsi" w:hAnsiTheme="minorHAnsi" w:cstheme="minorHAnsi"/>
      <w:sz w:val="18"/>
      <w:szCs w:val="18"/>
    </w:rPr>
  </w:style>
  <w:style w:type="paragraph" w:styleId="11">
    <w:name w:val="Balloon Text"/>
    <w:basedOn w:val="1"/>
    <w:link w:val="41"/>
    <w:qFormat/>
    <w:uiPriority w:val="0"/>
    <w:rPr>
      <w:sz w:val="18"/>
      <w:szCs w:val="18"/>
    </w:rPr>
  </w:style>
  <w:style w:type="paragraph" w:styleId="12">
    <w:name w:val="footer"/>
    <w:basedOn w:val="1"/>
    <w:qFormat/>
    <w:uiPriority w:val="0"/>
    <w:pPr>
      <w:tabs>
        <w:tab w:val="center" w:pos="4153"/>
        <w:tab w:val="right" w:pos="8306"/>
      </w:tabs>
      <w:snapToGrid w:val="0"/>
    </w:pPr>
    <w:rPr>
      <w:sz w:val="18"/>
    </w:rPr>
  </w:style>
  <w:style w:type="paragraph" w:styleId="1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4">
    <w:name w:val="toc 1"/>
    <w:basedOn w:val="1"/>
    <w:next w:val="1"/>
    <w:qFormat/>
    <w:uiPriority w:val="39"/>
    <w:pPr>
      <w:tabs>
        <w:tab w:val="right" w:leader="dot" w:pos="8296"/>
      </w:tabs>
      <w:spacing w:before="120" w:after="120"/>
      <w:jc w:val="center"/>
    </w:pPr>
    <w:rPr>
      <w:rFonts w:asciiTheme="minorHAnsi" w:hAnsiTheme="minorHAnsi" w:cstheme="minorHAnsi"/>
      <w:b/>
      <w:bCs/>
      <w:caps/>
      <w:sz w:val="20"/>
      <w:szCs w:val="20"/>
    </w:rPr>
  </w:style>
  <w:style w:type="paragraph" w:styleId="15">
    <w:name w:val="toc 4"/>
    <w:basedOn w:val="1"/>
    <w:next w:val="1"/>
    <w:qFormat/>
    <w:uiPriority w:val="0"/>
    <w:pPr>
      <w:ind w:left="720"/>
    </w:pPr>
    <w:rPr>
      <w:rFonts w:asciiTheme="minorHAnsi" w:hAnsiTheme="minorHAnsi" w:cstheme="minorHAnsi"/>
      <w:sz w:val="18"/>
      <w:szCs w:val="18"/>
    </w:rPr>
  </w:style>
  <w:style w:type="paragraph" w:styleId="16">
    <w:name w:val="toc 6"/>
    <w:basedOn w:val="1"/>
    <w:next w:val="1"/>
    <w:qFormat/>
    <w:uiPriority w:val="0"/>
    <w:pPr>
      <w:ind w:left="1200"/>
    </w:pPr>
    <w:rPr>
      <w:rFonts w:asciiTheme="minorHAnsi" w:hAnsiTheme="minorHAnsi" w:cstheme="minorHAnsi"/>
      <w:sz w:val="18"/>
      <w:szCs w:val="18"/>
    </w:rPr>
  </w:style>
  <w:style w:type="paragraph" w:styleId="17">
    <w:name w:val="table of figures"/>
    <w:basedOn w:val="1"/>
    <w:next w:val="1"/>
    <w:qFormat/>
    <w:uiPriority w:val="99"/>
    <w:pPr>
      <w:ind w:left="200" w:leftChars="200" w:hanging="200" w:hangingChars="200"/>
    </w:pPr>
  </w:style>
  <w:style w:type="paragraph" w:styleId="18">
    <w:name w:val="toc 2"/>
    <w:basedOn w:val="1"/>
    <w:next w:val="1"/>
    <w:qFormat/>
    <w:uiPriority w:val="39"/>
    <w:pPr>
      <w:ind w:left="240"/>
    </w:pPr>
    <w:rPr>
      <w:rFonts w:asciiTheme="minorHAnsi" w:hAnsiTheme="minorHAnsi" w:cstheme="minorHAnsi"/>
      <w:smallCaps/>
      <w:sz w:val="20"/>
      <w:szCs w:val="20"/>
    </w:rPr>
  </w:style>
  <w:style w:type="paragraph" w:styleId="19">
    <w:name w:val="toc 9"/>
    <w:basedOn w:val="1"/>
    <w:next w:val="1"/>
    <w:qFormat/>
    <w:uiPriority w:val="0"/>
    <w:pPr>
      <w:ind w:left="1920"/>
    </w:pPr>
    <w:rPr>
      <w:rFonts w:asciiTheme="minorHAnsi" w:hAnsiTheme="minorHAnsi" w:cstheme="minorHAnsi"/>
      <w:sz w:val="18"/>
      <w:szCs w:val="18"/>
    </w:rPr>
  </w:style>
  <w:style w:type="paragraph" w:styleId="20">
    <w:name w:val="Normal (Web)"/>
    <w:basedOn w:val="1"/>
    <w:qFormat/>
    <w:uiPriority w:val="0"/>
    <w:rPr>
      <w:rFonts w:ascii="Calibri" w:hAnsi="Calibri" w:cs="Times New Roman"/>
    </w:rPr>
  </w:style>
  <w:style w:type="paragraph" w:styleId="21">
    <w:name w:val="Title"/>
    <w:basedOn w:val="1"/>
    <w:next w:val="1"/>
    <w:link w:val="36"/>
    <w:qFormat/>
    <w:uiPriority w:val="0"/>
    <w:pPr>
      <w:spacing w:before="240" w:after="60"/>
      <w:jc w:val="center"/>
      <w:outlineLvl w:val="0"/>
    </w:pPr>
    <w:rPr>
      <w:rFonts w:asciiTheme="majorHAnsi" w:hAnsiTheme="majorHAnsi" w:eastAsiaTheme="majorEastAsia" w:cstheme="majorBidi"/>
      <w:b/>
      <w:bCs/>
      <w:sz w:val="32"/>
      <w:szCs w:val="32"/>
    </w:rPr>
  </w:style>
  <w:style w:type="paragraph" w:styleId="22">
    <w:name w:val="annotation subject"/>
    <w:basedOn w:val="7"/>
    <w:next w:val="7"/>
    <w:link w:val="43"/>
    <w:qFormat/>
    <w:uiPriority w:val="0"/>
    <w:rPr>
      <w:b/>
      <w:bCs/>
    </w:rPr>
  </w:style>
  <w:style w:type="table" w:styleId="24">
    <w:name w:val="Table Grid"/>
    <w:basedOn w:val="23"/>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qFormat/>
    <w:uiPriority w:val="22"/>
    <w:rPr>
      <w:b/>
    </w:rPr>
  </w:style>
  <w:style w:type="character" w:styleId="27">
    <w:name w:val="FollowedHyperlink"/>
    <w:basedOn w:val="25"/>
    <w:qFormat/>
    <w:uiPriority w:val="0"/>
    <w:rPr>
      <w:color w:val="954F72" w:themeColor="followedHyperlink"/>
      <w:u w:val="single"/>
      <w14:textFill>
        <w14:solidFill>
          <w14:schemeClr w14:val="folHlink"/>
        </w14:solidFill>
      </w14:textFill>
    </w:rPr>
  </w:style>
  <w:style w:type="character" w:styleId="28">
    <w:name w:val="Hyperlink"/>
    <w:basedOn w:val="25"/>
    <w:qFormat/>
    <w:uiPriority w:val="99"/>
    <w:rPr>
      <w:color w:val="0000FF"/>
      <w:u w:val="single"/>
    </w:rPr>
  </w:style>
  <w:style w:type="character" w:styleId="29">
    <w:name w:val="annotation reference"/>
    <w:basedOn w:val="25"/>
    <w:qFormat/>
    <w:uiPriority w:val="0"/>
    <w:rPr>
      <w:sz w:val="21"/>
      <w:szCs w:val="21"/>
    </w:rPr>
  </w:style>
  <w:style w:type="character" w:customStyle="1" w:styleId="30">
    <w:name w:val="font91"/>
    <w:basedOn w:val="25"/>
    <w:qFormat/>
    <w:uiPriority w:val="0"/>
    <w:rPr>
      <w:rFonts w:ascii="Arial" w:hAnsi="Arial" w:cs="Arial"/>
      <w:color w:val="000000"/>
      <w:sz w:val="16"/>
      <w:szCs w:val="16"/>
      <w:u w:val="none"/>
    </w:rPr>
  </w:style>
  <w:style w:type="character" w:customStyle="1" w:styleId="31">
    <w:name w:val="font51"/>
    <w:basedOn w:val="25"/>
    <w:qFormat/>
    <w:uiPriority w:val="0"/>
    <w:rPr>
      <w:rFonts w:hint="eastAsia" w:ascii="宋体" w:hAnsi="宋体" w:eastAsia="宋体" w:cs="宋体"/>
      <w:color w:val="000000"/>
      <w:sz w:val="16"/>
      <w:szCs w:val="16"/>
      <w:u w:val="none"/>
    </w:rPr>
  </w:style>
  <w:style w:type="paragraph" w:customStyle="1" w:styleId="32">
    <w:name w:val="文字"/>
    <w:qFormat/>
    <w:uiPriority w:val="0"/>
    <w:pPr>
      <w:adjustRightInd w:val="0"/>
      <w:snapToGrid w:val="0"/>
      <w:spacing w:line="360" w:lineRule="auto"/>
      <w:ind w:firstLine="560" w:firstLineChars="200"/>
    </w:pPr>
    <w:rPr>
      <w:rFonts w:ascii="仿宋_GB2312" w:hAnsi="仿宋_GB2312" w:eastAsia="仿宋_GB2312" w:cs="仿宋_GB2312"/>
      <w:bCs/>
      <w:kern w:val="44"/>
      <w:sz w:val="28"/>
      <w:szCs w:val="28"/>
      <w:lang w:val="en-US" w:eastAsia="zh-CN" w:bidi="ar-SA"/>
    </w:rPr>
  </w:style>
  <w:style w:type="paragraph" w:styleId="33">
    <w:name w:val="List Paragraph"/>
    <w:basedOn w:val="1"/>
    <w:unhideWhenUsed/>
    <w:qFormat/>
    <w:uiPriority w:val="99"/>
    <w:pPr>
      <w:ind w:firstLine="420" w:firstLineChars="200"/>
    </w:pPr>
  </w:style>
  <w:style w:type="character" w:customStyle="1" w:styleId="34">
    <w:name w:val="标题 3 字符"/>
    <w:link w:val="4"/>
    <w:semiHidden/>
    <w:qFormat/>
    <w:uiPriority w:val="0"/>
    <w:rPr>
      <w:rFonts w:ascii="仿宋_GB2312" w:hAnsi="仿宋_GB2312" w:eastAsia="仿宋_GB2312" w:cs="仿宋_GB2312"/>
      <w:b/>
      <w:bCs/>
      <w:sz w:val="32"/>
      <w:szCs w:val="32"/>
      <w:lang w:val="en-US" w:eastAsia="zh-CN" w:bidi="ar-SA"/>
    </w:rPr>
  </w:style>
  <w:style w:type="character" w:customStyle="1" w:styleId="35">
    <w:name w:val="未处理的提及1"/>
    <w:basedOn w:val="25"/>
    <w:semiHidden/>
    <w:unhideWhenUsed/>
    <w:qFormat/>
    <w:uiPriority w:val="99"/>
    <w:rPr>
      <w:color w:val="605E5C"/>
      <w:shd w:val="clear" w:color="auto" w:fill="E1DFDD"/>
    </w:rPr>
  </w:style>
  <w:style w:type="character" w:customStyle="1" w:styleId="36">
    <w:name w:val="标题 字符"/>
    <w:basedOn w:val="25"/>
    <w:link w:val="21"/>
    <w:qFormat/>
    <w:uiPriority w:val="0"/>
    <w:rPr>
      <w:rFonts w:asciiTheme="majorHAnsi" w:hAnsiTheme="majorHAnsi" w:eastAsiaTheme="majorEastAsia" w:cstheme="majorBidi"/>
      <w:b/>
      <w:bCs/>
      <w:sz w:val="32"/>
      <w:szCs w:val="32"/>
    </w:rPr>
  </w:style>
  <w:style w:type="character" w:customStyle="1" w:styleId="37">
    <w:name w:val="不明显强调1"/>
    <w:basedOn w:val="25"/>
    <w:qFormat/>
    <w:uiPriority w:val="19"/>
    <w:rPr>
      <w:i/>
      <w:iCs/>
      <w:color w:val="404040" w:themeColor="text1" w:themeTint="BF"/>
      <w14:textFill>
        <w14:solidFill>
          <w14:schemeClr w14:val="tx1">
            <w14:lumMod w14:val="75000"/>
            <w14:lumOff w14:val="25000"/>
          </w14:schemeClr>
        </w14:solidFill>
      </w14:textFill>
    </w:rPr>
  </w:style>
  <w:style w:type="paragraph" w:customStyle="1" w:styleId="38">
    <w:name w:val="表格文字"/>
    <w:basedOn w:val="32"/>
    <w:qFormat/>
    <w:uiPriority w:val="0"/>
    <w:pPr>
      <w:ind w:left="-2" w:leftChars="-1" w:firstLine="0" w:firstLineChars="0"/>
    </w:pPr>
  </w:style>
  <w:style w:type="character" w:customStyle="1" w:styleId="39">
    <w:name w:val="未处理的提及2"/>
    <w:basedOn w:val="25"/>
    <w:semiHidden/>
    <w:unhideWhenUsed/>
    <w:qFormat/>
    <w:uiPriority w:val="99"/>
    <w:rPr>
      <w:color w:val="605E5C"/>
      <w:shd w:val="clear" w:color="auto" w:fill="E1DFDD"/>
    </w:rPr>
  </w:style>
  <w:style w:type="table" w:customStyle="1" w:styleId="40">
    <w:name w:val="无格式表格 21"/>
    <w:basedOn w:val="23"/>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character" w:customStyle="1" w:styleId="41">
    <w:name w:val="批注框文本 字符"/>
    <w:basedOn w:val="25"/>
    <w:link w:val="11"/>
    <w:qFormat/>
    <w:uiPriority w:val="0"/>
    <w:rPr>
      <w:rFonts w:ascii="宋体" w:hAnsi="宋体" w:cs="宋体"/>
      <w:sz w:val="18"/>
      <w:szCs w:val="18"/>
    </w:rPr>
  </w:style>
  <w:style w:type="character" w:customStyle="1" w:styleId="42">
    <w:name w:val="批注文字 字符"/>
    <w:basedOn w:val="25"/>
    <w:link w:val="7"/>
    <w:qFormat/>
    <w:uiPriority w:val="0"/>
    <w:rPr>
      <w:rFonts w:ascii="宋体" w:hAnsi="宋体" w:cs="宋体"/>
      <w:sz w:val="24"/>
      <w:szCs w:val="24"/>
    </w:rPr>
  </w:style>
  <w:style w:type="character" w:customStyle="1" w:styleId="43">
    <w:name w:val="批注主题 字符"/>
    <w:basedOn w:val="42"/>
    <w:link w:val="22"/>
    <w:qFormat/>
    <w:uiPriority w:val="0"/>
    <w:rPr>
      <w:rFonts w:ascii="宋体" w:hAnsi="宋体" w:cs="宋体"/>
      <w:b/>
      <w:bCs/>
      <w:sz w:val="24"/>
      <w:szCs w:val="24"/>
    </w:rPr>
  </w:style>
  <w:style w:type="character" w:customStyle="1" w:styleId="44">
    <w:name w:val="标题 2 字符"/>
    <w:link w:val="3"/>
    <w:qFormat/>
    <w:uiPriority w:val="0"/>
    <w:rPr>
      <w:rFonts w:ascii="仿宋_GB2312" w:hAnsi="仿宋_GB2312" w:eastAsia="仿宋_GB2312" w:cs="仿宋_GB2312"/>
      <w:b/>
      <w:bCs/>
      <w:sz w:val="32"/>
      <w:szCs w:val="32"/>
      <w:lang w:val="en-US" w:eastAsia="zh-CN" w:bidi="ar-SA"/>
    </w:rPr>
  </w:style>
  <w:style w:type="table" w:customStyle="1" w:styleId="45">
    <w:name w:val="清单表 3 - 着色 11"/>
    <w:basedOn w:val="23"/>
    <w:qFormat/>
    <w:uiPriority w:val="48"/>
    <w:tblPr>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firstRow">
      <w:rPr>
        <w:b/>
        <w:bCs/>
        <w:color w:val="FFFFFF" w:themeColor="background1"/>
        <w14:textFill>
          <w14:solidFill>
            <w14:schemeClr w14:val="bg1"/>
          </w14:solidFill>
        </w14:textFill>
      </w:rPr>
      <w:tcPr>
        <w:shd w:val="clear" w:color="auto" w:fill="5B9BD5" w:themeFill="accent1"/>
      </w:tcPr>
    </w:tblStylePr>
    <w:tblStylePr w:type="lastRow">
      <w:rPr>
        <w:b/>
        <w:bCs/>
      </w:rPr>
      <w:tcPr>
        <w:tcBorders>
          <w:top w:val="double" w:color="5B9BD5" w:themeColor="accen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5B9BD5" w:themeColor="accent1" w:sz="4" w:space="0"/>
          <w:right w:val="single" w:color="5B9BD5" w:themeColor="accent1" w:sz="4" w:space="0"/>
        </w:tcBorders>
      </w:tcPr>
    </w:tblStylePr>
    <w:tblStylePr w:type="band1Horz">
      <w:tcPr>
        <w:tcBorders>
          <w:top w:val="single" w:color="5B9BD5" w:themeColor="accent1" w:sz="4" w:space="0"/>
          <w:bottom w:val="single" w:color="5B9BD5" w:themeColor="accen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5B9BD5" w:themeColor="accent1" w:sz="4" w:space="0"/>
          <w:left w:val="nil"/>
        </w:tcBorders>
      </w:tcPr>
    </w:tblStylePr>
    <w:tblStylePr w:type="swCell">
      <w:tcPr>
        <w:tcBorders>
          <w:top w:val="double" w:color="5B9BD5" w:themeColor="accent1" w:sz="4" w:space="0"/>
          <w:right w:val="nil"/>
        </w:tcBorders>
      </w:tcPr>
    </w:tblStylePr>
  </w:style>
  <w:style w:type="character" w:customStyle="1" w:styleId="46">
    <w:name w:val="Unresolved Mention"/>
    <w:basedOn w:val="2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B421170-282B-CB47-A1ED-672013FA7277}">
  <ds:schemaRefs/>
</ds:datastoreItem>
</file>

<file path=docProps/app.xml><?xml version="1.0" encoding="utf-8"?>
<Properties xmlns="http://schemas.openxmlformats.org/officeDocument/2006/extended-properties" xmlns:vt="http://schemas.openxmlformats.org/officeDocument/2006/docPropsVTypes">
  <Template>Normal.dotm</Template>
  <Company>集团总部</Company>
  <Pages>10</Pages>
  <Words>6651</Words>
  <Characters>7946</Characters>
  <Lines>55</Lines>
  <Paragraphs>15</Paragraphs>
  <TotalTime>9</TotalTime>
  <ScaleCrop>false</ScaleCrop>
  <LinksUpToDate>false</LinksUpToDate>
  <CharactersWithSpaces>8009</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2025-03-16T05:36:00Z</dcterms:created>
  <dc:creator>任毅</dc:creator>
  <cp:lastModifiedBy>唐虎</cp:lastModifiedBy>
  <dcterms:modified xsi:type="dcterms:W3CDTF">2025-06-13T08:41:22Z</dcterms:modified>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69B2ADB5A24B4895ACC8D6450E190A22</vt:lpwstr>
  </property>
  <property fmtid="{D5CDD505-2E9C-101B-9397-08002B2CF9AE}" pid="4" name="KSOTemplateDocerSaveRecord">
    <vt:lpwstr>eyJoZGlkIjoiYTAyYWMzNzNkNTc2NDA5ZjJhMjk3NmNmMDFlMDMyNGIiLCJ1c2VySWQiOiIzNTY3OTY0OTMifQ==</vt:lpwstr>
  </property>
</Properties>
</file>