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30334C">
      <w:pPr>
        <w:snapToGrid w:val="0"/>
        <w:spacing w:line="360" w:lineRule="auto"/>
        <w:ind w:firstLine="897"/>
        <w:jc w:val="both"/>
        <w:rPr>
          <w:rFonts w:ascii="黑体" w:hAnsi="黑体" w:eastAsia="黑体" w:cs="黑体"/>
          <w:b/>
          <w:bCs/>
          <w:sz w:val="44"/>
          <w:szCs w:val="52"/>
        </w:rPr>
      </w:pPr>
    </w:p>
    <w:p w14:paraId="1D726450">
      <w:pPr>
        <w:snapToGrid w:val="0"/>
        <w:spacing w:line="360" w:lineRule="auto"/>
        <w:ind w:firstLine="897"/>
        <w:jc w:val="both"/>
        <w:rPr>
          <w:rFonts w:ascii="黑体" w:hAnsi="黑体" w:eastAsia="黑体" w:cs="黑体"/>
          <w:b/>
          <w:bCs/>
          <w:sz w:val="44"/>
          <w:szCs w:val="52"/>
        </w:rPr>
      </w:pPr>
    </w:p>
    <w:p w14:paraId="189DC712">
      <w:pPr>
        <w:snapToGrid w:val="0"/>
        <w:spacing w:line="360" w:lineRule="auto"/>
        <w:ind w:firstLine="897"/>
        <w:jc w:val="both"/>
        <w:rPr>
          <w:rFonts w:ascii="黑体" w:hAnsi="黑体" w:eastAsia="黑体" w:cs="黑体"/>
          <w:b/>
          <w:bCs/>
          <w:sz w:val="44"/>
          <w:szCs w:val="52"/>
        </w:rPr>
      </w:pPr>
    </w:p>
    <w:p w14:paraId="3FC599BD">
      <w:pPr>
        <w:snapToGrid w:val="0"/>
        <w:spacing w:line="360" w:lineRule="auto"/>
        <w:ind w:firstLine="897"/>
        <w:jc w:val="both"/>
        <w:rPr>
          <w:rFonts w:ascii="黑体" w:hAnsi="黑体" w:eastAsia="黑体" w:cs="黑体"/>
          <w:b/>
          <w:bCs/>
          <w:sz w:val="44"/>
          <w:szCs w:val="52"/>
        </w:rPr>
      </w:pPr>
    </w:p>
    <w:p w14:paraId="00278D5D">
      <w:pPr>
        <w:snapToGrid w:val="0"/>
        <w:spacing w:line="360" w:lineRule="auto"/>
        <w:ind w:firstLine="897"/>
        <w:jc w:val="both"/>
        <w:rPr>
          <w:rFonts w:ascii="黑体" w:hAnsi="黑体" w:eastAsia="黑体" w:cs="黑体"/>
          <w:b/>
          <w:bCs/>
          <w:sz w:val="44"/>
          <w:szCs w:val="52"/>
        </w:rPr>
      </w:pPr>
    </w:p>
    <w:p w14:paraId="5D9F7C82">
      <w:pPr>
        <w:snapToGrid w:val="0"/>
        <w:spacing w:line="360" w:lineRule="auto"/>
        <w:ind w:firstLine="897"/>
        <w:jc w:val="both"/>
        <w:rPr>
          <w:rFonts w:ascii="黑体" w:hAnsi="黑体" w:eastAsia="黑体" w:cs="黑体"/>
          <w:b/>
          <w:bCs/>
          <w:sz w:val="44"/>
          <w:szCs w:val="52"/>
        </w:rPr>
      </w:pPr>
    </w:p>
    <w:p w14:paraId="6002290B">
      <w:pPr>
        <w:snapToGrid w:val="0"/>
        <w:spacing w:line="360" w:lineRule="auto"/>
        <w:ind w:firstLine="897"/>
        <w:jc w:val="center"/>
        <w:rPr>
          <w:rFonts w:ascii="黑体" w:hAnsi="黑体" w:eastAsia="黑体" w:cs="黑体"/>
          <w:b/>
          <w:bCs/>
          <w:sz w:val="44"/>
          <w:szCs w:val="52"/>
        </w:rPr>
      </w:pPr>
      <w:r>
        <w:rPr>
          <w:rFonts w:hint="eastAsia" w:ascii="黑体" w:hAnsi="黑体" w:eastAsia="黑体" w:cs="黑体"/>
          <w:b/>
          <w:bCs/>
          <w:sz w:val="44"/>
          <w:szCs w:val="52"/>
        </w:rPr>
        <w:t xml:space="preserve"> 每周政策速递</w:t>
      </w:r>
    </w:p>
    <w:p w14:paraId="49B54A9F">
      <w:pPr>
        <w:snapToGrid w:val="0"/>
        <w:spacing w:line="360" w:lineRule="auto"/>
        <w:ind w:firstLine="897"/>
        <w:jc w:val="center"/>
        <w:rPr>
          <w:rFonts w:ascii="黑体" w:hAnsi="黑体" w:eastAsia="黑体" w:cs="黑体"/>
          <w:b/>
          <w:bCs/>
          <w:sz w:val="44"/>
          <w:szCs w:val="52"/>
        </w:rPr>
      </w:pPr>
      <w:r>
        <w:rPr>
          <w:rFonts w:hint="eastAsia" w:ascii="黑体" w:hAnsi="黑体" w:eastAsia="黑体" w:cs="黑体"/>
          <w:b/>
          <w:bCs/>
          <w:sz w:val="44"/>
          <w:szCs w:val="52"/>
        </w:rPr>
        <w:t>（</w:t>
      </w:r>
      <w:r>
        <w:rPr>
          <w:rFonts w:hint="eastAsia" w:ascii="黑体" w:hAnsi="黑体" w:eastAsia="黑体" w:cs="黑体"/>
          <w:b/>
          <w:bCs/>
          <w:sz w:val="44"/>
          <w:szCs w:val="52"/>
          <w:lang w:val="en-US" w:eastAsia="zh-CN"/>
        </w:rPr>
        <w:t>7</w:t>
      </w:r>
      <w:r>
        <w:rPr>
          <w:rFonts w:hint="eastAsia" w:ascii="黑体" w:hAnsi="黑体" w:eastAsia="黑体" w:cs="黑体"/>
          <w:b/>
          <w:bCs/>
          <w:sz w:val="44"/>
          <w:szCs w:val="52"/>
        </w:rPr>
        <w:t>月</w:t>
      </w:r>
      <w:r>
        <w:rPr>
          <w:rFonts w:hint="eastAsia" w:ascii="黑体" w:hAnsi="黑体" w:eastAsia="黑体" w:cs="黑体"/>
          <w:b/>
          <w:bCs/>
          <w:sz w:val="44"/>
          <w:szCs w:val="52"/>
          <w:lang w:val="en-US" w:eastAsia="zh-CN"/>
        </w:rPr>
        <w:t>18</w:t>
      </w:r>
      <w:r>
        <w:rPr>
          <w:rFonts w:hint="eastAsia" w:ascii="黑体" w:hAnsi="黑体" w:eastAsia="黑体" w:cs="黑体"/>
          <w:b/>
          <w:bCs/>
          <w:sz w:val="44"/>
          <w:szCs w:val="52"/>
        </w:rPr>
        <w:t>日-</w:t>
      </w:r>
      <w:r>
        <w:rPr>
          <w:rFonts w:hint="eastAsia" w:ascii="黑体" w:hAnsi="黑体" w:eastAsia="黑体" w:cs="黑体"/>
          <w:b/>
          <w:bCs/>
          <w:sz w:val="44"/>
          <w:szCs w:val="52"/>
          <w:lang w:val="en-US" w:eastAsia="zh-CN"/>
        </w:rPr>
        <w:t>7</w:t>
      </w:r>
      <w:r>
        <w:rPr>
          <w:rFonts w:hint="eastAsia" w:ascii="黑体" w:hAnsi="黑体" w:eastAsia="黑体" w:cs="黑体"/>
          <w:b/>
          <w:bCs/>
          <w:sz w:val="44"/>
          <w:szCs w:val="52"/>
        </w:rPr>
        <w:t>月</w:t>
      </w:r>
      <w:r>
        <w:rPr>
          <w:rFonts w:hint="eastAsia" w:ascii="黑体" w:hAnsi="黑体" w:eastAsia="黑体" w:cs="黑体"/>
          <w:b/>
          <w:bCs/>
          <w:sz w:val="44"/>
          <w:szCs w:val="52"/>
          <w:lang w:val="en-US" w:eastAsia="zh-CN"/>
        </w:rPr>
        <w:t>25</w:t>
      </w:r>
      <w:r>
        <w:rPr>
          <w:rFonts w:hint="eastAsia" w:ascii="黑体" w:hAnsi="黑体" w:eastAsia="黑体" w:cs="黑体"/>
          <w:b/>
          <w:bCs/>
          <w:sz w:val="44"/>
          <w:szCs w:val="52"/>
        </w:rPr>
        <w:t>日）</w:t>
      </w:r>
    </w:p>
    <w:p w14:paraId="555F551E">
      <w:pPr>
        <w:snapToGrid w:val="0"/>
        <w:spacing w:line="360" w:lineRule="auto"/>
        <w:ind w:firstLine="720"/>
        <w:jc w:val="center"/>
        <w:rPr>
          <w:sz w:val="36"/>
          <w:szCs w:val="44"/>
        </w:rPr>
      </w:pPr>
    </w:p>
    <w:p w14:paraId="1BBA3328">
      <w:pPr>
        <w:snapToGrid w:val="0"/>
        <w:spacing w:line="360" w:lineRule="auto"/>
        <w:ind w:firstLine="720"/>
        <w:jc w:val="center"/>
        <w:rPr>
          <w:sz w:val="36"/>
          <w:szCs w:val="44"/>
        </w:rPr>
      </w:pPr>
    </w:p>
    <w:p w14:paraId="47ECA664">
      <w:pPr>
        <w:snapToGrid w:val="0"/>
        <w:spacing w:line="360" w:lineRule="auto"/>
        <w:ind w:firstLine="720"/>
        <w:jc w:val="center"/>
        <w:rPr>
          <w:sz w:val="36"/>
          <w:szCs w:val="44"/>
        </w:rPr>
      </w:pPr>
    </w:p>
    <w:p w14:paraId="621928D3">
      <w:pPr>
        <w:snapToGrid w:val="0"/>
        <w:spacing w:line="360" w:lineRule="auto"/>
        <w:ind w:firstLine="720"/>
        <w:jc w:val="center"/>
        <w:rPr>
          <w:sz w:val="36"/>
          <w:szCs w:val="44"/>
        </w:rPr>
      </w:pPr>
    </w:p>
    <w:p w14:paraId="172DDBCD">
      <w:pPr>
        <w:snapToGrid w:val="0"/>
        <w:spacing w:line="360" w:lineRule="auto"/>
        <w:jc w:val="center"/>
        <w:rPr>
          <w:sz w:val="28"/>
          <w:szCs w:val="36"/>
        </w:rPr>
      </w:pPr>
    </w:p>
    <w:p w14:paraId="4F7F58AE">
      <w:pPr>
        <w:snapToGrid w:val="0"/>
        <w:spacing w:line="360" w:lineRule="auto"/>
        <w:jc w:val="center"/>
        <w:rPr>
          <w:sz w:val="28"/>
          <w:szCs w:val="36"/>
        </w:rPr>
      </w:pPr>
    </w:p>
    <w:p w14:paraId="0B76DE71">
      <w:pPr>
        <w:snapToGrid w:val="0"/>
        <w:spacing w:line="360" w:lineRule="auto"/>
        <w:jc w:val="center"/>
        <w:rPr>
          <w:sz w:val="28"/>
          <w:szCs w:val="36"/>
        </w:rPr>
      </w:pPr>
    </w:p>
    <w:p w14:paraId="24C487AA">
      <w:pPr>
        <w:snapToGrid w:val="0"/>
        <w:spacing w:line="360" w:lineRule="auto"/>
        <w:jc w:val="center"/>
        <w:rPr>
          <w:sz w:val="28"/>
          <w:szCs w:val="36"/>
        </w:rPr>
      </w:pPr>
    </w:p>
    <w:p w14:paraId="012ECE2B">
      <w:pPr>
        <w:snapToGrid w:val="0"/>
        <w:spacing w:line="360" w:lineRule="auto"/>
        <w:jc w:val="center"/>
        <w:rPr>
          <w:sz w:val="28"/>
          <w:szCs w:val="36"/>
        </w:rPr>
      </w:pPr>
    </w:p>
    <w:p w14:paraId="50B34A26">
      <w:pPr>
        <w:snapToGrid w:val="0"/>
        <w:spacing w:line="360" w:lineRule="auto"/>
        <w:jc w:val="center"/>
        <w:rPr>
          <w:sz w:val="28"/>
          <w:szCs w:val="36"/>
        </w:rPr>
      </w:pPr>
    </w:p>
    <w:p w14:paraId="5125022F">
      <w:pPr>
        <w:snapToGrid w:val="0"/>
        <w:spacing w:line="360" w:lineRule="auto"/>
        <w:jc w:val="center"/>
        <w:rPr>
          <w:sz w:val="28"/>
          <w:szCs w:val="36"/>
        </w:rPr>
      </w:pPr>
    </w:p>
    <w:p w14:paraId="41EA7610">
      <w:pPr>
        <w:snapToGrid w:val="0"/>
        <w:spacing w:line="360" w:lineRule="auto"/>
        <w:ind w:firstLine="560"/>
        <w:jc w:val="both"/>
      </w:pPr>
    </w:p>
    <w:p w14:paraId="7E4363B5">
      <w:pPr>
        <w:pStyle w:val="2"/>
        <w:jc w:val="both"/>
        <w:sectPr>
          <w:pgSz w:w="11906" w:h="16838"/>
          <w:pgMar w:top="1440" w:right="1800" w:bottom="1440" w:left="1800" w:header="851" w:footer="992" w:gutter="0"/>
          <w:cols w:space="425" w:num="1"/>
          <w:docGrid w:type="lines" w:linePitch="312" w:charSpace="0"/>
        </w:sectPr>
      </w:pPr>
    </w:p>
    <w:p w14:paraId="043E20BD">
      <w:pPr>
        <w:pStyle w:val="2"/>
        <w:jc w:val="both"/>
      </w:pPr>
      <w:bookmarkStart w:id="0" w:name="_Toc19550"/>
      <w:r>
        <w:rPr>
          <w:rFonts w:hint="eastAsia"/>
        </w:rPr>
        <w:t>目录</w:t>
      </w:r>
      <w:bookmarkEnd w:id="0"/>
    </w:p>
    <w:p w14:paraId="4B9DE179">
      <w:pPr>
        <w:pStyle w:val="14"/>
        <w:tabs>
          <w:tab w:val="right" w:leader="dot" w:pos="8306"/>
          <w:tab w:val="clear" w:pos="8296"/>
        </w:tabs>
      </w:pPr>
      <w:r>
        <w:rPr>
          <w:rFonts w:ascii="微软雅黑" w:hAnsi="微软雅黑" w:eastAsia="微软雅黑"/>
          <w:sz w:val="21"/>
          <w:szCs w:val="21"/>
        </w:rPr>
        <w:fldChar w:fldCharType="begin"/>
      </w:r>
      <w:r>
        <w:rPr>
          <w:rFonts w:ascii="微软雅黑" w:hAnsi="微软雅黑" w:eastAsia="微软雅黑"/>
          <w:sz w:val="21"/>
          <w:szCs w:val="21"/>
        </w:rPr>
        <w:instrText xml:space="preserve"> TOC \o "1-3" \h \z \u </w:instrText>
      </w:r>
      <w:r>
        <w:rPr>
          <w:rFonts w:ascii="微软雅黑" w:hAnsi="微软雅黑" w:eastAsia="微软雅黑"/>
          <w:sz w:val="21"/>
          <w:szCs w:val="21"/>
        </w:rPr>
        <w:fldChar w:fldCharType="separate"/>
      </w:r>
      <w:r>
        <w:rPr>
          <w:rFonts w:ascii="微软雅黑" w:hAnsi="微软雅黑" w:eastAsia="微软雅黑"/>
          <w:szCs w:val="21"/>
        </w:rPr>
        <w:fldChar w:fldCharType="begin"/>
      </w:r>
      <w:r>
        <w:rPr>
          <w:rFonts w:ascii="微软雅黑" w:hAnsi="微软雅黑" w:eastAsia="微软雅黑"/>
          <w:szCs w:val="21"/>
        </w:rPr>
        <w:instrText xml:space="preserve"> HYPERLINK \l _Toc19550 </w:instrText>
      </w:r>
      <w:r>
        <w:rPr>
          <w:rFonts w:ascii="微软雅黑" w:hAnsi="微软雅黑" w:eastAsia="微软雅黑"/>
          <w:szCs w:val="21"/>
        </w:rPr>
        <w:fldChar w:fldCharType="separate"/>
      </w:r>
      <w:r>
        <w:rPr>
          <w:rFonts w:hint="eastAsia"/>
        </w:rPr>
        <w:t>目录</w:t>
      </w:r>
      <w:r>
        <w:tab/>
      </w:r>
      <w:r>
        <w:fldChar w:fldCharType="begin"/>
      </w:r>
      <w:r>
        <w:instrText xml:space="preserve"> PAGEREF _Toc19550 \h </w:instrText>
      </w:r>
      <w:r>
        <w:fldChar w:fldCharType="separate"/>
      </w:r>
      <w:r>
        <w:t>1</w:t>
      </w:r>
      <w:r>
        <w:fldChar w:fldCharType="end"/>
      </w:r>
      <w:r>
        <w:rPr>
          <w:rFonts w:ascii="微软雅黑" w:hAnsi="微软雅黑" w:eastAsia="微软雅黑"/>
          <w:szCs w:val="21"/>
        </w:rPr>
        <w:fldChar w:fldCharType="end"/>
      </w:r>
    </w:p>
    <w:p w14:paraId="0D26A7EE">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_Toc27856 </w:instrText>
      </w:r>
      <w:r>
        <w:rPr>
          <w:rFonts w:ascii="微软雅黑" w:hAnsi="微软雅黑" w:eastAsia="微软雅黑"/>
          <w:szCs w:val="28"/>
        </w:rPr>
        <w:fldChar w:fldCharType="separate"/>
      </w:r>
      <w:r>
        <w:rPr>
          <w:rFonts w:hint="eastAsia"/>
        </w:rPr>
        <w:t>重点.关注</w:t>
      </w:r>
      <w:r>
        <w:tab/>
      </w:r>
      <w:r>
        <w:fldChar w:fldCharType="begin"/>
      </w:r>
      <w:r>
        <w:instrText xml:space="preserve"> PAGEREF _Toc27856 \h </w:instrText>
      </w:r>
      <w:r>
        <w:fldChar w:fldCharType="separate"/>
      </w:r>
      <w:r>
        <w:t>2</w:t>
      </w:r>
      <w:r>
        <w:fldChar w:fldCharType="end"/>
      </w:r>
      <w:r>
        <w:rPr>
          <w:rFonts w:ascii="微软雅黑" w:hAnsi="微软雅黑" w:eastAsia="微软雅黑"/>
          <w:szCs w:val="28"/>
        </w:rPr>
        <w:fldChar w:fldCharType="end"/>
      </w:r>
    </w:p>
    <w:p w14:paraId="405529EC">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_Toc7341 </w:instrText>
      </w:r>
      <w:r>
        <w:rPr>
          <w:rFonts w:ascii="微软雅黑" w:hAnsi="微软雅黑" w:eastAsia="微软雅黑"/>
          <w:szCs w:val="28"/>
        </w:rPr>
        <w:fldChar w:fldCharType="separate"/>
      </w:r>
      <w:r>
        <w:rPr>
          <w:rFonts w:hint="default"/>
        </w:rPr>
        <w:t xml:space="preserve">(1) </w:t>
      </w:r>
      <w:r>
        <w:rPr>
          <w:rFonts w:hint="eastAsia"/>
        </w:rPr>
        <w:t>我国启动首批可信数据空间试点</w:t>
      </w:r>
      <w:r>
        <w:tab/>
      </w:r>
      <w:r>
        <w:fldChar w:fldCharType="begin"/>
      </w:r>
      <w:r>
        <w:instrText xml:space="preserve"> PAGEREF _Toc7341 \h </w:instrText>
      </w:r>
      <w:r>
        <w:fldChar w:fldCharType="separate"/>
      </w:r>
      <w:r>
        <w:t>2</w:t>
      </w:r>
      <w:r>
        <w:fldChar w:fldCharType="end"/>
      </w:r>
      <w:r>
        <w:rPr>
          <w:rFonts w:ascii="微软雅黑" w:hAnsi="微软雅黑" w:eastAsia="微软雅黑"/>
          <w:szCs w:val="28"/>
        </w:rPr>
        <w:fldChar w:fldCharType="end"/>
      </w:r>
    </w:p>
    <w:p w14:paraId="3E1C412C">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_Toc7274 </w:instrText>
      </w:r>
      <w:r>
        <w:rPr>
          <w:rFonts w:ascii="微软雅黑" w:hAnsi="微软雅黑" w:eastAsia="微软雅黑"/>
          <w:szCs w:val="28"/>
        </w:rPr>
        <w:fldChar w:fldCharType="separate"/>
      </w:r>
      <w:r>
        <w:rPr>
          <w:rFonts w:hint="default"/>
        </w:rPr>
        <w:t xml:space="preserve">(2) </w:t>
      </w:r>
      <w:r>
        <w:rPr>
          <w:rFonts w:hint="eastAsia"/>
        </w:rPr>
        <w:t>2025年中央预算内投资已基本下达完毕</w:t>
      </w:r>
      <w:r>
        <w:tab/>
      </w:r>
      <w:r>
        <w:fldChar w:fldCharType="begin"/>
      </w:r>
      <w:r>
        <w:instrText xml:space="preserve"> PAGEREF _Toc7274 \h </w:instrText>
      </w:r>
      <w:r>
        <w:fldChar w:fldCharType="separate"/>
      </w:r>
      <w:r>
        <w:t>2</w:t>
      </w:r>
      <w:r>
        <w:fldChar w:fldCharType="end"/>
      </w:r>
      <w:r>
        <w:rPr>
          <w:rFonts w:ascii="微软雅黑" w:hAnsi="微软雅黑" w:eastAsia="微软雅黑"/>
          <w:szCs w:val="28"/>
        </w:rPr>
        <w:fldChar w:fldCharType="end"/>
      </w:r>
    </w:p>
    <w:p w14:paraId="00C3CEDF">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_Toc26213 </w:instrText>
      </w:r>
      <w:r>
        <w:rPr>
          <w:rFonts w:ascii="微软雅黑" w:hAnsi="微软雅黑" w:eastAsia="微软雅黑"/>
          <w:szCs w:val="28"/>
        </w:rPr>
        <w:fldChar w:fldCharType="separate"/>
      </w:r>
      <w:r>
        <w:rPr>
          <w:rFonts w:hint="eastAsia"/>
        </w:rPr>
        <w:t>政策.速递</w:t>
      </w:r>
      <w:r>
        <w:tab/>
      </w:r>
      <w:r>
        <w:fldChar w:fldCharType="begin"/>
      </w:r>
      <w:r>
        <w:instrText xml:space="preserve"> PAGEREF _Toc26213 \h </w:instrText>
      </w:r>
      <w:r>
        <w:fldChar w:fldCharType="separate"/>
      </w:r>
      <w:r>
        <w:t>2</w:t>
      </w:r>
      <w:r>
        <w:fldChar w:fldCharType="end"/>
      </w:r>
      <w:r>
        <w:rPr>
          <w:rFonts w:ascii="微软雅黑" w:hAnsi="微软雅黑" w:eastAsia="微软雅黑"/>
          <w:szCs w:val="28"/>
        </w:rPr>
        <w:fldChar w:fldCharType="end"/>
      </w:r>
    </w:p>
    <w:p w14:paraId="4436B865">
      <w:pPr>
        <w:pStyle w:val="18"/>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_Toc1865 </w:instrText>
      </w:r>
      <w:r>
        <w:rPr>
          <w:rFonts w:ascii="微软雅黑" w:hAnsi="微软雅黑" w:eastAsia="微软雅黑"/>
          <w:szCs w:val="28"/>
        </w:rPr>
        <w:fldChar w:fldCharType="separate"/>
      </w:r>
      <w:r>
        <w:rPr>
          <w:rFonts w:hint="eastAsia"/>
        </w:rPr>
        <w:t>中央</w:t>
      </w:r>
      <w:r>
        <w:tab/>
      </w:r>
      <w:r>
        <w:fldChar w:fldCharType="begin"/>
      </w:r>
      <w:r>
        <w:instrText xml:space="preserve"> PAGEREF _Toc1865 \h </w:instrText>
      </w:r>
      <w:r>
        <w:fldChar w:fldCharType="separate"/>
      </w:r>
      <w:r>
        <w:t>2</w:t>
      </w:r>
      <w:r>
        <w:fldChar w:fldCharType="end"/>
      </w:r>
      <w:r>
        <w:rPr>
          <w:rFonts w:ascii="微软雅黑" w:hAnsi="微软雅黑" w:eastAsia="微软雅黑"/>
          <w:szCs w:val="28"/>
        </w:rPr>
        <w:fldChar w:fldCharType="end"/>
      </w:r>
    </w:p>
    <w:p w14:paraId="4C7ED615">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_Toc22737 </w:instrText>
      </w:r>
      <w:r>
        <w:rPr>
          <w:rFonts w:ascii="微软雅黑" w:hAnsi="微软雅黑" w:eastAsia="微软雅黑"/>
          <w:szCs w:val="28"/>
        </w:rPr>
        <w:fldChar w:fldCharType="separate"/>
      </w:r>
      <w:r>
        <w:rPr>
          <w:rFonts w:hint="default"/>
        </w:rPr>
        <w:t xml:space="preserve">(1) </w:t>
      </w:r>
      <w:r>
        <w:rPr>
          <w:rFonts w:hint="eastAsia"/>
        </w:rPr>
        <w:t>《农村公路条例》</w:t>
      </w:r>
      <w:r>
        <w:tab/>
      </w:r>
      <w:r>
        <w:fldChar w:fldCharType="begin"/>
      </w:r>
      <w:r>
        <w:instrText xml:space="preserve"> PAGEREF _Toc22737 \h </w:instrText>
      </w:r>
      <w:r>
        <w:fldChar w:fldCharType="separate"/>
      </w:r>
      <w:r>
        <w:t>2</w:t>
      </w:r>
      <w:r>
        <w:fldChar w:fldCharType="end"/>
      </w:r>
      <w:r>
        <w:rPr>
          <w:rFonts w:ascii="微软雅黑" w:hAnsi="微软雅黑" w:eastAsia="微软雅黑"/>
          <w:szCs w:val="28"/>
        </w:rPr>
        <w:fldChar w:fldCharType="end"/>
      </w:r>
    </w:p>
    <w:p w14:paraId="56A72216">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_Toc30097 </w:instrText>
      </w:r>
      <w:r>
        <w:rPr>
          <w:rFonts w:ascii="微软雅黑" w:hAnsi="微软雅黑" w:eastAsia="微软雅黑"/>
          <w:szCs w:val="28"/>
        </w:rPr>
        <w:fldChar w:fldCharType="separate"/>
      </w:r>
      <w:r>
        <w:rPr>
          <w:rFonts w:hint="default"/>
        </w:rPr>
        <w:t xml:space="preserve">(2) </w:t>
      </w:r>
      <w:r>
        <w:rPr>
          <w:rFonts w:hint="eastAsia"/>
        </w:rPr>
        <w:t>《关于实施鼓励外商投资企业境内再投资若干措施的通知》</w:t>
      </w:r>
      <w:r>
        <w:tab/>
      </w:r>
      <w:r>
        <w:fldChar w:fldCharType="begin"/>
      </w:r>
      <w:r>
        <w:instrText xml:space="preserve"> PAGEREF _Toc30097 \h </w:instrText>
      </w:r>
      <w:r>
        <w:fldChar w:fldCharType="separate"/>
      </w:r>
      <w:r>
        <w:t>3</w:t>
      </w:r>
      <w:r>
        <w:fldChar w:fldCharType="end"/>
      </w:r>
      <w:r>
        <w:rPr>
          <w:rFonts w:ascii="微软雅黑" w:hAnsi="微软雅黑" w:eastAsia="微软雅黑"/>
          <w:szCs w:val="28"/>
        </w:rPr>
        <w:fldChar w:fldCharType="end"/>
      </w:r>
    </w:p>
    <w:p w14:paraId="2236DBD0">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_Toc8570 </w:instrText>
      </w:r>
      <w:r>
        <w:rPr>
          <w:rFonts w:ascii="微软雅黑" w:hAnsi="微软雅黑" w:eastAsia="微软雅黑"/>
          <w:szCs w:val="28"/>
        </w:rPr>
        <w:fldChar w:fldCharType="separate"/>
      </w:r>
      <w:r>
        <w:rPr>
          <w:rFonts w:hint="default"/>
        </w:rPr>
        <w:t xml:space="preserve">(3) </w:t>
      </w:r>
      <w:r>
        <w:rPr>
          <w:rFonts w:hint="eastAsia"/>
        </w:rPr>
        <w:t>《关于印发2025年度国家工业节能降碳诊断服务任务清单的通知》</w:t>
      </w:r>
      <w:r>
        <w:tab/>
      </w:r>
      <w:r>
        <w:fldChar w:fldCharType="begin"/>
      </w:r>
      <w:r>
        <w:instrText xml:space="preserve"> PAGEREF _Toc8570 \h </w:instrText>
      </w:r>
      <w:r>
        <w:fldChar w:fldCharType="separate"/>
      </w:r>
      <w:r>
        <w:t>3</w:t>
      </w:r>
      <w:r>
        <w:fldChar w:fldCharType="end"/>
      </w:r>
      <w:r>
        <w:rPr>
          <w:rFonts w:ascii="微软雅黑" w:hAnsi="微软雅黑" w:eastAsia="微软雅黑"/>
          <w:szCs w:val="28"/>
        </w:rPr>
        <w:fldChar w:fldCharType="end"/>
      </w:r>
    </w:p>
    <w:p w14:paraId="61817477">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_Toc13493 </w:instrText>
      </w:r>
      <w:r>
        <w:rPr>
          <w:rFonts w:ascii="微软雅黑" w:hAnsi="微软雅黑" w:eastAsia="微软雅黑"/>
          <w:szCs w:val="28"/>
        </w:rPr>
        <w:fldChar w:fldCharType="separate"/>
      </w:r>
      <w:r>
        <w:rPr>
          <w:rFonts w:hint="default"/>
        </w:rPr>
        <w:t xml:space="preserve">(4) </w:t>
      </w:r>
      <w:r>
        <w:rPr>
          <w:rFonts w:hint="eastAsia"/>
        </w:rPr>
        <w:t>《安全应急装备产业分类指导目录（2025版）》</w:t>
      </w:r>
      <w:r>
        <w:tab/>
      </w:r>
      <w:r>
        <w:fldChar w:fldCharType="begin"/>
      </w:r>
      <w:r>
        <w:instrText xml:space="preserve"> PAGEREF _Toc13493 \h </w:instrText>
      </w:r>
      <w:r>
        <w:fldChar w:fldCharType="separate"/>
      </w:r>
      <w:r>
        <w:t>3</w:t>
      </w:r>
      <w:r>
        <w:fldChar w:fldCharType="end"/>
      </w:r>
      <w:r>
        <w:rPr>
          <w:rFonts w:ascii="微软雅黑" w:hAnsi="微软雅黑" w:eastAsia="微软雅黑"/>
          <w:szCs w:val="28"/>
        </w:rPr>
        <w:fldChar w:fldCharType="end"/>
      </w:r>
    </w:p>
    <w:p w14:paraId="466554B5">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_Toc7633 </w:instrText>
      </w:r>
      <w:r>
        <w:rPr>
          <w:rFonts w:ascii="微软雅黑" w:hAnsi="微软雅黑" w:eastAsia="微软雅黑"/>
          <w:szCs w:val="28"/>
        </w:rPr>
        <w:fldChar w:fldCharType="separate"/>
      </w:r>
      <w:r>
        <w:rPr>
          <w:rFonts w:hint="default"/>
        </w:rPr>
        <w:t xml:space="preserve">(5) </w:t>
      </w:r>
      <w:r>
        <w:rPr>
          <w:rFonts w:hint="eastAsia"/>
        </w:rPr>
        <w:t>《关于强化电动自行车强制性国家标准实施 加快新产品供应的意见》</w:t>
      </w:r>
      <w:r>
        <w:tab/>
      </w:r>
      <w:r>
        <w:fldChar w:fldCharType="begin"/>
      </w:r>
      <w:r>
        <w:instrText xml:space="preserve"> PAGEREF _Toc7633 \h </w:instrText>
      </w:r>
      <w:r>
        <w:fldChar w:fldCharType="separate"/>
      </w:r>
      <w:r>
        <w:t>4</w:t>
      </w:r>
      <w:r>
        <w:fldChar w:fldCharType="end"/>
      </w:r>
      <w:r>
        <w:rPr>
          <w:rFonts w:ascii="微软雅黑" w:hAnsi="微软雅黑" w:eastAsia="微软雅黑"/>
          <w:szCs w:val="28"/>
        </w:rPr>
        <w:fldChar w:fldCharType="end"/>
      </w:r>
    </w:p>
    <w:p w14:paraId="7C209F7D">
      <w:pPr>
        <w:pStyle w:val="18"/>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_Toc771 </w:instrText>
      </w:r>
      <w:r>
        <w:rPr>
          <w:rFonts w:ascii="微软雅黑" w:hAnsi="微软雅黑" w:eastAsia="微软雅黑"/>
          <w:szCs w:val="28"/>
        </w:rPr>
        <w:fldChar w:fldCharType="separate"/>
      </w:r>
      <w:r>
        <w:rPr>
          <w:rFonts w:hint="eastAsia"/>
        </w:rPr>
        <w:t>湖北省</w:t>
      </w:r>
      <w:r>
        <w:tab/>
      </w:r>
      <w:r>
        <w:fldChar w:fldCharType="begin"/>
      </w:r>
      <w:r>
        <w:instrText xml:space="preserve"> PAGEREF _Toc771 \h </w:instrText>
      </w:r>
      <w:r>
        <w:fldChar w:fldCharType="separate"/>
      </w:r>
      <w:r>
        <w:t>4</w:t>
      </w:r>
      <w:r>
        <w:fldChar w:fldCharType="end"/>
      </w:r>
      <w:r>
        <w:rPr>
          <w:rFonts w:ascii="微软雅黑" w:hAnsi="微软雅黑" w:eastAsia="微软雅黑"/>
          <w:szCs w:val="28"/>
        </w:rPr>
        <w:fldChar w:fldCharType="end"/>
      </w:r>
    </w:p>
    <w:p w14:paraId="0B805807">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_Toc5895 </w:instrText>
      </w:r>
      <w:r>
        <w:rPr>
          <w:rFonts w:ascii="微软雅黑" w:hAnsi="微软雅黑" w:eastAsia="微软雅黑"/>
          <w:szCs w:val="28"/>
        </w:rPr>
        <w:fldChar w:fldCharType="separate"/>
      </w:r>
      <w:r>
        <w:rPr>
          <w:rFonts w:hint="default"/>
        </w:rPr>
        <w:t xml:space="preserve">(1) </w:t>
      </w:r>
      <w:r>
        <w:rPr>
          <w:rFonts w:hint="eastAsia"/>
        </w:rPr>
        <w:t>《关于开展2025年度省级制造业创新中心培育工作的通知》</w:t>
      </w:r>
      <w:r>
        <w:tab/>
      </w:r>
      <w:r>
        <w:fldChar w:fldCharType="begin"/>
      </w:r>
      <w:r>
        <w:instrText xml:space="preserve"> PAGEREF _Toc5895 \h </w:instrText>
      </w:r>
      <w:r>
        <w:fldChar w:fldCharType="separate"/>
      </w:r>
      <w:r>
        <w:t>4</w:t>
      </w:r>
      <w:r>
        <w:fldChar w:fldCharType="end"/>
      </w:r>
      <w:r>
        <w:rPr>
          <w:rFonts w:ascii="微软雅黑" w:hAnsi="微软雅黑" w:eastAsia="微软雅黑"/>
          <w:szCs w:val="28"/>
        </w:rPr>
        <w:fldChar w:fldCharType="end"/>
      </w:r>
    </w:p>
    <w:p w14:paraId="377E1CAE">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_Toc24737 </w:instrText>
      </w:r>
      <w:r>
        <w:rPr>
          <w:rFonts w:ascii="微软雅黑" w:hAnsi="微软雅黑" w:eastAsia="微软雅黑"/>
          <w:szCs w:val="28"/>
        </w:rPr>
        <w:fldChar w:fldCharType="separate"/>
      </w:r>
      <w:r>
        <w:rPr>
          <w:rFonts w:hint="default"/>
        </w:rPr>
        <w:t xml:space="preserve">(2) </w:t>
      </w:r>
      <w:r>
        <w:rPr>
          <w:rFonts w:hint="eastAsia"/>
        </w:rPr>
        <w:t>《2025年湖北省绿色制造名单公示》</w:t>
      </w:r>
      <w:r>
        <w:tab/>
      </w:r>
      <w:r>
        <w:fldChar w:fldCharType="begin"/>
      </w:r>
      <w:r>
        <w:instrText xml:space="preserve"> PAGEREF _Toc24737 \h </w:instrText>
      </w:r>
      <w:r>
        <w:fldChar w:fldCharType="separate"/>
      </w:r>
      <w:r>
        <w:t>5</w:t>
      </w:r>
      <w:r>
        <w:fldChar w:fldCharType="end"/>
      </w:r>
      <w:r>
        <w:rPr>
          <w:rFonts w:ascii="微软雅黑" w:hAnsi="微软雅黑" w:eastAsia="微软雅黑"/>
          <w:szCs w:val="28"/>
        </w:rPr>
        <w:fldChar w:fldCharType="end"/>
      </w:r>
    </w:p>
    <w:p w14:paraId="42D17FA2">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_Toc16791 </w:instrText>
      </w:r>
      <w:r>
        <w:rPr>
          <w:rFonts w:ascii="微软雅黑" w:hAnsi="微软雅黑" w:eastAsia="微软雅黑"/>
          <w:szCs w:val="28"/>
        </w:rPr>
        <w:fldChar w:fldCharType="separate"/>
      </w:r>
      <w:r>
        <w:rPr>
          <w:rFonts w:hint="default"/>
        </w:rPr>
        <w:t xml:space="preserve">(3) </w:t>
      </w:r>
      <w:r>
        <w:rPr>
          <w:rFonts w:hint="eastAsia"/>
        </w:rPr>
        <w:t>《2025年省级创新型产业集群认定结果公示》</w:t>
      </w:r>
      <w:r>
        <w:tab/>
      </w:r>
      <w:r>
        <w:fldChar w:fldCharType="begin"/>
      </w:r>
      <w:r>
        <w:instrText xml:space="preserve"> PAGEREF _Toc16791 \h </w:instrText>
      </w:r>
      <w:r>
        <w:fldChar w:fldCharType="separate"/>
      </w:r>
      <w:r>
        <w:t>5</w:t>
      </w:r>
      <w:r>
        <w:fldChar w:fldCharType="end"/>
      </w:r>
      <w:r>
        <w:rPr>
          <w:rFonts w:ascii="微软雅黑" w:hAnsi="微软雅黑" w:eastAsia="微软雅黑"/>
          <w:szCs w:val="28"/>
        </w:rPr>
        <w:fldChar w:fldCharType="end"/>
      </w:r>
    </w:p>
    <w:p w14:paraId="1F827871">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_Toc14678 </w:instrText>
      </w:r>
      <w:r>
        <w:rPr>
          <w:rFonts w:ascii="微软雅黑" w:hAnsi="微软雅黑" w:eastAsia="微软雅黑"/>
          <w:szCs w:val="28"/>
        </w:rPr>
        <w:fldChar w:fldCharType="separate"/>
      </w:r>
      <w:r>
        <w:rPr>
          <w:rFonts w:hint="eastAsia"/>
        </w:rPr>
        <w:t>热点.资讯</w:t>
      </w:r>
      <w:r>
        <w:tab/>
      </w:r>
      <w:r>
        <w:fldChar w:fldCharType="begin"/>
      </w:r>
      <w:r>
        <w:instrText xml:space="preserve"> PAGEREF _Toc14678 \h </w:instrText>
      </w:r>
      <w:r>
        <w:fldChar w:fldCharType="separate"/>
      </w:r>
      <w:r>
        <w:t>5</w:t>
      </w:r>
      <w:r>
        <w:fldChar w:fldCharType="end"/>
      </w:r>
      <w:r>
        <w:rPr>
          <w:rFonts w:ascii="微软雅黑" w:hAnsi="微软雅黑" w:eastAsia="微软雅黑"/>
          <w:szCs w:val="28"/>
        </w:rPr>
        <w:fldChar w:fldCharType="end"/>
      </w:r>
    </w:p>
    <w:p w14:paraId="6708B81F">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_Toc18016 </w:instrText>
      </w:r>
      <w:r>
        <w:rPr>
          <w:rFonts w:ascii="微软雅黑" w:hAnsi="微软雅黑" w:eastAsia="微软雅黑"/>
          <w:szCs w:val="28"/>
        </w:rPr>
        <w:fldChar w:fldCharType="separate"/>
      </w:r>
      <w:r>
        <w:rPr>
          <w:rFonts w:hint="default"/>
        </w:rPr>
        <w:t xml:space="preserve">(1) </w:t>
      </w:r>
      <w:r>
        <w:rPr>
          <w:rFonts w:hint="eastAsia"/>
        </w:rPr>
        <w:t>海南自贸港全岛封关将于2025年12月18日正式启动</w:t>
      </w:r>
      <w:r>
        <w:tab/>
      </w:r>
      <w:r>
        <w:fldChar w:fldCharType="begin"/>
      </w:r>
      <w:r>
        <w:instrText xml:space="preserve"> PAGEREF _Toc18016 \h </w:instrText>
      </w:r>
      <w:r>
        <w:fldChar w:fldCharType="separate"/>
      </w:r>
      <w:r>
        <w:t>5</w:t>
      </w:r>
      <w:r>
        <w:fldChar w:fldCharType="end"/>
      </w:r>
      <w:r>
        <w:rPr>
          <w:rFonts w:ascii="微软雅黑" w:hAnsi="微软雅黑" w:eastAsia="微软雅黑"/>
          <w:szCs w:val="28"/>
        </w:rPr>
        <w:fldChar w:fldCharType="end"/>
      </w:r>
    </w:p>
    <w:p w14:paraId="30F4C8F2">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_Toc13792 </w:instrText>
      </w:r>
      <w:r>
        <w:rPr>
          <w:rFonts w:ascii="微软雅黑" w:hAnsi="微软雅黑" w:eastAsia="微软雅黑"/>
          <w:szCs w:val="28"/>
        </w:rPr>
        <w:fldChar w:fldCharType="separate"/>
      </w:r>
      <w:r>
        <w:rPr>
          <w:rFonts w:hint="default"/>
        </w:rPr>
        <w:t xml:space="preserve">(2) </w:t>
      </w:r>
      <w:r>
        <w:rPr>
          <w:rFonts w:hint="eastAsia"/>
        </w:rPr>
        <w:t>第七批新职业正式发布</w:t>
      </w:r>
      <w:r>
        <w:tab/>
      </w:r>
      <w:r>
        <w:fldChar w:fldCharType="begin"/>
      </w:r>
      <w:r>
        <w:instrText xml:space="preserve"> PAGEREF _Toc13792 \h </w:instrText>
      </w:r>
      <w:r>
        <w:fldChar w:fldCharType="separate"/>
      </w:r>
      <w:r>
        <w:t>5</w:t>
      </w:r>
      <w:r>
        <w:fldChar w:fldCharType="end"/>
      </w:r>
      <w:r>
        <w:rPr>
          <w:rFonts w:ascii="微软雅黑" w:hAnsi="微软雅黑" w:eastAsia="微软雅黑"/>
          <w:szCs w:val="28"/>
        </w:rPr>
        <w:fldChar w:fldCharType="end"/>
      </w:r>
    </w:p>
    <w:p w14:paraId="715D426A">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_Toc2359 </w:instrText>
      </w:r>
      <w:r>
        <w:rPr>
          <w:rFonts w:ascii="微软雅黑" w:hAnsi="微软雅黑" w:eastAsia="微软雅黑"/>
          <w:szCs w:val="28"/>
        </w:rPr>
        <w:fldChar w:fldCharType="separate"/>
      </w:r>
      <w:r>
        <w:rPr>
          <w:rFonts w:hint="default"/>
        </w:rPr>
        <w:t xml:space="preserve">(3) </w:t>
      </w:r>
      <w:r>
        <w:rPr>
          <w:rFonts w:hint="eastAsia"/>
        </w:rPr>
        <w:t>中国电信、中国移动、中国联通、中国广电发布“明白办、放心用”服务承诺</w:t>
      </w:r>
      <w:r>
        <w:tab/>
      </w:r>
      <w:r>
        <w:fldChar w:fldCharType="begin"/>
      </w:r>
      <w:r>
        <w:instrText xml:space="preserve"> PAGEREF _Toc2359 \h </w:instrText>
      </w:r>
      <w:r>
        <w:fldChar w:fldCharType="separate"/>
      </w:r>
      <w:r>
        <w:t>6</w:t>
      </w:r>
      <w:r>
        <w:fldChar w:fldCharType="end"/>
      </w:r>
      <w:r>
        <w:rPr>
          <w:rFonts w:ascii="微软雅黑" w:hAnsi="微软雅黑" w:eastAsia="微软雅黑"/>
          <w:szCs w:val="28"/>
        </w:rPr>
        <w:fldChar w:fldCharType="end"/>
      </w:r>
    </w:p>
    <w:p w14:paraId="04CAE371">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_Toc14494 </w:instrText>
      </w:r>
      <w:r>
        <w:rPr>
          <w:rFonts w:ascii="微软雅黑" w:hAnsi="微软雅黑" w:eastAsia="微软雅黑"/>
          <w:szCs w:val="28"/>
        </w:rPr>
        <w:fldChar w:fldCharType="separate"/>
      </w:r>
      <w:r>
        <w:rPr>
          <w:rFonts w:hint="default"/>
        </w:rPr>
        <w:t xml:space="preserve">(4) </w:t>
      </w:r>
      <w:r>
        <w:rPr>
          <w:rFonts w:hint="eastAsia"/>
        </w:rPr>
        <w:t>湖北8地入选2025赛迪百强县榜单</w:t>
      </w:r>
      <w:r>
        <w:tab/>
      </w:r>
      <w:r>
        <w:fldChar w:fldCharType="begin"/>
      </w:r>
      <w:r>
        <w:instrText xml:space="preserve"> PAGEREF _Toc14494 \h </w:instrText>
      </w:r>
      <w:r>
        <w:fldChar w:fldCharType="separate"/>
      </w:r>
      <w:r>
        <w:t>6</w:t>
      </w:r>
      <w:r>
        <w:fldChar w:fldCharType="end"/>
      </w:r>
      <w:r>
        <w:rPr>
          <w:rFonts w:ascii="微软雅黑" w:hAnsi="微软雅黑" w:eastAsia="微软雅黑"/>
          <w:szCs w:val="28"/>
        </w:rPr>
        <w:fldChar w:fldCharType="end"/>
      </w:r>
    </w:p>
    <w:p w14:paraId="1C0A0989">
      <w:pPr>
        <w:snapToGrid w:val="0"/>
        <w:spacing w:line="360" w:lineRule="auto"/>
        <w:jc w:val="both"/>
      </w:pPr>
      <w:r>
        <w:rPr>
          <w:rFonts w:ascii="微软雅黑" w:hAnsi="微软雅黑" w:eastAsia="微软雅黑"/>
          <w:szCs w:val="28"/>
        </w:rPr>
        <w:fldChar w:fldCharType="end"/>
      </w:r>
    </w:p>
    <w:p w14:paraId="187ABEAE">
      <w:pPr>
        <w:snapToGrid w:val="0"/>
        <w:spacing w:line="360" w:lineRule="auto"/>
        <w:jc w:val="both"/>
        <w:rPr>
          <w:rFonts w:ascii="方正小标宋简体" w:hAnsi="方正小标宋简体" w:eastAsia="方正小标宋简体" w:cs="方正小标宋简体"/>
          <w:b/>
          <w:kern w:val="44"/>
          <w:sz w:val="32"/>
          <w:szCs w:val="32"/>
        </w:rPr>
      </w:pPr>
      <w:r>
        <w:br w:type="page"/>
      </w:r>
    </w:p>
    <w:p w14:paraId="596FFC90">
      <w:pPr>
        <w:pStyle w:val="32"/>
        <w:jc w:val="both"/>
      </w:pPr>
    </w:p>
    <w:p w14:paraId="76D4E11A">
      <w:pPr>
        <w:pStyle w:val="2"/>
      </w:pPr>
      <w:bookmarkStart w:id="1" w:name="_Toc27856"/>
      <w:r>
        <w:rPr>
          <w:rFonts w:hint="eastAsia"/>
        </w:rPr>
        <w:t>重点.关注</w:t>
      </w:r>
      <w:bookmarkEnd w:id="1"/>
    </w:p>
    <w:p w14:paraId="48480C7C">
      <w:pPr>
        <w:pStyle w:val="4"/>
        <w:bidi w:val="0"/>
        <w:rPr>
          <w:rFonts w:hint="eastAsia"/>
        </w:rPr>
      </w:pPr>
      <w:bookmarkStart w:id="2" w:name="_Toc7341"/>
      <w:r>
        <w:rPr>
          <w:rFonts w:hint="eastAsia"/>
        </w:rPr>
        <w:t>我国启动首批可信数据空间试点</w:t>
      </w:r>
      <w:bookmarkEnd w:id="2"/>
    </w:p>
    <w:p w14:paraId="33E34575">
      <w:pPr>
        <w:rPr>
          <w:rFonts w:hint="eastAsia"/>
        </w:rPr>
      </w:pPr>
    </w:p>
    <w:p w14:paraId="74BA6761">
      <w:pPr>
        <w:rPr>
          <w:rFonts w:hint="eastAsia"/>
        </w:rPr>
      </w:pPr>
      <w:r>
        <w:rPr>
          <w:rFonts w:hint="eastAsia"/>
        </w:rPr>
        <w:t>7月17日消息，我国启动了首批可信数据空间试点</w:t>
      </w:r>
      <w:r>
        <w:rPr>
          <w:rFonts w:hint="eastAsia"/>
          <w:lang w:eastAsia="zh-CN"/>
        </w:rPr>
        <w:t>，</w:t>
      </w:r>
      <w:r>
        <w:rPr>
          <w:rFonts w:hint="eastAsia"/>
          <w:lang w:val="en-US" w:eastAsia="zh-CN"/>
        </w:rPr>
        <w:t>国家数据局</w:t>
      </w:r>
      <w:r>
        <w:rPr>
          <w:rFonts w:hint="eastAsia"/>
          <w:lang w:eastAsia="zh-CN"/>
        </w:rPr>
        <w:t>公布首批可信数据空间创新发展试点名单。63个试点项目入选，包括13个城市、22个行业和28个企业可信数据空间，这标志着我国在探索数据要素规模化流通利用新模式新路径上迈出关键性步伐</w:t>
      </w:r>
      <w:r>
        <w:rPr>
          <w:rFonts w:hint="eastAsia"/>
        </w:rPr>
        <w:t>，对于推动数据的可信流通和安全使用具有重要意义。可信数据空间试点的开展，有助于构建更加安全、可靠的数据环境，促进数据要素的高效配置和价值挖掘，为数字经济的高质量发展提供有力支撑。</w:t>
      </w:r>
    </w:p>
    <w:p w14:paraId="56FDCF65">
      <w:pPr>
        <w:rPr>
          <w:rFonts w:hint="eastAsia"/>
        </w:rPr>
      </w:pPr>
    </w:p>
    <w:p w14:paraId="6C8E513B">
      <w:pPr>
        <w:rPr>
          <w:rFonts w:hint="eastAsia"/>
        </w:rPr>
      </w:pPr>
      <w:r>
        <w:rPr>
          <w:rFonts w:hint="eastAsia"/>
        </w:rPr>
        <w:t>发文日期：2025年7月17日</w:t>
      </w:r>
    </w:p>
    <w:p w14:paraId="1001D1A1">
      <w:pPr>
        <w:rPr>
          <w:rFonts w:hint="eastAsia"/>
        </w:rPr>
      </w:pPr>
      <w:r>
        <w:rPr>
          <w:rFonts w:hint="eastAsia"/>
        </w:rPr>
        <w:t>发文单位：国家数据局</w:t>
      </w:r>
    </w:p>
    <w:p w14:paraId="72A57062">
      <w:pPr>
        <w:rPr>
          <w:rFonts w:hint="eastAsia"/>
        </w:rPr>
      </w:pPr>
      <w:r>
        <w:rPr>
          <w:rFonts w:hint="eastAsia"/>
        </w:rPr>
        <w:t>原文链接：https://mp.weixin.qq.com/s/xni9IRUQ20nw-UgvWQMVKg</w:t>
      </w:r>
    </w:p>
    <w:p w14:paraId="794A4C90">
      <w:pPr>
        <w:rPr>
          <w:rFonts w:hint="eastAsia"/>
        </w:rPr>
      </w:pPr>
    </w:p>
    <w:p w14:paraId="44B94BBE">
      <w:pPr>
        <w:pStyle w:val="4"/>
        <w:bidi w:val="0"/>
        <w:rPr>
          <w:rFonts w:hint="eastAsia"/>
        </w:rPr>
      </w:pPr>
      <w:bookmarkStart w:id="3" w:name="_Toc7274"/>
      <w:r>
        <w:rPr>
          <w:rFonts w:hint="eastAsia"/>
        </w:rPr>
        <w:t>2025年中央预算内投资已基本下达完毕</w:t>
      </w:r>
      <w:bookmarkEnd w:id="3"/>
    </w:p>
    <w:p w14:paraId="07675291">
      <w:pPr>
        <w:rPr>
          <w:rFonts w:hint="eastAsia"/>
        </w:rPr>
      </w:pPr>
    </w:p>
    <w:p w14:paraId="6A06FD17">
      <w:pPr>
        <w:rPr>
          <w:rFonts w:hint="eastAsia"/>
        </w:rPr>
      </w:pPr>
      <w:r>
        <w:rPr>
          <w:rFonts w:hint="eastAsia"/>
        </w:rPr>
        <w:t>截至目前，2025年中央预算内投资已基本下达完毕，重点支持现代化产业体系、现代化基础设施体系、新型城镇化和乡村全面振兴、区域协调发展和对外开放、绿色发展、社会民生、国家安全体系和能力现代化、灾后应急恢复等领域项目建设。今年以来，国家发展改革委在严把项目质量的前提下，提前谋划、提前布置，加紧履行计划下达程序，并重点做好以下工作。一是优化投向领域</w:t>
      </w:r>
      <w:r>
        <w:rPr>
          <w:rFonts w:hint="eastAsia"/>
          <w:lang w:eastAsia="zh-CN"/>
        </w:rPr>
        <w:t>，</w:t>
      </w:r>
      <w:r>
        <w:rPr>
          <w:rFonts w:hint="eastAsia"/>
        </w:rPr>
        <w:t>二是提高支持比例</w:t>
      </w:r>
      <w:r>
        <w:rPr>
          <w:rFonts w:hint="eastAsia"/>
          <w:lang w:eastAsia="zh-CN"/>
        </w:rPr>
        <w:t>，</w:t>
      </w:r>
      <w:r>
        <w:rPr>
          <w:rFonts w:hint="eastAsia"/>
        </w:rPr>
        <w:t>三是抓好项目建设。</w:t>
      </w:r>
    </w:p>
    <w:p w14:paraId="223AD027">
      <w:pPr>
        <w:rPr>
          <w:rFonts w:hint="eastAsia"/>
        </w:rPr>
      </w:pPr>
    </w:p>
    <w:p w14:paraId="368DFCC0">
      <w:pPr>
        <w:rPr>
          <w:rFonts w:hint="eastAsia"/>
        </w:rPr>
      </w:pPr>
      <w:r>
        <w:rPr>
          <w:rFonts w:hint="eastAsia"/>
        </w:rPr>
        <w:t>发文日期：2025年7月</w:t>
      </w:r>
      <w:r>
        <w:rPr>
          <w:rFonts w:hint="eastAsia"/>
          <w:lang w:val="en-US" w:eastAsia="zh-CN"/>
        </w:rPr>
        <w:t>24</w:t>
      </w:r>
      <w:r>
        <w:rPr>
          <w:rFonts w:hint="eastAsia"/>
        </w:rPr>
        <w:t>日</w:t>
      </w:r>
    </w:p>
    <w:p w14:paraId="457F9984">
      <w:pPr>
        <w:rPr>
          <w:rFonts w:hint="eastAsia"/>
        </w:rPr>
      </w:pPr>
      <w:r>
        <w:rPr>
          <w:rFonts w:hint="eastAsia"/>
        </w:rPr>
        <w:t>发文单位：国家发展改革委</w:t>
      </w:r>
    </w:p>
    <w:p w14:paraId="005B5A14">
      <w:pPr>
        <w:rPr>
          <w:rFonts w:hint="eastAsia"/>
        </w:rPr>
      </w:pPr>
      <w:r>
        <w:rPr>
          <w:rFonts w:hint="eastAsia"/>
        </w:rPr>
        <w:t>原文链接：https://mp.weixin.qq.com/s/fTHUGyOh4PnYs9Kz-kAejw</w:t>
      </w:r>
    </w:p>
    <w:p w14:paraId="5618C857">
      <w:pPr>
        <w:rPr>
          <w:rFonts w:hint="eastAsia"/>
        </w:rPr>
      </w:pPr>
    </w:p>
    <w:p w14:paraId="193E0DE6">
      <w:pPr>
        <w:rPr>
          <w:rFonts w:hint="eastAsia"/>
        </w:rPr>
      </w:pPr>
    </w:p>
    <w:p w14:paraId="44FD0766"/>
    <w:p w14:paraId="49D1BEB6">
      <w:pPr>
        <w:pStyle w:val="2"/>
      </w:pPr>
      <w:bookmarkStart w:id="4" w:name="_Toc26213"/>
      <w:r>
        <w:rPr>
          <w:rFonts w:hint="eastAsia"/>
        </w:rPr>
        <w:t>政策.速递</w:t>
      </w:r>
      <w:bookmarkEnd w:id="4"/>
    </w:p>
    <w:p w14:paraId="106D5697">
      <w:pPr>
        <w:pStyle w:val="3"/>
        <w:rPr>
          <w:rFonts w:hint="eastAsia"/>
        </w:rPr>
      </w:pPr>
      <w:bookmarkStart w:id="5" w:name="_Toc1865"/>
      <w:r>
        <w:rPr>
          <w:rFonts w:hint="eastAsia"/>
        </w:rPr>
        <w:t>中央</w:t>
      </w:r>
      <w:bookmarkEnd w:id="5"/>
      <w:r>
        <w:rPr>
          <w:rFonts w:hint="eastAsia"/>
        </w:rPr>
        <w:t xml:space="preserve"> </w:t>
      </w:r>
    </w:p>
    <w:p w14:paraId="0CEF7CAF">
      <w:pPr>
        <w:rPr>
          <w:rFonts w:hint="eastAsia"/>
        </w:rPr>
      </w:pPr>
    </w:p>
    <w:p w14:paraId="78736187">
      <w:pPr>
        <w:pStyle w:val="4"/>
        <w:numPr>
          <w:numId w:val="2"/>
        </w:numPr>
        <w:bidi w:val="0"/>
        <w:rPr>
          <w:rFonts w:hint="eastAsia"/>
        </w:rPr>
      </w:pPr>
      <w:bookmarkStart w:id="6" w:name="_Toc22737"/>
      <w:r>
        <w:rPr>
          <w:rFonts w:hint="eastAsia"/>
        </w:rPr>
        <w:t>《农村公路条例》</w:t>
      </w:r>
      <w:bookmarkEnd w:id="6"/>
    </w:p>
    <w:p w14:paraId="61470812">
      <w:pPr>
        <w:rPr>
          <w:rFonts w:hint="eastAsia"/>
        </w:rPr>
      </w:pPr>
    </w:p>
    <w:p w14:paraId="4D19A597">
      <w:pPr>
        <w:rPr>
          <w:rFonts w:hint="eastAsia"/>
        </w:rPr>
      </w:pPr>
      <w:r>
        <w:rPr>
          <w:rFonts w:hint="eastAsia"/>
        </w:rPr>
        <w:t>2025年6月27日，《农村公路条例》经国务院第62次常务会议通过，自2025年9月15日起施行。该条例旨在推动农村公路高质量发展，适应乡村振兴和农业农村现代化需求。条例明确农村公路包括县道、乡道和村道，是服务“三农”的公益性基础设施。县级政府对农村公路发展承担主体责任。在资金保障上，以财政投入为主、多渠道筹措为辅。建设方面，要提升路网质量，与国道、省道衔接，节约用地，部分项目可简化程序。管理上，要治理超限运输，设置电子监控设备等。养护工作按作业性质分类，鼓励专业单位参与和农村居民参与。同时要加强安全隐患排查、应急保障和宣传教育，促进农村客运、货运等融合发展，提升服务城乡经济循环能力，对履职不力者依法追责。</w:t>
      </w:r>
    </w:p>
    <w:p w14:paraId="4D587678">
      <w:pPr>
        <w:rPr>
          <w:rFonts w:hint="eastAsia"/>
        </w:rPr>
      </w:pPr>
    </w:p>
    <w:p w14:paraId="7F476C81">
      <w:pPr>
        <w:rPr>
          <w:rFonts w:hint="eastAsia"/>
        </w:rPr>
      </w:pPr>
      <w:r>
        <w:rPr>
          <w:rFonts w:hint="eastAsia"/>
        </w:rPr>
        <w:t>发文日期：2025年7月1</w:t>
      </w:r>
      <w:r>
        <w:rPr>
          <w:rFonts w:hint="eastAsia"/>
          <w:lang w:val="en-US" w:eastAsia="zh-CN"/>
        </w:rPr>
        <w:t>2</w:t>
      </w:r>
      <w:r>
        <w:rPr>
          <w:rFonts w:hint="eastAsia"/>
        </w:rPr>
        <w:t>日</w:t>
      </w:r>
    </w:p>
    <w:p w14:paraId="0F19779E">
      <w:pPr>
        <w:rPr>
          <w:rFonts w:hint="eastAsia"/>
        </w:rPr>
      </w:pPr>
      <w:r>
        <w:rPr>
          <w:rFonts w:hint="eastAsia"/>
        </w:rPr>
        <w:t>发文单位：国务院</w:t>
      </w:r>
    </w:p>
    <w:p w14:paraId="169FFCAA">
      <w:pPr>
        <w:rPr>
          <w:rFonts w:hint="eastAsia"/>
        </w:rPr>
      </w:pPr>
      <w:r>
        <w:rPr>
          <w:rFonts w:hint="eastAsia"/>
        </w:rPr>
        <w:t>原文链接：https://mp.weixin.qq.com/s/jnzlJBRBZKOO42wpc1K1Mg</w:t>
      </w:r>
    </w:p>
    <w:p w14:paraId="2470E903">
      <w:pPr>
        <w:rPr>
          <w:rFonts w:hint="eastAsia"/>
        </w:rPr>
      </w:pPr>
    </w:p>
    <w:p w14:paraId="101D30E9">
      <w:pPr>
        <w:pStyle w:val="4"/>
        <w:numPr>
          <w:numId w:val="2"/>
        </w:numPr>
        <w:bidi w:val="0"/>
        <w:rPr>
          <w:rFonts w:hint="eastAsia"/>
        </w:rPr>
      </w:pPr>
      <w:bookmarkStart w:id="7" w:name="_Toc30097"/>
      <w:r>
        <w:rPr>
          <w:rFonts w:hint="eastAsia"/>
        </w:rPr>
        <w:t>《关于实施鼓励外商投资企业境内再投资若干措施的通知》</w:t>
      </w:r>
      <w:bookmarkEnd w:id="7"/>
    </w:p>
    <w:p w14:paraId="0838ABE3">
      <w:pPr>
        <w:rPr>
          <w:rFonts w:hint="eastAsia"/>
        </w:rPr>
      </w:pPr>
    </w:p>
    <w:p w14:paraId="218ADA88">
      <w:pPr>
        <w:rPr>
          <w:rFonts w:hint="eastAsia"/>
        </w:rPr>
      </w:pPr>
      <w:r>
        <w:rPr>
          <w:rFonts w:hint="eastAsia"/>
        </w:rPr>
        <w:t>近日，经国务院同意，国家发展改革委等七部门联合印发《关于实施鼓励外商投资企业境内再投资若干措施的通知》。该《通知》是深化外商投资促进体制机制改革、吸引和利用外资的重要文件，有利于针对性开展工作，促进外商投资企业境内再投资。《通知》从强化项目服务保障、优化土地要素配置、简化办理流程、便利外汇资金使用、畅通融资渠道、创新金融产品服务、落实支持政策等多维度，助力外资企业在中国深耕发展。同时明确了鼓励措施适用情形，对开展投资信息报告试点、加强信息共享、优化评价方式等提出要求。下一步，相关部门将加强协调指导，推动措施落地见效。</w:t>
      </w:r>
    </w:p>
    <w:p w14:paraId="0BC34D54">
      <w:pPr>
        <w:rPr>
          <w:rFonts w:hint="eastAsia"/>
        </w:rPr>
      </w:pPr>
    </w:p>
    <w:p w14:paraId="66D13F33">
      <w:pPr>
        <w:rPr>
          <w:rFonts w:hint="eastAsia"/>
        </w:rPr>
      </w:pPr>
      <w:r>
        <w:rPr>
          <w:rFonts w:hint="eastAsia"/>
        </w:rPr>
        <w:t>发文日期：2025年7月18日</w:t>
      </w:r>
    </w:p>
    <w:p w14:paraId="67D13F02">
      <w:pPr>
        <w:rPr>
          <w:rFonts w:hint="eastAsia"/>
        </w:rPr>
      </w:pPr>
      <w:r>
        <w:rPr>
          <w:rFonts w:hint="eastAsia"/>
        </w:rPr>
        <w:t>发文单位：国家发展改革委、财政部、自然资源部、商务部、中国人民银行、税务总局、国家外汇局</w:t>
      </w:r>
    </w:p>
    <w:p w14:paraId="3C22B34A">
      <w:pPr>
        <w:rPr>
          <w:rFonts w:hint="eastAsia"/>
        </w:rPr>
      </w:pPr>
      <w:r>
        <w:rPr>
          <w:rFonts w:hint="eastAsia"/>
        </w:rPr>
        <w:t>原文链接：https://mp.weixin.qq.com/s/IsPGKGBdhHBhRl_W7_RE4Q</w:t>
      </w:r>
    </w:p>
    <w:p w14:paraId="4D9A2C53">
      <w:pPr>
        <w:rPr>
          <w:rFonts w:hint="eastAsia"/>
        </w:rPr>
      </w:pPr>
    </w:p>
    <w:p w14:paraId="6DF0D61A">
      <w:pPr>
        <w:pStyle w:val="4"/>
        <w:numPr>
          <w:numId w:val="2"/>
        </w:numPr>
        <w:bidi w:val="0"/>
        <w:rPr>
          <w:rFonts w:hint="eastAsia"/>
        </w:rPr>
      </w:pPr>
      <w:bookmarkStart w:id="8" w:name="_Toc8570"/>
      <w:r>
        <w:rPr>
          <w:rFonts w:hint="eastAsia"/>
        </w:rPr>
        <w:t>《关于印发2025年度国家工业节能降碳诊断服务任务清单的通知》</w:t>
      </w:r>
      <w:bookmarkEnd w:id="8"/>
    </w:p>
    <w:p w14:paraId="706C8B59">
      <w:pPr>
        <w:rPr>
          <w:rFonts w:hint="eastAsia"/>
        </w:rPr>
      </w:pPr>
    </w:p>
    <w:p w14:paraId="684473C9">
      <w:pPr>
        <w:rPr>
          <w:rFonts w:hint="eastAsia"/>
        </w:rPr>
      </w:pPr>
      <w:r>
        <w:rPr>
          <w:rFonts w:hint="eastAsia"/>
        </w:rPr>
        <w:t>工业和信息化部办公厅发布通知，按照《工业和信息化部办公厅关于组织开展2025年度工业节能降碳诊断服务工作的通知》要求，经省级工业和信息化主管部门、中央企业集团推荐以及公开招标等程序，确定25家中标机构为307家工业企业提供节能诊断、产品碳足迹核算、企业碳排放核算等服务。通知将任务清单印发给各省、自治区、直辖市及计划单列市、新疆生产建设兵团工业和信息化主管部门以及有关中央企业，要求其按照相关通知落实好年度工业节能降碳诊断服务任务。</w:t>
      </w:r>
    </w:p>
    <w:p w14:paraId="40C104C8">
      <w:pPr>
        <w:rPr>
          <w:rFonts w:hint="eastAsia"/>
        </w:rPr>
      </w:pPr>
    </w:p>
    <w:p w14:paraId="5B579932">
      <w:pPr>
        <w:rPr>
          <w:rFonts w:hint="eastAsia"/>
        </w:rPr>
      </w:pPr>
      <w:r>
        <w:rPr>
          <w:rFonts w:hint="eastAsia"/>
        </w:rPr>
        <w:t>发文日期：2025年7月21日</w:t>
      </w:r>
    </w:p>
    <w:p w14:paraId="51FA15AA">
      <w:pPr>
        <w:rPr>
          <w:rFonts w:hint="eastAsia"/>
        </w:rPr>
      </w:pPr>
      <w:r>
        <w:rPr>
          <w:rFonts w:hint="eastAsia"/>
        </w:rPr>
        <w:t>发文单位：工业和信息化部</w:t>
      </w:r>
    </w:p>
    <w:p w14:paraId="06AE54B8">
      <w:pPr>
        <w:rPr>
          <w:rFonts w:hint="eastAsia"/>
        </w:rPr>
      </w:pPr>
      <w:r>
        <w:rPr>
          <w:rFonts w:hint="eastAsia"/>
        </w:rPr>
        <w:t>原文链接：https://mp.weixin.qq.com/s/BFzU0B8f25PTZ9DUFOH-Yg</w:t>
      </w:r>
    </w:p>
    <w:p w14:paraId="21BF39AB">
      <w:pPr>
        <w:rPr>
          <w:rFonts w:hint="eastAsia"/>
        </w:rPr>
      </w:pPr>
    </w:p>
    <w:p w14:paraId="1E669FDC">
      <w:pPr>
        <w:pStyle w:val="4"/>
        <w:numPr>
          <w:numId w:val="2"/>
        </w:numPr>
        <w:bidi w:val="0"/>
        <w:rPr>
          <w:rFonts w:hint="eastAsia"/>
        </w:rPr>
      </w:pPr>
      <w:bookmarkStart w:id="9" w:name="_Toc13493"/>
      <w:r>
        <w:rPr>
          <w:rFonts w:hint="eastAsia"/>
        </w:rPr>
        <w:t>《安全应急装备产业分类指导目录（2025版）》</w:t>
      </w:r>
      <w:bookmarkEnd w:id="9"/>
    </w:p>
    <w:p w14:paraId="0254FFDA">
      <w:pPr>
        <w:rPr>
          <w:rFonts w:hint="eastAsia"/>
        </w:rPr>
      </w:pPr>
    </w:p>
    <w:p w14:paraId="75B13E2A">
      <w:pPr>
        <w:rPr>
          <w:rFonts w:hint="eastAsia"/>
        </w:rPr>
      </w:pPr>
      <w:r>
        <w:rPr>
          <w:rFonts w:hint="eastAsia"/>
        </w:rPr>
        <w:t xml:space="preserve">为贯彻党的二十大及二十届二中、三中全会精神，落实习近平总书记关于发展安全应急装备产业的重要指示，按照《中华人民共和国突发事件应对法》要求，工业和信息化部办公厅对安全应急装备产业分类指导目录进行修订并印发。通知要求各地工业和信息化主管部门依据该产业分类指导目录，鼓励安全应急装备产业集聚发展，结合地方资源禀赋优化产业布局，引导产业差异化、特色化发展，发挥引领带动作用。 </w:t>
      </w:r>
    </w:p>
    <w:p w14:paraId="6C3DF1BE">
      <w:pPr>
        <w:rPr>
          <w:rFonts w:hint="eastAsia"/>
        </w:rPr>
      </w:pPr>
    </w:p>
    <w:p w14:paraId="7D9EFECC">
      <w:pPr>
        <w:rPr>
          <w:rFonts w:hint="eastAsia"/>
        </w:rPr>
      </w:pPr>
      <w:r>
        <w:rPr>
          <w:rFonts w:hint="eastAsia"/>
        </w:rPr>
        <w:t>发文日期：2025年7月</w:t>
      </w:r>
      <w:r>
        <w:rPr>
          <w:rFonts w:hint="eastAsia"/>
          <w:lang w:val="en-US" w:eastAsia="zh-CN"/>
        </w:rPr>
        <w:t>22</w:t>
      </w:r>
      <w:r>
        <w:rPr>
          <w:rFonts w:hint="eastAsia"/>
        </w:rPr>
        <w:t>日</w:t>
      </w:r>
    </w:p>
    <w:p w14:paraId="63CEB56B">
      <w:pPr>
        <w:rPr>
          <w:rFonts w:hint="eastAsia"/>
        </w:rPr>
      </w:pPr>
      <w:r>
        <w:rPr>
          <w:rFonts w:hint="eastAsia"/>
        </w:rPr>
        <w:t>发文单位：工业和信息化部</w:t>
      </w:r>
    </w:p>
    <w:p w14:paraId="698EC8F3">
      <w:pPr>
        <w:rPr>
          <w:rFonts w:hint="eastAsia"/>
        </w:rPr>
      </w:pPr>
      <w:r>
        <w:rPr>
          <w:rFonts w:hint="eastAsia"/>
        </w:rPr>
        <w:t>原文链接：https://mp.weixin.qq.com/s/yhzqcBqGsdGDNXIwRrrWkw</w:t>
      </w:r>
    </w:p>
    <w:p w14:paraId="17CEEDBE"/>
    <w:p w14:paraId="56D784B8">
      <w:pPr>
        <w:pStyle w:val="4"/>
        <w:numPr>
          <w:numId w:val="2"/>
        </w:numPr>
        <w:bidi w:val="0"/>
        <w:rPr>
          <w:rFonts w:hint="eastAsia"/>
        </w:rPr>
      </w:pPr>
      <w:bookmarkStart w:id="10" w:name="_Toc7633"/>
      <w:r>
        <w:rPr>
          <w:rFonts w:hint="eastAsia"/>
        </w:rPr>
        <w:t>《关于强化电动自行车强制性国家标准实施 加快新产品供应的意见》</w:t>
      </w:r>
      <w:bookmarkEnd w:id="10"/>
    </w:p>
    <w:p w14:paraId="5CB4FDF2">
      <w:pPr>
        <w:rPr>
          <w:rFonts w:hint="eastAsia"/>
        </w:rPr>
      </w:pPr>
    </w:p>
    <w:p w14:paraId="2DE3140D">
      <w:pPr>
        <w:rPr>
          <w:rFonts w:hint="eastAsia"/>
        </w:rPr>
      </w:pPr>
      <w:r>
        <w:rPr>
          <w:rFonts w:hint="eastAsia"/>
        </w:rPr>
        <w:t>近日，工业和信息化部、公安部、市场监管总局、国家消防救援局等四部门联合印发《意见》，旨在贯彻国务院电动自行车安全隐患全链条整治部署，推动《电动自行车安全技术规范》落地，加快优质产品供给。《意见》从生产、认证、销售、登记、老旧车辆更新、消费者权益保护和长效机制建设七方面作出部署。实施《意见》有助于生产企业推出合规产品、加快检测认证调整、强化质量监管、做好登记衔接、发挥以旧换新效应和加强部门协同。下一步，工信部将协同有关部门深入落实部署，推进《意见》实施，保障产品供给，提升安全水平，推动行业高质量发展。</w:t>
      </w:r>
    </w:p>
    <w:p w14:paraId="35C2BB30">
      <w:pPr>
        <w:rPr>
          <w:rFonts w:hint="eastAsia"/>
        </w:rPr>
      </w:pPr>
    </w:p>
    <w:p w14:paraId="79EE4037">
      <w:pPr>
        <w:rPr>
          <w:rFonts w:hint="eastAsia"/>
        </w:rPr>
      </w:pPr>
      <w:r>
        <w:rPr>
          <w:rFonts w:hint="eastAsia"/>
        </w:rPr>
        <w:t>发文日期：2025年</w:t>
      </w:r>
      <w:r>
        <w:rPr>
          <w:rFonts w:hint="eastAsia"/>
          <w:lang w:val="en-US" w:eastAsia="zh-CN"/>
        </w:rPr>
        <w:t>7</w:t>
      </w:r>
      <w:r>
        <w:rPr>
          <w:rFonts w:hint="eastAsia"/>
        </w:rPr>
        <w:t>月</w:t>
      </w:r>
      <w:r>
        <w:rPr>
          <w:rFonts w:hint="eastAsia"/>
          <w:lang w:val="en-US" w:eastAsia="zh-CN"/>
        </w:rPr>
        <w:t>2</w:t>
      </w:r>
      <w:r>
        <w:rPr>
          <w:rFonts w:hint="eastAsia"/>
        </w:rPr>
        <w:t>4日</w:t>
      </w:r>
    </w:p>
    <w:p w14:paraId="0C3A6421">
      <w:pPr>
        <w:rPr>
          <w:rFonts w:hint="eastAsia"/>
        </w:rPr>
      </w:pPr>
      <w:r>
        <w:rPr>
          <w:rFonts w:hint="eastAsia"/>
        </w:rPr>
        <w:t>发文单位：工业和信息化部、公安部、市场监管总局、国家消防救援局</w:t>
      </w:r>
    </w:p>
    <w:p w14:paraId="520179E5">
      <w:pPr>
        <w:rPr>
          <w:rFonts w:hint="eastAsia"/>
        </w:rPr>
      </w:pPr>
      <w:r>
        <w:rPr>
          <w:rFonts w:hint="eastAsia"/>
        </w:rPr>
        <w:t>原文链接：https://mp.weixin.qq.com/s/eW0VawnjNg2c8VhPPBL6yw</w:t>
      </w:r>
    </w:p>
    <w:p w14:paraId="6ED8360A">
      <w:pPr>
        <w:rPr>
          <w:rFonts w:hint="eastAsia"/>
        </w:rPr>
      </w:pPr>
    </w:p>
    <w:p w14:paraId="7F27F86D">
      <w:pPr>
        <w:pStyle w:val="3"/>
        <w:rPr>
          <w:rFonts w:hint="eastAsia"/>
        </w:rPr>
      </w:pPr>
      <w:bookmarkStart w:id="11" w:name="_Toc771"/>
      <w:r>
        <w:rPr>
          <w:rFonts w:hint="eastAsia"/>
        </w:rPr>
        <w:t>湖北省</w:t>
      </w:r>
      <w:bookmarkEnd w:id="11"/>
    </w:p>
    <w:p w14:paraId="6862878C">
      <w:pPr>
        <w:rPr>
          <w:rFonts w:hint="eastAsia"/>
        </w:rPr>
      </w:pPr>
    </w:p>
    <w:p w14:paraId="6281F8B9">
      <w:pPr>
        <w:pStyle w:val="4"/>
        <w:numPr>
          <w:numId w:val="3"/>
        </w:numPr>
        <w:bidi w:val="0"/>
        <w:rPr>
          <w:rFonts w:hint="eastAsia"/>
        </w:rPr>
      </w:pPr>
      <w:bookmarkStart w:id="12" w:name="_Toc5895"/>
      <w:r>
        <w:rPr>
          <w:rFonts w:hint="eastAsia"/>
        </w:rPr>
        <w:t>《关于开展2025年度省级制造业创新中心培育工作的通知》</w:t>
      </w:r>
      <w:bookmarkEnd w:id="12"/>
    </w:p>
    <w:p w14:paraId="1EED21D2">
      <w:pPr>
        <w:rPr>
          <w:rFonts w:hint="eastAsia"/>
        </w:rPr>
      </w:pPr>
    </w:p>
    <w:p w14:paraId="5806BE40">
      <w:pPr>
        <w:rPr>
          <w:rFonts w:hint="eastAsia"/>
        </w:rPr>
      </w:pPr>
      <w:r>
        <w:rPr>
          <w:rFonts w:hint="eastAsia"/>
        </w:rPr>
        <w:t>为贯彻省委省政府推动科技创新与产业创新深度融合的部署，进一步打造省级制造业创新中心网络体系，省经信厅决定开展2025年度省级制造业创新中心培育工作。各地经信局需对照《湖北省制造业创新中心建设管理办法（2023年修订）》有关要求，围绕“51020”先进制造业产业集群发展需要，兼顾特色与支柱产业，遴选推荐有条件、有意愿的行业龙头企业，特别是产业链链主企业牵头培育。市州经信局要在2025年8月15日前报送推荐文件及培育建设方案。</w:t>
      </w:r>
    </w:p>
    <w:p w14:paraId="6D28BFDD">
      <w:pPr>
        <w:rPr>
          <w:rFonts w:hint="eastAsia"/>
        </w:rPr>
      </w:pPr>
    </w:p>
    <w:p w14:paraId="733C2E29">
      <w:pPr>
        <w:rPr>
          <w:rFonts w:hint="eastAsia"/>
        </w:rPr>
      </w:pPr>
      <w:r>
        <w:rPr>
          <w:rFonts w:hint="eastAsia"/>
        </w:rPr>
        <w:t>发文日期：2025年7月</w:t>
      </w:r>
      <w:r>
        <w:rPr>
          <w:rFonts w:hint="eastAsia"/>
          <w:lang w:val="en-US" w:eastAsia="zh-CN"/>
        </w:rPr>
        <w:t>21</w:t>
      </w:r>
      <w:r>
        <w:rPr>
          <w:rFonts w:hint="eastAsia"/>
        </w:rPr>
        <w:t>日</w:t>
      </w:r>
    </w:p>
    <w:p w14:paraId="77A40E45">
      <w:pPr>
        <w:rPr>
          <w:rFonts w:hint="eastAsia"/>
        </w:rPr>
      </w:pPr>
      <w:r>
        <w:rPr>
          <w:rFonts w:hint="eastAsia"/>
        </w:rPr>
        <w:t>发文单位：湖北省经济和信息化厅</w:t>
      </w:r>
    </w:p>
    <w:p w14:paraId="6BD6FF06">
      <w:pPr>
        <w:rPr>
          <w:rFonts w:hint="eastAsia"/>
        </w:rPr>
      </w:pPr>
      <w:r>
        <w:rPr>
          <w:rFonts w:hint="eastAsia"/>
        </w:rPr>
        <w:t>原文链接：https://mp.weixin.qq.com/s/BedOBfl_lG84Z2W87YRBSg</w:t>
      </w:r>
    </w:p>
    <w:p w14:paraId="29B578FB"/>
    <w:p w14:paraId="2342DDF7">
      <w:pPr>
        <w:pStyle w:val="4"/>
        <w:numPr>
          <w:numId w:val="3"/>
        </w:numPr>
        <w:bidi w:val="0"/>
        <w:rPr>
          <w:rFonts w:hint="eastAsia"/>
        </w:rPr>
      </w:pPr>
      <w:bookmarkStart w:id="13" w:name="_Toc24737"/>
      <w:r>
        <w:rPr>
          <w:rFonts w:hint="eastAsia"/>
        </w:rPr>
        <w:t>《2025年湖北省绿色制造名单公示》</w:t>
      </w:r>
      <w:bookmarkEnd w:id="13"/>
    </w:p>
    <w:p w14:paraId="2871951F">
      <w:pPr>
        <w:rPr>
          <w:rFonts w:hint="eastAsia"/>
        </w:rPr>
      </w:pPr>
    </w:p>
    <w:p w14:paraId="61DF3A72">
      <w:pPr>
        <w:rPr>
          <w:rFonts w:hint="eastAsia"/>
        </w:rPr>
      </w:pPr>
      <w:r>
        <w:rPr>
          <w:rFonts w:hint="eastAsia"/>
        </w:rPr>
        <w:t>根据湖北省绿色制造梯度培育及创建工作部署和规定，经自愿申报、市州推荐、专家评审等程序，现对拟列入2025年省级绿色制造名单的单位予以公示，名单涵盖绿色工厂290家、绿色供应链管理企业10家、绿色工业园区8家，。公示接受社会监督，如有异议，可在2025年7月21日至7月25日期间以书面形式实名反馈，并提交证明材料。</w:t>
      </w:r>
    </w:p>
    <w:p w14:paraId="7AD48CFF">
      <w:pPr>
        <w:rPr>
          <w:rFonts w:hint="eastAsia"/>
        </w:rPr>
      </w:pPr>
    </w:p>
    <w:p w14:paraId="28BCB63C">
      <w:pPr>
        <w:rPr>
          <w:rFonts w:hint="eastAsia"/>
        </w:rPr>
      </w:pPr>
      <w:r>
        <w:rPr>
          <w:rFonts w:hint="eastAsia"/>
        </w:rPr>
        <w:t>发文日期：2025年7月21日</w:t>
      </w:r>
    </w:p>
    <w:p w14:paraId="62050F7F">
      <w:pPr>
        <w:rPr>
          <w:rFonts w:hint="eastAsia"/>
        </w:rPr>
      </w:pPr>
      <w:r>
        <w:rPr>
          <w:rFonts w:hint="eastAsia"/>
        </w:rPr>
        <w:t>发文单位：湖北省经济和信息化厅</w:t>
      </w:r>
    </w:p>
    <w:p w14:paraId="1575C6FE">
      <w:pPr>
        <w:rPr>
          <w:rFonts w:hint="eastAsia"/>
        </w:rPr>
      </w:pPr>
      <w:r>
        <w:rPr>
          <w:rFonts w:hint="eastAsia"/>
        </w:rPr>
        <w:t>原文链接：https://mp.weixin.qq.com/s/k4p9EkVEzjcMaIeyyIS3iA</w:t>
      </w:r>
    </w:p>
    <w:p w14:paraId="19C52146">
      <w:pPr>
        <w:rPr>
          <w:rFonts w:hint="eastAsia"/>
        </w:rPr>
      </w:pPr>
    </w:p>
    <w:p w14:paraId="2D826B01">
      <w:pPr>
        <w:pStyle w:val="4"/>
        <w:numPr>
          <w:numId w:val="3"/>
        </w:numPr>
        <w:bidi w:val="0"/>
        <w:rPr>
          <w:rFonts w:hint="eastAsia"/>
        </w:rPr>
      </w:pPr>
      <w:bookmarkStart w:id="14" w:name="_Toc16791"/>
      <w:r>
        <w:rPr>
          <w:rFonts w:hint="eastAsia"/>
        </w:rPr>
        <w:t>《2025年省级创新型产业集群认定结果公示》</w:t>
      </w:r>
      <w:bookmarkEnd w:id="14"/>
    </w:p>
    <w:p w14:paraId="044077C2">
      <w:pPr>
        <w:rPr>
          <w:rFonts w:hint="eastAsia"/>
        </w:rPr>
      </w:pPr>
    </w:p>
    <w:p w14:paraId="0E61CA9A">
      <w:pPr>
        <w:rPr>
          <w:rFonts w:hint="eastAsia"/>
        </w:rPr>
      </w:pPr>
      <w:r>
        <w:rPr>
          <w:rFonts w:hint="eastAsia"/>
        </w:rPr>
        <w:t>根据《湖北省创新型产业集群管理办法》，省科技厅开展了2025年省级创新型产业集群认定工作，现对认定的9家省级创新型产业集群名单予以公示。若对公示内容有异议，需在公示之日起5个工作日内以书面形式向省科技厅反映。以单位名义反映的材料要加盖公章，以个人名义反映的需实名并附联系方式，匿名或无具体事实根据的情况反映不予受理。同时公布了异议受理电话、业务咨询电话及通讯地址。公示还附上了2025年省级创新型产业集群认定名单的查看方式。</w:t>
      </w:r>
    </w:p>
    <w:p w14:paraId="0E02BA98">
      <w:pPr>
        <w:rPr>
          <w:rFonts w:hint="eastAsia"/>
        </w:rPr>
      </w:pPr>
    </w:p>
    <w:p w14:paraId="199AFAD5">
      <w:pPr>
        <w:rPr>
          <w:rFonts w:hint="eastAsia"/>
        </w:rPr>
      </w:pPr>
      <w:r>
        <w:rPr>
          <w:rFonts w:hint="eastAsia"/>
        </w:rPr>
        <w:t>发文日期：2025年7月21日</w:t>
      </w:r>
    </w:p>
    <w:p w14:paraId="7C5A1CA4">
      <w:pPr>
        <w:rPr>
          <w:rFonts w:hint="eastAsia"/>
        </w:rPr>
      </w:pPr>
      <w:r>
        <w:rPr>
          <w:rFonts w:hint="eastAsia"/>
        </w:rPr>
        <w:t>发文单位：湖北省科技厅</w:t>
      </w:r>
    </w:p>
    <w:p w14:paraId="6D521F97">
      <w:pPr>
        <w:rPr>
          <w:rFonts w:hint="eastAsia"/>
        </w:rPr>
      </w:pPr>
      <w:r>
        <w:rPr>
          <w:rFonts w:hint="eastAsia"/>
        </w:rPr>
        <w:t>原文链接：https://mp.weixin.qq.com/s/A0vIeQFi69zkNxBDZ5DxVA</w:t>
      </w:r>
    </w:p>
    <w:p w14:paraId="381543AA">
      <w:pPr>
        <w:rPr>
          <w:rFonts w:hint="eastAsia"/>
        </w:rPr>
      </w:pPr>
    </w:p>
    <w:p w14:paraId="04C4D324">
      <w:pPr>
        <w:pStyle w:val="2"/>
        <w:rPr>
          <w:rFonts w:hint="eastAsia"/>
        </w:rPr>
      </w:pPr>
      <w:bookmarkStart w:id="15" w:name="_Toc14678"/>
      <w:r>
        <w:rPr>
          <w:rFonts w:hint="eastAsia"/>
        </w:rPr>
        <w:t>热点.资讯</w:t>
      </w:r>
      <w:bookmarkEnd w:id="15"/>
    </w:p>
    <w:p w14:paraId="71405F28"/>
    <w:p w14:paraId="362D1233">
      <w:pPr>
        <w:pStyle w:val="4"/>
        <w:numPr>
          <w:numId w:val="4"/>
        </w:numPr>
        <w:bidi w:val="0"/>
        <w:rPr>
          <w:rFonts w:hint="eastAsia"/>
        </w:rPr>
      </w:pPr>
      <w:bookmarkStart w:id="16" w:name="_Toc18016"/>
      <w:r>
        <w:rPr>
          <w:rFonts w:hint="eastAsia"/>
        </w:rPr>
        <w:t>海南自贸港全岛封关将于2025年12月18日正式启动</w:t>
      </w:r>
      <w:bookmarkEnd w:id="16"/>
    </w:p>
    <w:p w14:paraId="6DBDF906">
      <w:pPr>
        <w:rPr>
          <w:rFonts w:hint="eastAsia"/>
        </w:rPr>
      </w:pPr>
    </w:p>
    <w:p w14:paraId="48869B95">
      <w:pPr>
        <w:rPr>
          <w:rFonts w:hint="eastAsia"/>
        </w:rPr>
      </w:pPr>
      <w:r>
        <w:rPr>
          <w:rFonts w:hint="eastAsia"/>
        </w:rPr>
        <w:t>国家发展改革委副主任王昌林7月23日在国新办发布会上称，经党中央批准，海南自贸港封关具体时间定于2025年12月18日正式启动。王昌林表示，封关是指将海南岛全岛建成一个海关监管特殊区域，实施以“‘一线’放开、‘二线’管住、岛内自由”为基本特征的自由化便利化政策制度。接下来的几个月，将抓紧做好后续准备工作，帮助经营主体充分了解封关政策、开展相关业务测试。</w:t>
      </w:r>
    </w:p>
    <w:p w14:paraId="230DD4E9">
      <w:pPr>
        <w:rPr>
          <w:rFonts w:hint="eastAsia"/>
        </w:rPr>
      </w:pPr>
    </w:p>
    <w:p w14:paraId="2D5BDDF0">
      <w:pPr>
        <w:rPr>
          <w:rFonts w:hint="eastAsia"/>
        </w:rPr>
      </w:pPr>
      <w:r>
        <w:rPr>
          <w:rFonts w:hint="eastAsia"/>
        </w:rPr>
        <w:t>发文日期：2025年7月23日</w:t>
      </w:r>
    </w:p>
    <w:p w14:paraId="0B654234">
      <w:pPr>
        <w:rPr>
          <w:rFonts w:hint="eastAsia"/>
        </w:rPr>
      </w:pPr>
      <w:r>
        <w:rPr>
          <w:rFonts w:hint="eastAsia"/>
        </w:rPr>
        <w:t>发文单位：国家发展改革委</w:t>
      </w:r>
    </w:p>
    <w:p w14:paraId="7DB65AAB">
      <w:pPr>
        <w:rPr>
          <w:rFonts w:hint="eastAsia"/>
        </w:rPr>
      </w:pPr>
      <w:r>
        <w:rPr>
          <w:rFonts w:hint="eastAsia"/>
        </w:rPr>
        <w:t>原文链接：https://mp.weixin.qq.com/s/6Zzoy-pReUWsh5GofbKQ9w</w:t>
      </w:r>
    </w:p>
    <w:p w14:paraId="3804A447">
      <w:pPr>
        <w:rPr>
          <w:rFonts w:hint="eastAsia"/>
        </w:rPr>
      </w:pPr>
    </w:p>
    <w:p w14:paraId="5C2DB853">
      <w:pPr>
        <w:pStyle w:val="4"/>
        <w:numPr>
          <w:numId w:val="4"/>
        </w:numPr>
        <w:bidi w:val="0"/>
        <w:rPr>
          <w:rFonts w:hint="eastAsia"/>
        </w:rPr>
      </w:pPr>
      <w:bookmarkStart w:id="17" w:name="_Toc13792"/>
      <w:r>
        <w:rPr>
          <w:rFonts w:hint="eastAsia"/>
        </w:rPr>
        <w:t>第七批新职业正式发布</w:t>
      </w:r>
      <w:bookmarkEnd w:id="17"/>
    </w:p>
    <w:p w14:paraId="664C63A6">
      <w:pPr>
        <w:rPr>
          <w:rFonts w:hint="eastAsia"/>
        </w:rPr>
      </w:pPr>
    </w:p>
    <w:p w14:paraId="44723E85">
      <w:pPr>
        <w:rPr>
          <w:rFonts w:hint="eastAsia"/>
        </w:rPr>
      </w:pPr>
      <w:r>
        <w:rPr>
          <w:rFonts w:hint="eastAsia"/>
          <w:lang w:val="en-US" w:eastAsia="zh-CN"/>
        </w:rPr>
        <w:t>7月22</w:t>
      </w:r>
      <w:r>
        <w:rPr>
          <w:rFonts w:hint="eastAsia"/>
        </w:rPr>
        <w:t>日，人力资源和社会保障部发布第七批新职业，包含 17 个新职业、42 个新工种。17 个新职业有检验检测管理工程技术人员、养老服务师等；42 个新工种在消防员、应急救援员等多个职业下增设。此次发布的新职业和新工种主要体现 3 个“新”：新技术驱动，新兴技术发展催生数字新职业；新消费孕育，人们需求增长催生新职业；新业态催化，新业态重塑就业市场，催生出特色新职业。相关负责人表示，新职业岗位需求和人才供给虽快速增长，但部分领域人才缺口大。新职业发布后，将制定标准和规范，加强培训和评价，引导人才培养对接市场需求。</w:t>
      </w:r>
    </w:p>
    <w:p w14:paraId="4DDF908A">
      <w:pPr>
        <w:rPr>
          <w:rFonts w:hint="eastAsia"/>
        </w:rPr>
      </w:pPr>
    </w:p>
    <w:p w14:paraId="5483DAD7">
      <w:pPr>
        <w:rPr>
          <w:rFonts w:hint="eastAsia"/>
        </w:rPr>
      </w:pPr>
      <w:r>
        <w:rPr>
          <w:rFonts w:hint="eastAsia"/>
        </w:rPr>
        <w:t>发文日期：2025 年 7 月 22 日</w:t>
      </w:r>
    </w:p>
    <w:p w14:paraId="7369E38B">
      <w:pPr>
        <w:rPr>
          <w:rFonts w:hint="eastAsia"/>
        </w:rPr>
      </w:pPr>
      <w:r>
        <w:rPr>
          <w:rFonts w:hint="eastAsia"/>
        </w:rPr>
        <w:t>发文单位：人力资源和社会保障部</w:t>
      </w:r>
    </w:p>
    <w:p w14:paraId="2B9B592C">
      <w:pPr>
        <w:rPr>
          <w:rFonts w:hint="eastAsia"/>
        </w:rPr>
      </w:pPr>
      <w:r>
        <w:rPr>
          <w:rFonts w:hint="eastAsia"/>
        </w:rPr>
        <w:t>原文链接：https://mp.weixin.qq.com/s/_-yGRTEAbsCZuMbvHgnfqA</w:t>
      </w:r>
    </w:p>
    <w:p w14:paraId="7DD1C35C">
      <w:pPr>
        <w:rPr>
          <w:rFonts w:hint="eastAsia"/>
        </w:rPr>
      </w:pPr>
    </w:p>
    <w:p w14:paraId="16492B78">
      <w:pPr>
        <w:pStyle w:val="4"/>
        <w:numPr>
          <w:numId w:val="4"/>
        </w:numPr>
        <w:bidi w:val="0"/>
        <w:rPr>
          <w:rFonts w:hint="eastAsia"/>
        </w:rPr>
      </w:pPr>
      <w:bookmarkStart w:id="18" w:name="_Toc2359"/>
      <w:r>
        <w:rPr>
          <w:rFonts w:hint="eastAsia"/>
        </w:rPr>
        <w:t>中国电信、中国移动、中国联通、中国广电发布“明白办、放心用”服务承诺</w:t>
      </w:r>
      <w:bookmarkEnd w:id="18"/>
    </w:p>
    <w:p w14:paraId="66527471">
      <w:pPr>
        <w:rPr>
          <w:rFonts w:hint="eastAsia"/>
        </w:rPr>
      </w:pPr>
    </w:p>
    <w:p w14:paraId="1150EFF1">
      <w:pPr>
        <w:rPr>
          <w:rFonts w:hint="eastAsia"/>
        </w:rPr>
      </w:pPr>
      <w:r>
        <w:rPr>
          <w:rFonts w:hint="eastAsia"/>
        </w:rPr>
        <w:t>针对套餐资费繁杂不透明、不知情订制、诱导消费等困扰广大群众的突出问题，今年4月，工信部启动电信业务“明白办、放心用”行动，直击行业痛点难点堵点问题，保障人民群众在电信服务消费中“看得清楚、办得明白、用得放心”</w:t>
      </w:r>
      <w:r>
        <w:rPr>
          <w:rFonts w:hint="eastAsia"/>
          <w:lang w:eastAsia="zh-CN"/>
        </w:rPr>
        <w:t>。</w:t>
      </w:r>
      <w:r>
        <w:rPr>
          <w:rFonts w:hint="eastAsia"/>
        </w:rPr>
        <w:t>近日，四家基础电信企业积极响应。中国电信7月20日发布“总经理办实事”九项举措，涵盖资费公示、业务开通、流量提醒等方面；中国移动7月21日发布“一套承诺、一个平台、一个体系”，服务承诺有十项内容，服务监督平台全量受理、全速处理、全程监督；中国联通7月19日推出四方面十六项举措，当天也是“联通客户日”；中国广电将2025年定为“服务质量提升年”，开展专项行动，推出九大活动</w:t>
      </w:r>
      <w:bookmarkStart w:id="20" w:name="_GoBack"/>
      <w:bookmarkEnd w:id="20"/>
      <w:r>
        <w:rPr>
          <w:rFonts w:hint="eastAsia"/>
        </w:rPr>
        <w:t>。</w:t>
      </w:r>
    </w:p>
    <w:p w14:paraId="0939AB4C">
      <w:pPr>
        <w:rPr>
          <w:rFonts w:hint="eastAsia"/>
        </w:rPr>
      </w:pPr>
    </w:p>
    <w:p w14:paraId="33FB3CEE">
      <w:pPr>
        <w:rPr>
          <w:rFonts w:hint="eastAsia"/>
        </w:rPr>
      </w:pPr>
      <w:r>
        <w:rPr>
          <w:rFonts w:hint="eastAsia"/>
        </w:rPr>
        <w:t>发文日期:2025年7月22日</w:t>
      </w:r>
    </w:p>
    <w:p w14:paraId="75EC9EE3">
      <w:pPr>
        <w:rPr>
          <w:rFonts w:hint="eastAsia" w:eastAsia="宋体"/>
          <w:lang w:val="en-US" w:eastAsia="zh-CN"/>
        </w:rPr>
      </w:pPr>
      <w:r>
        <w:rPr>
          <w:rFonts w:hint="eastAsia"/>
        </w:rPr>
        <w:t>发文单位:</w:t>
      </w:r>
      <w:r>
        <w:rPr>
          <w:rFonts w:hint="eastAsia"/>
          <w:lang w:val="en-US" w:eastAsia="zh-CN"/>
        </w:rPr>
        <w:t>工业和信息化部</w:t>
      </w:r>
    </w:p>
    <w:p w14:paraId="224BD1D5">
      <w:pPr>
        <w:rPr>
          <w:rFonts w:hint="eastAsia"/>
        </w:rPr>
      </w:pPr>
      <w:r>
        <w:rPr>
          <w:rFonts w:hint="eastAsia"/>
        </w:rPr>
        <w:t>原文链接:https://mp.weixin.qq.com/s/AQzGS07mnAygCbBxw2nbZQ</w:t>
      </w:r>
    </w:p>
    <w:p w14:paraId="55EA0E8F">
      <w:pPr>
        <w:rPr>
          <w:rFonts w:hint="eastAsia"/>
        </w:rPr>
      </w:pPr>
    </w:p>
    <w:p w14:paraId="5CF82471">
      <w:pPr>
        <w:pStyle w:val="4"/>
        <w:numPr>
          <w:numId w:val="4"/>
        </w:numPr>
        <w:bidi w:val="0"/>
        <w:rPr>
          <w:rFonts w:hint="eastAsia"/>
        </w:rPr>
      </w:pPr>
      <w:bookmarkStart w:id="19" w:name="_Toc14494"/>
      <w:r>
        <w:rPr>
          <w:rFonts w:hint="eastAsia"/>
        </w:rPr>
        <w:t>湖北8地入选2025赛迪百强县榜单</w:t>
      </w:r>
      <w:bookmarkEnd w:id="19"/>
    </w:p>
    <w:p w14:paraId="30858B9E">
      <w:pPr>
        <w:rPr>
          <w:rFonts w:hint="eastAsia"/>
        </w:rPr>
      </w:pPr>
    </w:p>
    <w:p w14:paraId="69F42F80">
      <w:pPr>
        <w:rPr>
          <w:rFonts w:hint="eastAsia"/>
        </w:rPr>
      </w:pPr>
      <w:r>
        <w:rPr>
          <w:rFonts w:hint="eastAsia"/>
        </w:rPr>
        <w:t>7月23日，2025县域经济创新发展论坛在北京举办，赛迪顾问发布《2025中国县域经济高质量发展研究》。2025赛迪百强县榜单中，东部地区占67席，中部地区占18席，西部地区占12席，东北地区占3席。湖北有8地入选该榜单，入围数量位居中部第一、全国第四。这8个百强县分别为仙桃市（第52位）、大冶市（第53位）、宜都市（第62位）、潜江市（第71位）、枣阳市（第73位）、枝江市（第77位）、汉川市（第82位）、天门市（第99位）。其中，仙桃市、汉川市较去年前进2位，枣阳市、天门市较去年前进1位。</w:t>
      </w:r>
    </w:p>
    <w:p w14:paraId="771AC4A8">
      <w:pPr>
        <w:rPr>
          <w:rFonts w:hint="eastAsia"/>
        </w:rPr>
      </w:pPr>
    </w:p>
    <w:p w14:paraId="26549C31">
      <w:pPr>
        <w:rPr>
          <w:rFonts w:hint="eastAsia"/>
        </w:rPr>
      </w:pPr>
      <w:r>
        <w:rPr>
          <w:rFonts w:hint="eastAsia"/>
        </w:rPr>
        <w:t>发文日期：2025年7月23日</w:t>
      </w:r>
    </w:p>
    <w:p w14:paraId="42D92D06">
      <w:pPr>
        <w:rPr>
          <w:rFonts w:hint="eastAsia"/>
        </w:rPr>
      </w:pPr>
      <w:r>
        <w:rPr>
          <w:rFonts w:hint="eastAsia"/>
        </w:rPr>
        <w:t>发文单位：长江云新闻</w:t>
      </w:r>
    </w:p>
    <w:p w14:paraId="39D00C9A">
      <w:pPr>
        <w:rPr>
          <w:rFonts w:hint="eastAsia"/>
        </w:rPr>
      </w:pPr>
      <w:r>
        <w:rPr>
          <w:rFonts w:hint="eastAsia"/>
        </w:rPr>
        <w:t>原文链接：https://mp.weixin.qq.com/s/b7QmXnGWuBUHL1-fCwJ_gQ</w:t>
      </w:r>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微软雅黑"/>
    <w:panose1 w:val="020B0604020202020204"/>
    <w:charset w:val="86"/>
    <w:family w:val="auto"/>
    <w:pitch w:val="default"/>
    <w:sig w:usb0="00000000" w:usb1="00000000" w:usb2="00000012" w:usb3="00000000" w:csb0="00040001"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20B0604020202020204"/>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03CB5">
    <w:pPr>
      <w:pStyle w:val="12"/>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F2796F">
                          <w:pPr>
                            <w:pStyle w:val="12"/>
                          </w:pPr>
                          <w:r>
                            <w:fldChar w:fldCharType="begin"/>
                          </w:r>
                          <w:r>
                            <w:instrText xml:space="preserve"> PAGE  \* MERGEFORMAT </w:instrText>
                          </w:r>
                          <w:r>
                            <w:fldChar w:fldCharType="separate"/>
                          </w:r>
                          <w:r>
                            <w:t>20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35F2796F">
                    <w:pPr>
                      <w:pStyle w:val="12"/>
                    </w:pPr>
                    <w:r>
                      <w:fldChar w:fldCharType="begin"/>
                    </w:r>
                    <w:r>
                      <w:instrText xml:space="preserve"> PAGE  \* MERGEFORMAT </w:instrText>
                    </w:r>
                    <w:r>
                      <w:fldChar w:fldCharType="separate"/>
                    </w:r>
                    <w:r>
                      <w:t>20</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61AAF6"/>
    <w:multiLevelType w:val="singleLevel"/>
    <w:tmpl w:val="9661AAF6"/>
    <w:lvl w:ilvl="0" w:tentative="0">
      <w:start w:val="1"/>
      <w:numFmt w:val="decimal"/>
      <w:pStyle w:val="4"/>
      <w:lvlText w:val="(%1)"/>
      <w:lvlJc w:val="left"/>
      <w:pPr>
        <w:ind w:left="425" w:hanging="425"/>
      </w:pPr>
      <w:rPr>
        <w:rFonts w:hint="default"/>
      </w:rPr>
    </w:lvl>
  </w:abstractNum>
  <w:num w:numId="1">
    <w:abstractNumId w:val="0"/>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hideSpellingErrors/>
  <w:hideGrammaticalErrors/>
  <w:documentProtection w:enforcement="0"/>
  <w:defaultTabStop w:val="36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B87749"/>
    <w:rsid w:val="00005CCC"/>
    <w:rsid w:val="00010FD5"/>
    <w:rsid w:val="00026FE8"/>
    <w:rsid w:val="000410FC"/>
    <w:rsid w:val="00047104"/>
    <w:rsid w:val="000536EC"/>
    <w:rsid w:val="000629A4"/>
    <w:rsid w:val="00072F84"/>
    <w:rsid w:val="000733D6"/>
    <w:rsid w:val="00073967"/>
    <w:rsid w:val="00075948"/>
    <w:rsid w:val="00084D11"/>
    <w:rsid w:val="00085151"/>
    <w:rsid w:val="00096DDE"/>
    <w:rsid w:val="000A4340"/>
    <w:rsid w:val="000A44D2"/>
    <w:rsid w:val="000A44FC"/>
    <w:rsid w:val="000A4642"/>
    <w:rsid w:val="000A547C"/>
    <w:rsid w:val="000A613C"/>
    <w:rsid w:val="000E632C"/>
    <w:rsid w:val="000F0F72"/>
    <w:rsid w:val="000F3299"/>
    <w:rsid w:val="001069AF"/>
    <w:rsid w:val="00116665"/>
    <w:rsid w:val="00130104"/>
    <w:rsid w:val="00142016"/>
    <w:rsid w:val="001444EC"/>
    <w:rsid w:val="00152E21"/>
    <w:rsid w:val="00170B7B"/>
    <w:rsid w:val="00174B07"/>
    <w:rsid w:val="00177F10"/>
    <w:rsid w:val="00180460"/>
    <w:rsid w:val="00181702"/>
    <w:rsid w:val="00182B8E"/>
    <w:rsid w:val="00192AD6"/>
    <w:rsid w:val="0019332D"/>
    <w:rsid w:val="00193C78"/>
    <w:rsid w:val="00196B7E"/>
    <w:rsid w:val="001A238A"/>
    <w:rsid w:val="001A4F2E"/>
    <w:rsid w:val="001B3F5C"/>
    <w:rsid w:val="001B4228"/>
    <w:rsid w:val="001B6511"/>
    <w:rsid w:val="001D2978"/>
    <w:rsid w:val="001E0014"/>
    <w:rsid w:val="001E30C9"/>
    <w:rsid w:val="001E69CA"/>
    <w:rsid w:val="001F7350"/>
    <w:rsid w:val="001F79CE"/>
    <w:rsid w:val="00203822"/>
    <w:rsid w:val="00207F33"/>
    <w:rsid w:val="0021682C"/>
    <w:rsid w:val="0021704E"/>
    <w:rsid w:val="00223274"/>
    <w:rsid w:val="0022351D"/>
    <w:rsid w:val="00226199"/>
    <w:rsid w:val="00226B79"/>
    <w:rsid w:val="002374D3"/>
    <w:rsid w:val="00237F42"/>
    <w:rsid w:val="00241E27"/>
    <w:rsid w:val="00242B16"/>
    <w:rsid w:val="00244B4D"/>
    <w:rsid w:val="00247E53"/>
    <w:rsid w:val="0025353D"/>
    <w:rsid w:val="00257943"/>
    <w:rsid w:val="002632E5"/>
    <w:rsid w:val="00266FF5"/>
    <w:rsid w:val="00270D04"/>
    <w:rsid w:val="00281DCB"/>
    <w:rsid w:val="00283AC6"/>
    <w:rsid w:val="00284BFD"/>
    <w:rsid w:val="00290211"/>
    <w:rsid w:val="002904EF"/>
    <w:rsid w:val="00291686"/>
    <w:rsid w:val="00292B47"/>
    <w:rsid w:val="002A1B62"/>
    <w:rsid w:val="002A5076"/>
    <w:rsid w:val="002A725C"/>
    <w:rsid w:val="002C0CBB"/>
    <w:rsid w:val="002C119B"/>
    <w:rsid w:val="002E0917"/>
    <w:rsid w:val="002E2F64"/>
    <w:rsid w:val="00303573"/>
    <w:rsid w:val="003247E7"/>
    <w:rsid w:val="003265BB"/>
    <w:rsid w:val="00332003"/>
    <w:rsid w:val="003326FD"/>
    <w:rsid w:val="00335212"/>
    <w:rsid w:val="00344659"/>
    <w:rsid w:val="00347B0A"/>
    <w:rsid w:val="003514D1"/>
    <w:rsid w:val="00356C86"/>
    <w:rsid w:val="00357AB7"/>
    <w:rsid w:val="00362DF4"/>
    <w:rsid w:val="003744C4"/>
    <w:rsid w:val="00374F36"/>
    <w:rsid w:val="003759AD"/>
    <w:rsid w:val="00386112"/>
    <w:rsid w:val="00392B90"/>
    <w:rsid w:val="003C20C2"/>
    <w:rsid w:val="003C222D"/>
    <w:rsid w:val="003C799E"/>
    <w:rsid w:val="003D4097"/>
    <w:rsid w:val="003D4658"/>
    <w:rsid w:val="004174BD"/>
    <w:rsid w:val="004251FF"/>
    <w:rsid w:val="00443896"/>
    <w:rsid w:val="00443EC9"/>
    <w:rsid w:val="0044715A"/>
    <w:rsid w:val="004554A4"/>
    <w:rsid w:val="004565D4"/>
    <w:rsid w:val="00460BCD"/>
    <w:rsid w:val="00467FB9"/>
    <w:rsid w:val="00471127"/>
    <w:rsid w:val="00474903"/>
    <w:rsid w:val="00480050"/>
    <w:rsid w:val="00485558"/>
    <w:rsid w:val="00486B4C"/>
    <w:rsid w:val="00491190"/>
    <w:rsid w:val="00494369"/>
    <w:rsid w:val="004A7F09"/>
    <w:rsid w:val="004C360C"/>
    <w:rsid w:val="004C4AF1"/>
    <w:rsid w:val="004C6666"/>
    <w:rsid w:val="004D4702"/>
    <w:rsid w:val="004E76D9"/>
    <w:rsid w:val="004F35B3"/>
    <w:rsid w:val="004F789F"/>
    <w:rsid w:val="00500CAF"/>
    <w:rsid w:val="00503AAE"/>
    <w:rsid w:val="00506E3E"/>
    <w:rsid w:val="00512F38"/>
    <w:rsid w:val="005163DD"/>
    <w:rsid w:val="00522EBB"/>
    <w:rsid w:val="00524612"/>
    <w:rsid w:val="00530199"/>
    <w:rsid w:val="005367FB"/>
    <w:rsid w:val="00542AF1"/>
    <w:rsid w:val="00545A0F"/>
    <w:rsid w:val="005567E4"/>
    <w:rsid w:val="00575E24"/>
    <w:rsid w:val="00581AA2"/>
    <w:rsid w:val="005922C3"/>
    <w:rsid w:val="00593EF4"/>
    <w:rsid w:val="00596438"/>
    <w:rsid w:val="005A06ED"/>
    <w:rsid w:val="005A12BE"/>
    <w:rsid w:val="005A1588"/>
    <w:rsid w:val="005B1F83"/>
    <w:rsid w:val="005B51B7"/>
    <w:rsid w:val="005B72D5"/>
    <w:rsid w:val="005C2DD0"/>
    <w:rsid w:val="005D1336"/>
    <w:rsid w:val="005D44E9"/>
    <w:rsid w:val="005D5319"/>
    <w:rsid w:val="00610FA0"/>
    <w:rsid w:val="006340C8"/>
    <w:rsid w:val="00650888"/>
    <w:rsid w:val="00651258"/>
    <w:rsid w:val="00654172"/>
    <w:rsid w:val="00660798"/>
    <w:rsid w:val="00661BE7"/>
    <w:rsid w:val="00662654"/>
    <w:rsid w:val="00665176"/>
    <w:rsid w:val="00671B63"/>
    <w:rsid w:val="00671FCB"/>
    <w:rsid w:val="00674BEF"/>
    <w:rsid w:val="00682D16"/>
    <w:rsid w:val="00692F93"/>
    <w:rsid w:val="00696E0A"/>
    <w:rsid w:val="006A23AC"/>
    <w:rsid w:val="006A5042"/>
    <w:rsid w:val="006B2C3E"/>
    <w:rsid w:val="006B5123"/>
    <w:rsid w:val="006B5F46"/>
    <w:rsid w:val="006C77FE"/>
    <w:rsid w:val="006D1B29"/>
    <w:rsid w:val="006D1F86"/>
    <w:rsid w:val="006E0D01"/>
    <w:rsid w:val="006E0D45"/>
    <w:rsid w:val="006F0BC8"/>
    <w:rsid w:val="006F4974"/>
    <w:rsid w:val="00702101"/>
    <w:rsid w:val="00714E1D"/>
    <w:rsid w:val="0072325C"/>
    <w:rsid w:val="00736A16"/>
    <w:rsid w:val="00751845"/>
    <w:rsid w:val="00753A25"/>
    <w:rsid w:val="00756153"/>
    <w:rsid w:val="00774FB2"/>
    <w:rsid w:val="00777579"/>
    <w:rsid w:val="007844BB"/>
    <w:rsid w:val="007857F5"/>
    <w:rsid w:val="00785FFC"/>
    <w:rsid w:val="00787A3C"/>
    <w:rsid w:val="00796E01"/>
    <w:rsid w:val="007A04B7"/>
    <w:rsid w:val="007B35F1"/>
    <w:rsid w:val="007B5C8E"/>
    <w:rsid w:val="007B6A37"/>
    <w:rsid w:val="007C0439"/>
    <w:rsid w:val="007D4435"/>
    <w:rsid w:val="007E100E"/>
    <w:rsid w:val="007E3DA8"/>
    <w:rsid w:val="007E40C9"/>
    <w:rsid w:val="007F7649"/>
    <w:rsid w:val="008079D8"/>
    <w:rsid w:val="00822DFE"/>
    <w:rsid w:val="008235E0"/>
    <w:rsid w:val="00831B9D"/>
    <w:rsid w:val="00844B88"/>
    <w:rsid w:val="00861386"/>
    <w:rsid w:val="00862697"/>
    <w:rsid w:val="00866592"/>
    <w:rsid w:val="0087419C"/>
    <w:rsid w:val="0087699F"/>
    <w:rsid w:val="00881707"/>
    <w:rsid w:val="008817BF"/>
    <w:rsid w:val="00893693"/>
    <w:rsid w:val="00894AAE"/>
    <w:rsid w:val="00895458"/>
    <w:rsid w:val="00897379"/>
    <w:rsid w:val="008A4AD6"/>
    <w:rsid w:val="008A4B13"/>
    <w:rsid w:val="008B1650"/>
    <w:rsid w:val="008B5DE9"/>
    <w:rsid w:val="008C2B23"/>
    <w:rsid w:val="008D7A71"/>
    <w:rsid w:val="008E24B7"/>
    <w:rsid w:val="008E6A6D"/>
    <w:rsid w:val="008E725F"/>
    <w:rsid w:val="008E7906"/>
    <w:rsid w:val="008F0C27"/>
    <w:rsid w:val="00902F69"/>
    <w:rsid w:val="009050E0"/>
    <w:rsid w:val="00914D24"/>
    <w:rsid w:val="00922D05"/>
    <w:rsid w:val="0092303A"/>
    <w:rsid w:val="00925B1E"/>
    <w:rsid w:val="009271A1"/>
    <w:rsid w:val="00930C1E"/>
    <w:rsid w:val="00931E3E"/>
    <w:rsid w:val="00944B94"/>
    <w:rsid w:val="00945405"/>
    <w:rsid w:val="009475C0"/>
    <w:rsid w:val="00950E2E"/>
    <w:rsid w:val="009535CB"/>
    <w:rsid w:val="00965217"/>
    <w:rsid w:val="009704D2"/>
    <w:rsid w:val="009770CC"/>
    <w:rsid w:val="00985B48"/>
    <w:rsid w:val="00993B24"/>
    <w:rsid w:val="00994908"/>
    <w:rsid w:val="009A7360"/>
    <w:rsid w:val="009C31BB"/>
    <w:rsid w:val="009C56E5"/>
    <w:rsid w:val="009D0FF5"/>
    <w:rsid w:val="009E1921"/>
    <w:rsid w:val="009E3A1D"/>
    <w:rsid w:val="00A003C5"/>
    <w:rsid w:val="00A01BB1"/>
    <w:rsid w:val="00A11B1F"/>
    <w:rsid w:val="00A154ED"/>
    <w:rsid w:val="00A15554"/>
    <w:rsid w:val="00A1581F"/>
    <w:rsid w:val="00A17A19"/>
    <w:rsid w:val="00A17D7C"/>
    <w:rsid w:val="00A262B3"/>
    <w:rsid w:val="00A27674"/>
    <w:rsid w:val="00A309B8"/>
    <w:rsid w:val="00A37825"/>
    <w:rsid w:val="00A41E1A"/>
    <w:rsid w:val="00A43255"/>
    <w:rsid w:val="00A5112A"/>
    <w:rsid w:val="00A51200"/>
    <w:rsid w:val="00A54AA9"/>
    <w:rsid w:val="00A60179"/>
    <w:rsid w:val="00A62735"/>
    <w:rsid w:val="00A64947"/>
    <w:rsid w:val="00A74BCE"/>
    <w:rsid w:val="00A74D0B"/>
    <w:rsid w:val="00A80D79"/>
    <w:rsid w:val="00A91FF5"/>
    <w:rsid w:val="00A962CD"/>
    <w:rsid w:val="00AA112B"/>
    <w:rsid w:val="00AA2D23"/>
    <w:rsid w:val="00AB768F"/>
    <w:rsid w:val="00AD192A"/>
    <w:rsid w:val="00AD1C32"/>
    <w:rsid w:val="00AE49A2"/>
    <w:rsid w:val="00AF6A69"/>
    <w:rsid w:val="00B049A3"/>
    <w:rsid w:val="00B07E19"/>
    <w:rsid w:val="00B172F3"/>
    <w:rsid w:val="00B37EC7"/>
    <w:rsid w:val="00B40DC3"/>
    <w:rsid w:val="00B40E7D"/>
    <w:rsid w:val="00B410B6"/>
    <w:rsid w:val="00B41DB6"/>
    <w:rsid w:val="00B5013F"/>
    <w:rsid w:val="00B50A3C"/>
    <w:rsid w:val="00B55677"/>
    <w:rsid w:val="00B55995"/>
    <w:rsid w:val="00B620A4"/>
    <w:rsid w:val="00B62CED"/>
    <w:rsid w:val="00B636D4"/>
    <w:rsid w:val="00B637B0"/>
    <w:rsid w:val="00B658B9"/>
    <w:rsid w:val="00B7031B"/>
    <w:rsid w:val="00B70E70"/>
    <w:rsid w:val="00B72EDD"/>
    <w:rsid w:val="00B7595B"/>
    <w:rsid w:val="00B9189B"/>
    <w:rsid w:val="00B9617D"/>
    <w:rsid w:val="00BC25F5"/>
    <w:rsid w:val="00BC6A2A"/>
    <w:rsid w:val="00BD777B"/>
    <w:rsid w:val="00BD7F06"/>
    <w:rsid w:val="00BF513F"/>
    <w:rsid w:val="00C04033"/>
    <w:rsid w:val="00C07003"/>
    <w:rsid w:val="00C2292F"/>
    <w:rsid w:val="00C26AC4"/>
    <w:rsid w:val="00C32DF0"/>
    <w:rsid w:val="00C44AF7"/>
    <w:rsid w:val="00C47FD2"/>
    <w:rsid w:val="00C56626"/>
    <w:rsid w:val="00C6252C"/>
    <w:rsid w:val="00C71565"/>
    <w:rsid w:val="00C77B17"/>
    <w:rsid w:val="00C82EED"/>
    <w:rsid w:val="00CA3DF8"/>
    <w:rsid w:val="00CA46D9"/>
    <w:rsid w:val="00CA507E"/>
    <w:rsid w:val="00CA6027"/>
    <w:rsid w:val="00CB23CC"/>
    <w:rsid w:val="00CB32F6"/>
    <w:rsid w:val="00CB4E5C"/>
    <w:rsid w:val="00CB62F7"/>
    <w:rsid w:val="00CC30F4"/>
    <w:rsid w:val="00CC416D"/>
    <w:rsid w:val="00CE5664"/>
    <w:rsid w:val="00D15B85"/>
    <w:rsid w:val="00D43077"/>
    <w:rsid w:val="00D50E81"/>
    <w:rsid w:val="00D57D31"/>
    <w:rsid w:val="00D61DDF"/>
    <w:rsid w:val="00D63F24"/>
    <w:rsid w:val="00D72FF6"/>
    <w:rsid w:val="00D750EF"/>
    <w:rsid w:val="00D77C0A"/>
    <w:rsid w:val="00D858EE"/>
    <w:rsid w:val="00D95B69"/>
    <w:rsid w:val="00DA5187"/>
    <w:rsid w:val="00DB4691"/>
    <w:rsid w:val="00DC421F"/>
    <w:rsid w:val="00DC693F"/>
    <w:rsid w:val="00DE0AEE"/>
    <w:rsid w:val="00DE3B08"/>
    <w:rsid w:val="00DE4A98"/>
    <w:rsid w:val="00DE5C6B"/>
    <w:rsid w:val="00DF30E6"/>
    <w:rsid w:val="00DF6839"/>
    <w:rsid w:val="00E00F2A"/>
    <w:rsid w:val="00E136C1"/>
    <w:rsid w:val="00E15105"/>
    <w:rsid w:val="00E15D98"/>
    <w:rsid w:val="00E26D62"/>
    <w:rsid w:val="00E27961"/>
    <w:rsid w:val="00E32459"/>
    <w:rsid w:val="00E32F4F"/>
    <w:rsid w:val="00E353E8"/>
    <w:rsid w:val="00E551E8"/>
    <w:rsid w:val="00E560B0"/>
    <w:rsid w:val="00E567B1"/>
    <w:rsid w:val="00E62A84"/>
    <w:rsid w:val="00E66922"/>
    <w:rsid w:val="00E67FB9"/>
    <w:rsid w:val="00E7169B"/>
    <w:rsid w:val="00E71865"/>
    <w:rsid w:val="00E94C18"/>
    <w:rsid w:val="00EA79BE"/>
    <w:rsid w:val="00EB0883"/>
    <w:rsid w:val="00EC0011"/>
    <w:rsid w:val="00EC2DD6"/>
    <w:rsid w:val="00ED283F"/>
    <w:rsid w:val="00EE54C6"/>
    <w:rsid w:val="00EF2981"/>
    <w:rsid w:val="00EF40BC"/>
    <w:rsid w:val="00F002E1"/>
    <w:rsid w:val="00F10529"/>
    <w:rsid w:val="00F16D2A"/>
    <w:rsid w:val="00F17EAE"/>
    <w:rsid w:val="00F300FA"/>
    <w:rsid w:val="00F31E2B"/>
    <w:rsid w:val="00F328C7"/>
    <w:rsid w:val="00F34E15"/>
    <w:rsid w:val="00F41973"/>
    <w:rsid w:val="00F75C8A"/>
    <w:rsid w:val="00F83D16"/>
    <w:rsid w:val="00F87A9E"/>
    <w:rsid w:val="00F90ED7"/>
    <w:rsid w:val="00F96377"/>
    <w:rsid w:val="00FA7F25"/>
    <w:rsid w:val="00FC69EA"/>
    <w:rsid w:val="00FD2E8F"/>
    <w:rsid w:val="00FD4BB5"/>
    <w:rsid w:val="00FF3D58"/>
    <w:rsid w:val="00FF3E41"/>
    <w:rsid w:val="015D5504"/>
    <w:rsid w:val="016347D7"/>
    <w:rsid w:val="01743E73"/>
    <w:rsid w:val="01C45D06"/>
    <w:rsid w:val="021D04ED"/>
    <w:rsid w:val="02313F99"/>
    <w:rsid w:val="02727A8F"/>
    <w:rsid w:val="027D7504"/>
    <w:rsid w:val="02957F4A"/>
    <w:rsid w:val="02AD29B2"/>
    <w:rsid w:val="03181066"/>
    <w:rsid w:val="03634626"/>
    <w:rsid w:val="03D352ED"/>
    <w:rsid w:val="04772A4B"/>
    <w:rsid w:val="0582467D"/>
    <w:rsid w:val="05926AFC"/>
    <w:rsid w:val="05D77E4F"/>
    <w:rsid w:val="05D84CA5"/>
    <w:rsid w:val="05E0200A"/>
    <w:rsid w:val="061B1990"/>
    <w:rsid w:val="064550D0"/>
    <w:rsid w:val="066A47CE"/>
    <w:rsid w:val="06B141BC"/>
    <w:rsid w:val="07031442"/>
    <w:rsid w:val="072E6196"/>
    <w:rsid w:val="07A34B98"/>
    <w:rsid w:val="07AC63AA"/>
    <w:rsid w:val="07AC7C25"/>
    <w:rsid w:val="07BD5E3D"/>
    <w:rsid w:val="081F17B3"/>
    <w:rsid w:val="087D09B3"/>
    <w:rsid w:val="088A7506"/>
    <w:rsid w:val="08944458"/>
    <w:rsid w:val="08D556E5"/>
    <w:rsid w:val="08DE1DFC"/>
    <w:rsid w:val="09063232"/>
    <w:rsid w:val="09362972"/>
    <w:rsid w:val="0A15616C"/>
    <w:rsid w:val="0A6C3DC0"/>
    <w:rsid w:val="0A747118"/>
    <w:rsid w:val="0AA4793D"/>
    <w:rsid w:val="0B0A42C4"/>
    <w:rsid w:val="0B2F4186"/>
    <w:rsid w:val="0B5F4794"/>
    <w:rsid w:val="0B7926DE"/>
    <w:rsid w:val="0BC85D5B"/>
    <w:rsid w:val="0BD82C59"/>
    <w:rsid w:val="0C160487"/>
    <w:rsid w:val="0C317648"/>
    <w:rsid w:val="0C7451AE"/>
    <w:rsid w:val="0C9617E4"/>
    <w:rsid w:val="0C9F6FE3"/>
    <w:rsid w:val="0D173E04"/>
    <w:rsid w:val="0D2E2D13"/>
    <w:rsid w:val="0D354ACD"/>
    <w:rsid w:val="0D492902"/>
    <w:rsid w:val="0D6F10B3"/>
    <w:rsid w:val="0D8536BD"/>
    <w:rsid w:val="0D8F4EFE"/>
    <w:rsid w:val="0E293FE3"/>
    <w:rsid w:val="0E4D5CB6"/>
    <w:rsid w:val="0EA46E2D"/>
    <w:rsid w:val="0EFF5127"/>
    <w:rsid w:val="0F210A3A"/>
    <w:rsid w:val="0F415C16"/>
    <w:rsid w:val="0F607679"/>
    <w:rsid w:val="10086D9C"/>
    <w:rsid w:val="102A466F"/>
    <w:rsid w:val="105812FF"/>
    <w:rsid w:val="111C0739"/>
    <w:rsid w:val="111E1B8C"/>
    <w:rsid w:val="11610DAE"/>
    <w:rsid w:val="116A724E"/>
    <w:rsid w:val="116D60A1"/>
    <w:rsid w:val="117A72EF"/>
    <w:rsid w:val="11FD46BF"/>
    <w:rsid w:val="120B5F4D"/>
    <w:rsid w:val="12323823"/>
    <w:rsid w:val="124F42B7"/>
    <w:rsid w:val="12834530"/>
    <w:rsid w:val="13901E1C"/>
    <w:rsid w:val="13A7230D"/>
    <w:rsid w:val="14EF1875"/>
    <w:rsid w:val="14F325C5"/>
    <w:rsid w:val="15026D53"/>
    <w:rsid w:val="15B4486D"/>
    <w:rsid w:val="15CA2F2E"/>
    <w:rsid w:val="15E74C42"/>
    <w:rsid w:val="16CB5F30"/>
    <w:rsid w:val="16F2389F"/>
    <w:rsid w:val="16F643D6"/>
    <w:rsid w:val="171C5435"/>
    <w:rsid w:val="172D2B29"/>
    <w:rsid w:val="17E217ED"/>
    <w:rsid w:val="17F00444"/>
    <w:rsid w:val="18517FB6"/>
    <w:rsid w:val="188E75F7"/>
    <w:rsid w:val="18A44462"/>
    <w:rsid w:val="18D81447"/>
    <w:rsid w:val="191E1382"/>
    <w:rsid w:val="193F7A6A"/>
    <w:rsid w:val="19600F94"/>
    <w:rsid w:val="199A28AA"/>
    <w:rsid w:val="1A650426"/>
    <w:rsid w:val="1AA03612"/>
    <w:rsid w:val="1BCB75FC"/>
    <w:rsid w:val="1BDA0F1B"/>
    <w:rsid w:val="1BFF5B23"/>
    <w:rsid w:val="1C777DA5"/>
    <w:rsid w:val="1C7E467E"/>
    <w:rsid w:val="1D0D671B"/>
    <w:rsid w:val="1D305121"/>
    <w:rsid w:val="1D36397B"/>
    <w:rsid w:val="1D4B182A"/>
    <w:rsid w:val="1D5C48CC"/>
    <w:rsid w:val="1D835251"/>
    <w:rsid w:val="1DD943FB"/>
    <w:rsid w:val="1DE87A80"/>
    <w:rsid w:val="1E194C81"/>
    <w:rsid w:val="1E3E561C"/>
    <w:rsid w:val="1E68566C"/>
    <w:rsid w:val="1E95273B"/>
    <w:rsid w:val="1EA47B74"/>
    <w:rsid w:val="1F8B4401"/>
    <w:rsid w:val="1FFF5FBA"/>
    <w:rsid w:val="21554059"/>
    <w:rsid w:val="216B2E85"/>
    <w:rsid w:val="218872DA"/>
    <w:rsid w:val="218F2E30"/>
    <w:rsid w:val="21BF16DB"/>
    <w:rsid w:val="21C443C4"/>
    <w:rsid w:val="223C67F4"/>
    <w:rsid w:val="224A458F"/>
    <w:rsid w:val="22942040"/>
    <w:rsid w:val="22DA671D"/>
    <w:rsid w:val="23050835"/>
    <w:rsid w:val="231A7D53"/>
    <w:rsid w:val="23887B38"/>
    <w:rsid w:val="238B1360"/>
    <w:rsid w:val="24013DB9"/>
    <w:rsid w:val="24441950"/>
    <w:rsid w:val="248D76DC"/>
    <w:rsid w:val="249A5A1E"/>
    <w:rsid w:val="24A36916"/>
    <w:rsid w:val="25172BDE"/>
    <w:rsid w:val="25744A0D"/>
    <w:rsid w:val="25902C01"/>
    <w:rsid w:val="259A51CD"/>
    <w:rsid w:val="25D56865"/>
    <w:rsid w:val="26082272"/>
    <w:rsid w:val="262178C9"/>
    <w:rsid w:val="264755DA"/>
    <w:rsid w:val="2661459D"/>
    <w:rsid w:val="267E0CAB"/>
    <w:rsid w:val="26A84EBA"/>
    <w:rsid w:val="26EA363F"/>
    <w:rsid w:val="27144592"/>
    <w:rsid w:val="278B23EE"/>
    <w:rsid w:val="278B7B24"/>
    <w:rsid w:val="27C03641"/>
    <w:rsid w:val="281318C7"/>
    <w:rsid w:val="28223950"/>
    <w:rsid w:val="28541E37"/>
    <w:rsid w:val="285F3CB1"/>
    <w:rsid w:val="286928C5"/>
    <w:rsid w:val="289C366A"/>
    <w:rsid w:val="28A2214A"/>
    <w:rsid w:val="2936694E"/>
    <w:rsid w:val="2996455E"/>
    <w:rsid w:val="29DB04A2"/>
    <w:rsid w:val="29EE50B4"/>
    <w:rsid w:val="29FE7B47"/>
    <w:rsid w:val="2A367640"/>
    <w:rsid w:val="2A48356C"/>
    <w:rsid w:val="2ABC75C8"/>
    <w:rsid w:val="2B12230A"/>
    <w:rsid w:val="2B7E1510"/>
    <w:rsid w:val="2B8051DB"/>
    <w:rsid w:val="2BAA31B3"/>
    <w:rsid w:val="2BC63FD4"/>
    <w:rsid w:val="2C0D4F8D"/>
    <w:rsid w:val="2C376A9B"/>
    <w:rsid w:val="2C3A1B18"/>
    <w:rsid w:val="2C3F0EDD"/>
    <w:rsid w:val="2C4C4F3B"/>
    <w:rsid w:val="2C60078F"/>
    <w:rsid w:val="2C646B95"/>
    <w:rsid w:val="2C7E1414"/>
    <w:rsid w:val="2C810E08"/>
    <w:rsid w:val="2C8E59C0"/>
    <w:rsid w:val="2CBA6A70"/>
    <w:rsid w:val="2CD504F2"/>
    <w:rsid w:val="2D0F4C79"/>
    <w:rsid w:val="2D1D55AF"/>
    <w:rsid w:val="2D2B1461"/>
    <w:rsid w:val="2DC147E3"/>
    <w:rsid w:val="2EA90867"/>
    <w:rsid w:val="2EAD7087"/>
    <w:rsid w:val="2F454A5C"/>
    <w:rsid w:val="2FC43258"/>
    <w:rsid w:val="2FE467A7"/>
    <w:rsid w:val="302C011A"/>
    <w:rsid w:val="302C34A7"/>
    <w:rsid w:val="303A22C6"/>
    <w:rsid w:val="304940D8"/>
    <w:rsid w:val="30517430"/>
    <w:rsid w:val="30C3032E"/>
    <w:rsid w:val="30F37EDC"/>
    <w:rsid w:val="31055CDB"/>
    <w:rsid w:val="313C17BF"/>
    <w:rsid w:val="314A714A"/>
    <w:rsid w:val="315423FA"/>
    <w:rsid w:val="324507AD"/>
    <w:rsid w:val="3344327C"/>
    <w:rsid w:val="338B4F0A"/>
    <w:rsid w:val="33CC223D"/>
    <w:rsid w:val="345179FF"/>
    <w:rsid w:val="34814F15"/>
    <w:rsid w:val="34826328"/>
    <w:rsid w:val="34984755"/>
    <w:rsid w:val="34E959C3"/>
    <w:rsid w:val="34F85D6A"/>
    <w:rsid w:val="34FC2804"/>
    <w:rsid w:val="34FF4777"/>
    <w:rsid w:val="35120222"/>
    <w:rsid w:val="3518714F"/>
    <w:rsid w:val="353D3435"/>
    <w:rsid w:val="354A6EEA"/>
    <w:rsid w:val="356B1CF3"/>
    <w:rsid w:val="35AF70D3"/>
    <w:rsid w:val="36F062F4"/>
    <w:rsid w:val="37654E9C"/>
    <w:rsid w:val="3784633D"/>
    <w:rsid w:val="38213B8C"/>
    <w:rsid w:val="382373DA"/>
    <w:rsid w:val="383B0B04"/>
    <w:rsid w:val="38591578"/>
    <w:rsid w:val="38AC16A8"/>
    <w:rsid w:val="38CF7D58"/>
    <w:rsid w:val="38F0269B"/>
    <w:rsid w:val="3A372F4A"/>
    <w:rsid w:val="3A7C1D7A"/>
    <w:rsid w:val="3AAD7959"/>
    <w:rsid w:val="3AD068AC"/>
    <w:rsid w:val="3ADB44C6"/>
    <w:rsid w:val="3AED5FA8"/>
    <w:rsid w:val="3B285284"/>
    <w:rsid w:val="3B2C319C"/>
    <w:rsid w:val="3B2D2566"/>
    <w:rsid w:val="3B387B37"/>
    <w:rsid w:val="3B68647D"/>
    <w:rsid w:val="3BAF2C97"/>
    <w:rsid w:val="3C074E47"/>
    <w:rsid w:val="3C756255"/>
    <w:rsid w:val="3C9E39FD"/>
    <w:rsid w:val="3C9F4DD0"/>
    <w:rsid w:val="3D0D46DF"/>
    <w:rsid w:val="3D254A9A"/>
    <w:rsid w:val="3D3C5A02"/>
    <w:rsid w:val="3D430E91"/>
    <w:rsid w:val="3D723C25"/>
    <w:rsid w:val="3D8F5CCA"/>
    <w:rsid w:val="3D910454"/>
    <w:rsid w:val="3D964F1B"/>
    <w:rsid w:val="3E0C2560"/>
    <w:rsid w:val="3EB02237"/>
    <w:rsid w:val="3EB80B41"/>
    <w:rsid w:val="3EE65C63"/>
    <w:rsid w:val="3FCF6608"/>
    <w:rsid w:val="40476BB4"/>
    <w:rsid w:val="4092377C"/>
    <w:rsid w:val="40AA78B9"/>
    <w:rsid w:val="411E6EBB"/>
    <w:rsid w:val="41B079AE"/>
    <w:rsid w:val="41FF0A9A"/>
    <w:rsid w:val="42417218"/>
    <w:rsid w:val="43B55C44"/>
    <w:rsid w:val="44A633D7"/>
    <w:rsid w:val="450B6BAA"/>
    <w:rsid w:val="4544014A"/>
    <w:rsid w:val="45531639"/>
    <w:rsid w:val="45EC57D9"/>
    <w:rsid w:val="465467E3"/>
    <w:rsid w:val="466D03B6"/>
    <w:rsid w:val="467A4130"/>
    <w:rsid w:val="46ED3D62"/>
    <w:rsid w:val="46F030A7"/>
    <w:rsid w:val="46FE5A27"/>
    <w:rsid w:val="472165E1"/>
    <w:rsid w:val="472D42FC"/>
    <w:rsid w:val="472D7E58"/>
    <w:rsid w:val="474447A0"/>
    <w:rsid w:val="474B1F88"/>
    <w:rsid w:val="47B50093"/>
    <w:rsid w:val="47CE3835"/>
    <w:rsid w:val="47E938E8"/>
    <w:rsid w:val="47F548C0"/>
    <w:rsid w:val="48543A65"/>
    <w:rsid w:val="48551120"/>
    <w:rsid w:val="489A6008"/>
    <w:rsid w:val="48CE1A32"/>
    <w:rsid w:val="492B6619"/>
    <w:rsid w:val="49356079"/>
    <w:rsid w:val="4957634E"/>
    <w:rsid w:val="496F10FC"/>
    <w:rsid w:val="49881CCB"/>
    <w:rsid w:val="49975FBC"/>
    <w:rsid w:val="49D13AE4"/>
    <w:rsid w:val="49E1480A"/>
    <w:rsid w:val="49FB653F"/>
    <w:rsid w:val="4A4B3E0B"/>
    <w:rsid w:val="4A5D44B5"/>
    <w:rsid w:val="4A6437D4"/>
    <w:rsid w:val="4A8F086C"/>
    <w:rsid w:val="4AB070BD"/>
    <w:rsid w:val="4AE46E2A"/>
    <w:rsid w:val="4B086260"/>
    <w:rsid w:val="4B792C11"/>
    <w:rsid w:val="4C6C6665"/>
    <w:rsid w:val="4C993854"/>
    <w:rsid w:val="4C9D782D"/>
    <w:rsid w:val="4CBA0C3C"/>
    <w:rsid w:val="4CC773C4"/>
    <w:rsid w:val="4CE81B67"/>
    <w:rsid w:val="4CF077D9"/>
    <w:rsid w:val="4D211BA8"/>
    <w:rsid w:val="4E796FCF"/>
    <w:rsid w:val="4E816CDB"/>
    <w:rsid w:val="4EC5185F"/>
    <w:rsid w:val="4F0516BA"/>
    <w:rsid w:val="4F7A2315"/>
    <w:rsid w:val="4F9273F2"/>
    <w:rsid w:val="4FB31056"/>
    <w:rsid w:val="501D04C6"/>
    <w:rsid w:val="50224539"/>
    <w:rsid w:val="50675167"/>
    <w:rsid w:val="509B115C"/>
    <w:rsid w:val="50E705D7"/>
    <w:rsid w:val="50F773EF"/>
    <w:rsid w:val="50FA6AF3"/>
    <w:rsid w:val="51040E29"/>
    <w:rsid w:val="51AC2CF6"/>
    <w:rsid w:val="51CF2789"/>
    <w:rsid w:val="51EE696A"/>
    <w:rsid w:val="52E60BBD"/>
    <w:rsid w:val="53537FC2"/>
    <w:rsid w:val="537A576C"/>
    <w:rsid w:val="538D6EF1"/>
    <w:rsid w:val="53E24E79"/>
    <w:rsid w:val="54051CBA"/>
    <w:rsid w:val="54627517"/>
    <w:rsid w:val="54C301E3"/>
    <w:rsid w:val="54CD3E95"/>
    <w:rsid w:val="54FE1085"/>
    <w:rsid w:val="5507618C"/>
    <w:rsid w:val="555313D1"/>
    <w:rsid w:val="555465EE"/>
    <w:rsid w:val="55F777AB"/>
    <w:rsid w:val="5630606F"/>
    <w:rsid w:val="56431446"/>
    <w:rsid w:val="564D2F1F"/>
    <w:rsid w:val="56601D30"/>
    <w:rsid w:val="56864980"/>
    <w:rsid w:val="56BD287A"/>
    <w:rsid w:val="57617D64"/>
    <w:rsid w:val="579023A5"/>
    <w:rsid w:val="579D2991"/>
    <w:rsid w:val="57EF105C"/>
    <w:rsid w:val="58831FCD"/>
    <w:rsid w:val="58A81A34"/>
    <w:rsid w:val="597D4298"/>
    <w:rsid w:val="59CC3500"/>
    <w:rsid w:val="5A17089F"/>
    <w:rsid w:val="5A2B78A9"/>
    <w:rsid w:val="5AC204A2"/>
    <w:rsid w:val="5AD00DCE"/>
    <w:rsid w:val="5ADE079F"/>
    <w:rsid w:val="5ADF2CEC"/>
    <w:rsid w:val="5B74302C"/>
    <w:rsid w:val="5B93792A"/>
    <w:rsid w:val="5B9F4190"/>
    <w:rsid w:val="5BBE44A1"/>
    <w:rsid w:val="5C0F2120"/>
    <w:rsid w:val="5C3C2330"/>
    <w:rsid w:val="5CC2508E"/>
    <w:rsid w:val="5CC95CE6"/>
    <w:rsid w:val="5CF04714"/>
    <w:rsid w:val="5CF641B7"/>
    <w:rsid w:val="5CFA7B5F"/>
    <w:rsid w:val="5CFD12BC"/>
    <w:rsid w:val="5D872105"/>
    <w:rsid w:val="5DCE519B"/>
    <w:rsid w:val="5DDC2951"/>
    <w:rsid w:val="5E042794"/>
    <w:rsid w:val="5E8E75A3"/>
    <w:rsid w:val="5E9860A7"/>
    <w:rsid w:val="5EBC232F"/>
    <w:rsid w:val="5EC0678A"/>
    <w:rsid w:val="5ED877D8"/>
    <w:rsid w:val="5EE240B6"/>
    <w:rsid w:val="5F1A5C6D"/>
    <w:rsid w:val="5F2F7A39"/>
    <w:rsid w:val="5FA814DF"/>
    <w:rsid w:val="5FE82FD2"/>
    <w:rsid w:val="5FED58DF"/>
    <w:rsid w:val="6040616F"/>
    <w:rsid w:val="60B168B0"/>
    <w:rsid w:val="60C5514D"/>
    <w:rsid w:val="60D96503"/>
    <w:rsid w:val="60DD148F"/>
    <w:rsid w:val="60FF3D49"/>
    <w:rsid w:val="61305322"/>
    <w:rsid w:val="6159154D"/>
    <w:rsid w:val="61994C8C"/>
    <w:rsid w:val="61A65755"/>
    <w:rsid w:val="61BA65BF"/>
    <w:rsid w:val="628F77C1"/>
    <w:rsid w:val="62922B86"/>
    <w:rsid w:val="62B83782"/>
    <w:rsid w:val="62F67905"/>
    <w:rsid w:val="63344D9C"/>
    <w:rsid w:val="6372336A"/>
    <w:rsid w:val="63852965"/>
    <w:rsid w:val="63B719CA"/>
    <w:rsid w:val="63B87749"/>
    <w:rsid w:val="63E92F01"/>
    <w:rsid w:val="64063AB3"/>
    <w:rsid w:val="64255857"/>
    <w:rsid w:val="64371776"/>
    <w:rsid w:val="64371EBE"/>
    <w:rsid w:val="64565DD5"/>
    <w:rsid w:val="646903D7"/>
    <w:rsid w:val="647B624F"/>
    <w:rsid w:val="64B47B11"/>
    <w:rsid w:val="64E2382D"/>
    <w:rsid w:val="652C145A"/>
    <w:rsid w:val="652E3534"/>
    <w:rsid w:val="6614440A"/>
    <w:rsid w:val="678E46C4"/>
    <w:rsid w:val="6800730B"/>
    <w:rsid w:val="681B5ADF"/>
    <w:rsid w:val="685E210F"/>
    <w:rsid w:val="686065CC"/>
    <w:rsid w:val="689D00AB"/>
    <w:rsid w:val="68A94442"/>
    <w:rsid w:val="68BC5CCF"/>
    <w:rsid w:val="694B1CA9"/>
    <w:rsid w:val="696848C8"/>
    <w:rsid w:val="69D87C9F"/>
    <w:rsid w:val="69F0323B"/>
    <w:rsid w:val="6A333F49"/>
    <w:rsid w:val="6A3D7B02"/>
    <w:rsid w:val="6A6F3824"/>
    <w:rsid w:val="6AB204F0"/>
    <w:rsid w:val="6AE125CF"/>
    <w:rsid w:val="6AF97ECD"/>
    <w:rsid w:val="6B356F25"/>
    <w:rsid w:val="6C6121CE"/>
    <w:rsid w:val="6C7822A9"/>
    <w:rsid w:val="6C9B0687"/>
    <w:rsid w:val="6CCD0C34"/>
    <w:rsid w:val="6D2B360C"/>
    <w:rsid w:val="6DD94EB7"/>
    <w:rsid w:val="6ED65668"/>
    <w:rsid w:val="6F5F3C10"/>
    <w:rsid w:val="6F7D619A"/>
    <w:rsid w:val="6F9F35B4"/>
    <w:rsid w:val="6FCA71E0"/>
    <w:rsid w:val="6FD827A7"/>
    <w:rsid w:val="703145D9"/>
    <w:rsid w:val="706C1141"/>
    <w:rsid w:val="706E7C9E"/>
    <w:rsid w:val="707324D0"/>
    <w:rsid w:val="70CF5032"/>
    <w:rsid w:val="71856DEF"/>
    <w:rsid w:val="71A130D0"/>
    <w:rsid w:val="71DA004A"/>
    <w:rsid w:val="726B69B0"/>
    <w:rsid w:val="728A0291"/>
    <w:rsid w:val="729F531D"/>
    <w:rsid w:val="72CF47E7"/>
    <w:rsid w:val="72ED48AE"/>
    <w:rsid w:val="730361B9"/>
    <w:rsid w:val="734466F5"/>
    <w:rsid w:val="738D5656"/>
    <w:rsid w:val="73EA2043"/>
    <w:rsid w:val="742740AC"/>
    <w:rsid w:val="743A2B40"/>
    <w:rsid w:val="745F7336"/>
    <w:rsid w:val="74923BF4"/>
    <w:rsid w:val="74C44810"/>
    <w:rsid w:val="74CF773B"/>
    <w:rsid w:val="750202C6"/>
    <w:rsid w:val="751B4038"/>
    <w:rsid w:val="75475CD9"/>
    <w:rsid w:val="75B354EE"/>
    <w:rsid w:val="75BC3DFE"/>
    <w:rsid w:val="76A06528"/>
    <w:rsid w:val="76DB2792"/>
    <w:rsid w:val="77091498"/>
    <w:rsid w:val="77BA7B83"/>
    <w:rsid w:val="77EA05CE"/>
    <w:rsid w:val="785D1817"/>
    <w:rsid w:val="786C5947"/>
    <w:rsid w:val="78861E4A"/>
    <w:rsid w:val="78D37FAF"/>
    <w:rsid w:val="78F57EFF"/>
    <w:rsid w:val="79BF5E05"/>
    <w:rsid w:val="79F71BE1"/>
    <w:rsid w:val="7A0D60DE"/>
    <w:rsid w:val="7A0F5025"/>
    <w:rsid w:val="7A16003B"/>
    <w:rsid w:val="7A367DDC"/>
    <w:rsid w:val="7A6A4943"/>
    <w:rsid w:val="7AE600D4"/>
    <w:rsid w:val="7AEC35AA"/>
    <w:rsid w:val="7B0A28DC"/>
    <w:rsid w:val="7B0B390C"/>
    <w:rsid w:val="7B8109A5"/>
    <w:rsid w:val="7BBA0FB3"/>
    <w:rsid w:val="7BF21F72"/>
    <w:rsid w:val="7C9B21DA"/>
    <w:rsid w:val="7CAC5049"/>
    <w:rsid w:val="7CE31C56"/>
    <w:rsid w:val="7D5A1A2C"/>
    <w:rsid w:val="7D686286"/>
    <w:rsid w:val="7D757A64"/>
    <w:rsid w:val="7D921F97"/>
    <w:rsid w:val="7DA34981"/>
    <w:rsid w:val="7DA83736"/>
    <w:rsid w:val="7DB9757F"/>
    <w:rsid w:val="7E104461"/>
    <w:rsid w:val="7F39186C"/>
    <w:rsid w:val="7F6E5771"/>
    <w:rsid w:val="7FCE50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qFormat/>
    <w:uiPriority w:val="0"/>
    <w:pPr>
      <w:keepNext/>
      <w:keepLines/>
      <w:adjustRightInd w:val="0"/>
      <w:snapToGrid w:val="0"/>
      <w:spacing w:line="360" w:lineRule="auto"/>
      <w:jc w:val="center"/>
      <w:outlineLvl w:val="0"/>
    </w:pPr>
    <w:rPr>
      <w:rFonts w:ascii="方正小标宋简体" w:hAnsi="方正小标宋简体" w:eastAsia="方正小标宋简体" w:cs="方正小标宋简体"/>
      <w:b/>
      <w:kern w:val="44"/>
      <w:sz w:val="32"/>
      <w:szCs w:val="32"/>
    </w:rPr>
  </w:style>
  <w:style w:type="paragraph" w:styleId="3">
    <w:name w:val="heading 2"/>
    <w:basedOn w:val="1"/>
    <w:next w:val="1"/>
    <w:link w:val="44"/>
    <w:unhideWhenUsed/>
    <w:qFormat/>
    <w:uiPriority w:val="0"/>
    <w:pPr>
      <w:snapToGrid w:val="0"/>
      <w:jc w:val="center"/>
      <w:outlineLvl w:val="1"/>
    </w:pPr>
    <w:rPr>
      <w:rFonts w:ascii="仿宋_GB2312" w:hAnsi="仿宋_GB2312" w:eastAsia="仿宋_GB2312" w:cs="仿宋_GB2312"/>
      <w:b/>
      <w:bCs/>
      <w:sz w:val="32"/>
      <w:szCs w:val="32"/>
    </w:rPr>
  </w:style>
  <w:style w:type="paragraph" w:styleId="4">
    <w:name w:val="heading 3"/>
    <w:basedOn w:val="3"/>
    <w:next w:val="1"/>
    <w:link w:val="34"/>
    <w:unhideWhenUsed/>
    <w:qFormat/>
    <w:uiPriority w:val="0"/>
    <w:pPr>
      <w:numPr>
        <w:ilvl w:val="0"/>
        <w:numId w:val="1"/>
      </w:numPr>
      <w:jc w:val="left"/>
      <w:outlineLvl w:val="2"/>
    </w:pPr>
  </w:style>
  <w:style w:type="character" w:default="1" w:styleId="25">
    <w:name w:val="Default Paragraph Font"/>
    <w:semiHidden/>
    <w:unhideWhenUsed/>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qFormat/>
    <w:uiPriority w:val="0"/>
    <w:pPr>
      <w:ind w:left="1440"/>
    </w:pPr>
    <w:rPr>
      <w:rFonts w:asciiTheme="minorHAnsi" w:hAnsiTheme="minorHAnsi" w:cstheme="minorHAnsi"/>
      <w:sz w:val="18"/>
      <w:szCs w:val="18"/>
    </w:rPr>
  </w:style>
  <w:style w:type="paragraph" w:styleId="6">
    <w:name w:val="caption"/>
    <w:basedOn w:val="1"/>
    <w:next w:val="1"/>
    <w:unhideWhenUsed/>
    <w:qFormat/>
    <w:uiPriority w:val="0"/>
    <w:rPr>
      <w:rFonts w:eastAsia="黑体" w:asciiTheme="majorHAnsi" w:hAnsiTheme="majorHAnsi" w:cstheme="majorBidi"/>
      <w:sz w:val="20"/>
      <w:szCs w:val="20"/>
    </w:rPr>
  </w:style>
  <w:style w:type="paragraph" w:styleId="7">
    <w:name w:val="annotation text"/>
    <w:basedOn w:val="1"/>
    <w:link w:val="42"/>
    <w:qFormat/>
    <w:uiPriority w:val="0"/>
  </w:style>
  <w:style w:type="paragraph" w:styleId="8">
    <w:name w:val="toc 5"/>
    <w:basedOn w:val="1"/>
    <w:next w:val="1"/>
    <w:qFormat/>
    <w:uiPriority w:val="0"/>
    <w:pPr>
      <w:ind w:left="960"/>
    </w:pPr>
    <w:rPr>
      <w:rFonts w:asciiTheme="minorHAnsi" w:hAnsiTheme="minorHAnsi" w:cstheme="minorHAnsi"/>
      <w:sz w:val="18"/>
      <w:szCs w:val="18"/>
    </w:rPr>
  </w:style>
  <w:style w:type="paragraph" w:styleId="9">
    <w:name w:val="toc 3"/>
    <w:basedOn w:val="1"/>
    <w:next w:val="1"/>
    <w:qFormat/>
    <w:uiPriority w:val="39"/>
    <w:pPr>
      <w:ind w:left="480"/>
    </w:pPr>
    <w:rPr>
      <w:rFonts w:asciiTheme="minorHAnsi" w:hAnsiTheme="minorHAnsi" w:cstheme="minorHAnsi"/>
      <w:i/>
      <w:iCs/>
      <w:sz w:val="20"/>
      <w:szCs w:val="20"/>
    </w:rPr>
  </w:style>
  <w:style w:type="paragraph" w:styleId="10">
    <w:name w:val="toc 8"/>
    <w:basedOn w:val="1"/>
    <w:next w:val="1"/>
    <w:qFormat/>
    <w:uiPriority w:val="0"/>
    <w:pPr>
      <w:ind w:left="1680"/>
    </w:pPr>
    <w:rPr>
      <w:rFonts w:asciiTheme="minorHAnsi" w:hAnsiTheme="minorHAnsi" w:cstheme="minorHAnsi"/>
      <w:sz w:val="18"/>
      <w:szCs w:val="18"/>
    </w:rPr>
  </w:style>
  <w:style w:type="paragraph" w:styleId="11">
    <w:name w:val="Balloon Text"/>
    <w:basedOn w:val="1"/>
    <w:link w:val="41"/>
    <w:qFormat/>
    <w:uiPriority w:val="0"/>
    <w:rPr>
      <w:sz w:val="18"/>
      <w:szCs w:val="18"/>
    </w:rPr>
  </w:style>
  <w:style w:type="paragraph" w:styleId="12">
    <w:name w:val="footer"/>
    <w:basedOn w:val="1"/>
    <w:qFormat/>
    <w:uiPriority w:val="0"/>
    <w:pPr>
      <w:tabs>
        <w:tab w:val="center" w:pos="4153"/>
        <w:tab w:val="right" w:pos="8306"/>
      </w:tabs>
      <w:snapToGrid w:val="0"/>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4">
    <w:name w:val="toc 1"/>
    <w:basedOn w:val="1"/>
    <w:next w:val="1"/>
    <w:qFormat/>
    <w:uiPriority w:val="39"/>
    <w:pPr>
      <w:tabs>
        <w:tab w:val="right" w:leader="dot" w:pos="8296"/>
      </w:tabs>
      <w:spacing w:before="120" w:after="120"/>
      <w:jc w:val="center"/>
    </w:pPr>
    <w:rPr>
      <w:rFonts w:asciiTheme="minorHAnsi" w:hAnsiTheme="minorHAnsi" w:cstheme="minorHAnsi"/>
      <w:b/>
      <w:bCs/>
      <w:caps/>
      <w:sz w:val="20"/>
      <w:szCs w:val="20"/>
    </w:rPr>
  </w:style>
  <w:style w:type="paragraph" w:styleId="15">
    <w:name w:val="toc 4"/>
    <w:basedOn w:val="1"/>
    <w:next w:val="1"/>
    <w:qFormat/>
    <w:uiPriority w:val="0"/>
    <w:pPr>
      <w:ind w:left="720"/>
    </w:pPr>
    <w:rPr>
      <w:rFonts w:asciiTheme="minorHAnsi" w:hAnsiTheme="minorHAnsi" w:cstheme="minorHAnsi"/>
      <w:sz w:val="18"/>
      <w:szCs w:val="18"/>
    </w:rPr>
  </w:style>
  <w:style w:type="paragraph" w:styleId="16">
    <w:name w:val="toc 6"/>
    <w:basedOn w:val="1"/>
    <w:next w:val="1"/>
    <w:qFormat/>
    <w:uiPriority w:val="0"/>
    <w:pPr>
      <w:ind w:left="1200"/>
    </w:pPr>
    <w:rPr>
      <w:rFonts w:asciiTheme="minorHAnsi" w:hAnsiTheme="minorHAnsi" w:cstheme="minorHAnsi"/>
      <w:sz w:val="18"/>
      <w:szCs w:val="18"/>
    </w:rPr>
  </w:style>
  <w:style w:type="paragraph" w:styleId="17">
    <w:name w:val="table of figures"/>
    <w:basedOn w:val="1"/>
    <w:next w:val="1"/>
    <w:qFormat/>
    <w:uiPriority w:val="99"/>
    <w:pPr>
      <w:ind w:left="200" w:leftChars="200" w:hanging="200" w:hangingChars="200"/>
    </w:pPr>
  </w:style>
  <w:style w:type="paragraph" w:styleId="18">
    <w:name w:val="toc 2"/>
    <w:basedOn w:val="1"/>
    <w:next w:val="1"/>
    <w:qFormat/>
    <w:uiPriority w:val="39"/>
    <w:pPr>
      <w:ind w:left="240"/>
    </w:pPr>
    <w:rPr>
      <w:rFonts w:asciiTheme="minorHAnsi" w:hAnsiTheme="minorHAnsi" w:cstheme="minorHAnsi"/>
      <w:smallCaps/>
      <w:sz w:val="20"/>
      <w:szCs w:val="20"/>
    </w:rPr>
  </w:style>
  <w:style w:type="paragraph" w:styleId="19">
    <w:name w:val="toc 9"/>
    <w:basedOn w:val="1"/>
    <w:next w:val="1"/>
    <w:qFormat/>
    <w:uiPriority w:val="0"/>
    <w:pPr>
      <w:ind w:left="1920"/>
    </w:pPr>
    <w:rPr>
      <w:rFonts w:asciiTheme="minorHAnsi" w:hAnsiTheme="minorHAnsi" w:cstheme="minorHAnsi"/>
      <w:sz w:val="18"/>
      <w:szCs w:val="18"/>
    </w:rPr>
  </w:style>
  <w:style w:type="paragraph" w:styleId="20">
    <w:name w:val="Normal (Web)"/>
    <w:basedOn w:val="1"/>
    <w:qFormat/>
    <w:uiPriority w:val="0"/>
    <w:rPr>
      <w:rFonts w:ascii="Calibri" w:hAnsi="Calibri" w:cs="Times New Roman"/>
    </w:rPr>
  </w:style>
  <w:style w:type="paragraph" w:styleId="21">
    <w:name w:val="Title"/>
    <w:basedOn w:val="1"/>
    <w:next w:val="1"/>
    <w:link w:val="36"/>
    <w:qFormat/>
    <w:uiPriority w:val="0"/>
    <w:pPr>
      <w:spacing w:before="240" w:after="60"/>
      <w:jc w:val="center"/>
      <w:outlineLvl w:val="0"/>
    </w:pPr>
    <w:rPr>
      <w:rFonts w:asciiTheme="majorHAnsi" w:hAnsiTheme="majorHAnsi" w:eastAsiaTheme="majorEastAsia" w:cstheme="majorBidi"/>
      <w:b/>
      <w:bCs/>
      <w:sz w:val="32"/>
      <w:szCs w:val="32"/>
    </w:rPr>
  </w:style>
  <w:style w:type="paragraph" w:styleId="22">
    <w:name w:val="annotation subject"/>
    <w:basedOn w:val="7"/>
    <w:next w:val="7"/>
    <w:link w:val="43"/>
    <w:qFormat/>
    <w:uiPriority w:val="0"/>
    <w:rPr>
      <w:b/>
      <w:bCs/>
    </w:rPr>
  </w:style>
  <w:style w:type="table" w:styleId="24">
    <w:name w:val="Table Grid"/>
    <w:basedOn w:val="2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rPr>
  </w:style>
  <w:style w:type="character" w:styleId="27">
    <w:name w:val="FollowedHyperlink"/>
    <w:basedOn w:val="25"/>
    <w:qFormat/>
    <w:uiPriority w:val="0"/>
    <w:rPr>
      <w:color w:val="954F72" w:themeColor="followedHyperlink"/>
      <w:u w:val="single"/>
      <w14:textFill>
        <w14:solidFill>
          <w14:schemeClr w14:val="folHlink"/>
        </w14:solidFill>
      </w14:textFill>
    </w:rPr>
  </w:style>
  <w:style w:type="character" w:styleId="28">
    <w:name w:val="Hyperlink"/>
    <w:basedOn w:val="25"/>
    <w:qFormat/>
    <w:uiPriority w:val="99"/>
    <w:rPr>
      <w:color w:val="0000FF"/>
      <w:u w:val="single"/>
    </w:rPr>
  </w:style>
  <w:style w:type="character" w:styleId="29">
    <w:name w:val="annotation reference"/>
    <w:basedOn w:val="25"/>
    <w:qFormat/>
    <w:uiPriority w:val="0"/>
    <w:rPr>
      <w:sz w:val="21"/>
      <w:szCs w:val="21"/>
    </w:rPr>
  </w:style>
  <w:style w:type="character" w:customStyle="1" w:styleId="30">
    <w:name w:val="font91"/>
    <w:basedOn w:val="25"/>
    <w:qFormat/>
    <w:uiPriority w:val="0"/>
    <w:rPr>
      <w:rFonts w:ascii="Arial" w:hAnsi="Arial" w:cs="Arial"/>
      <w:color w:val="000000"/>
      <w:sz w:val="16"/>
      <w:szCs w:val="16"/>
      <w:u w:val="none"/>
    </w:rPr>
  </w:style>
  <w:style w:type="character" w:customStyle="1" w:styleId="31">
    <w:name w:val="font51"/>
    <w:basedOn w:val="25"/>
    <w:qFormat/>
    <w:uiPriority w:val="0"/>
    <w:rPr>
      <w:rFonts w:hint="eastAsia" w:ascii="宋体" w:hAnsi="宋体" w:eastAsia="宋体" w:cs="宋体"/>
      <w:color w:val="000000"/>
      <w:sz w:val="16"/>
      <w:szCs w:val="16"/>
      <w:u w:val="none"/>
    </w:rPr>
  </w:style>
  <w:style w:type="paragraph" w:customStyle="1" w:styleId="32">
    <w:name w:val="文字"/>
    <w:qFormat/>
    <w:uiPriority w:val="0"/>
    <w:pPr>
      <w:adjustRightInd w:val="0"/>
      <w:snapToGrid w:val="0"/>
      <w:spacing w:line="360" w:lineRule="auto"/>
      <w:ind w:firstLine="560" w:firstLineChars="200"/>
    </w:pPr>
    <w:rPr>
      <w:rFonts w:ascii="仿宋_GB2312" w:hAnsi="仿宋_GB2312" w:eastAsia="仿宋_GB2312" w:cs="仿宋_GB2312"/>
      <w:bCs/>
      <w:kern w:val="44"/>
      <w:sz w:val="28"/>
      <w:szCs w:val="28"/>
      <w:lang w:val="en-US" w:eastAsia="zh-CN" w:bidi="ar-SA"/>
    </w:rPr>
  </w:style>
  <w:style w:type="paragraph" w:styleId="33">
    <w:name w:val="List Paragraph"/>
    <w:basedOn w:val="1"/>
    <w:unhideWhenUsed/>
    <w:qFormat/>
    <w:uiPriority w:val="99"/>
    <w:pPr>
      <w:ind w:firstLine="420" w:firstLineChars="200"/>
    </w:pPr>
  </w:style>
  <w:style w:type="character" w:customStyle="1" w:styleId="34">
    <w:name w:val="标题 3 字符"/>
    <w:link w:val="4"/>
    <w:semiHidden/>
    <w:qFormat/>
    <w:uiPriority w:val="0"/>
    <w:rPr>
      <w:rFonts w:ascii="仿宋_GB2312" w:hAnsi="仿宋_GB2312" w:eastAsia="仿宋_GB2312" w:cs="仿宋_GB2312"/>
      <w:b/>
      <w:bCs/>
      <w:sz w:val="32"/>
      <w:szCs w:val="32"/>
      <w:lang w:val="en-US" w:eastAsia="zh-CN" w:bidi="ar-SA"/>
    </w:rPr>
  </w:style>
  <w:style w:type="character" w:customStyle="1" w:styleId="35">
    <w:name w:val="未处理的提及1"/>
    <w:basedOn w:val="25"/>
    <w:semiHidden/>
    <w:unhideWhenUsed/>
    <w:qFormat/>
    <w:uiPriority w:val="99"/>
    <w:rPr>
      <w:color w:val="605E5C"/>
      <w:shd w:val="clear" w:color="auto" w:fill="E1DFDD"/>
    </w:rPr>
  </w:style>
  <w:style w:type="character" w:customStyle="1" w:styleId="36">
    <w:name w:val="标题 字符"/>
    <w:basedOn w:val="25"/>
    <w:link w:val="21"/>
    <w:qFormat/>
    <w:uiPriority w:val="0"/>
    <w:rPr>
      <w:rFonts w:asciiTheme="majorHAnsi" w:hAnsiTheme="majorHAnsi" w:eastAsiaTheme="majorEastAsia" w:cstheme="majorBidi"/>
      <w:b/>
      <w:bCs/>
      <w:sz w:val="32"/>
      <w:szCs w:val="32"/>
    </w:rPr>
  </w:style>
  <w:style w:type="character" w:customStyle="1" w:styleId="37">
    <w:name w:val="不明显强调1"/>
    <w:basedOn w:val="25"/>
    <w:qFormat/>
    <w:uiPriority w:val="19"/>
    <w:rPr>
      <w:i/>
      <w:iCs/>
      <w:color w:val="404040" w:themeColor="text1" w:themeTint="BF"/>
      <w14:textFill>
        <w14:solidFill>
          <w14:schemeClr w14:val="tx1">
            <w14:lumMod w14:val="75000"/>
            <w14:lumOff w14:val="25000"/>
          </w14:schemeClr>
        </w14:solidFill>
      </w14:textFill>
    </w:rPr>
  </w:style>
  <w:style w:type="paragraph" w:customStyle="1" w:styleId="38">
    <w:name w:val="表格文字"/>
    <w:basedOn w:val="32"/>
    <w:qFormat/>
    <w:uiPriority w:val="0"/>
    <w:pPr>
      <w:ind w:left="-2" w:leftChars="-1" w:firstLine="0" w:firstLineChars="0"/>
    </w:pPr>
  </w:style>
  <w:style w:type="character" w:customStyle="1" w:styleId="39">
    <w:name w:val="未处理的提及2"/>
    <w:basedOn w:val="25"/>
    <w:semiHidden/>
    <w:unhideWhenUsed/>
    <w:qFormat/>
    <w:uiPriority w:val="99"/>
    <w:rPr>
      <w:color w:val="605E5C"/>
      <w:shd w:val="clear" w:color="auto" w:fill="E1DFDD"/>
    </w:rPr>
  </w:style>
  <w:style w:type="table" w:customStyle="1" w:styleId="40">
    <w:name w:val="无格式表格 21"/>
    <w:basedOn w:val="23"/>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41">
    <w:name w:val="批注框文本 字符"/>
    <w:basedOn w:val="25"/>
    <w:link w:val="11"/>
    <w:qFormat/>
    <w:uiPriority w:val="0"/>
    <w:rPr>
      <w:rFonts w:ascii="宋体" w:hAnsi="宋体" w:cs="宋体"/>
      <w:sz w:val="18"/>
      <w:szCs w:val="18"/>
    </w:rPr>
  </w:style>
  <w:style w:type="character" w:customStyle="1" w:styleId="42">
    <w:name w:val="批注文字 字符"/>
    <w:basedOn w:val="25"/>
    <w:link w:val="7"/>
    <w:qFormat/>
    <w:uiPriority w:val="0"/>
    <w:rPr>
      <w:rFonts w:ascii="宋体" w:hAnsi="宋体" w:cs="宋体"/>
      <w:sz w:val="24"/>
      <w:szCs w:val="24"/>
    </w:rPr>
  </w:style>
  <w:style w:type="character" w:customStyle="1" w:styleId="43">
    <w:name w:val="批注主题 字符"/>
    <w:basedOn w:val="42"/>
    <w:link w:val="22"/>
    <w:qFormat/>
    <w:uiPriority w:val="0"/>
    <w:rPr>
      <w:rFonts w:ascii="宋体" w:hAnsi="宋体" w:cs="宋体"/>
      <w:b/>
      <w:bCs/>
      <w:sz w:val="24"/>
      <w:szCs w:val="24"/>
    </w:rPr>
  </w:style>
  <w:style w:type="character" w:customStyle="1" w:styleId="44">
    <w:name w:val="标题 2 字符"/>
    <w:link w:val="3"/>
    <w:qFormat/>
    <w:uiPriority w:val="0"/>
    <w:rPr>
      <w:rFonts w:ascii="仿宋_GB2312" w:hAnsi="仿宋_GB2312" w:eastAsia="仿宋_GB2312" w:cs="仿宋_GB2312"/>
      <w:b/>
      <w:bCs/>
      <w:sz w:val="32"/>
      <w:szCs w:val="32"/>
      <w:lang w:val="en-US" w:eastAsia="zh-CN" w:bidi="ar-SA"/>
    </w:rPr>
  </w:style>
  <w:style w:type="table" w:customStyle="1" w:styleId="45">
    <w:name w:val="清单表 3 - 着色 11"/>
    <w:basedOn w:val="23"/>
    <w:qFormat/>
    <w:uiPriority w:val="48"/>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b/>
        <w:bCs/>
        <w:color w:val="FFFFFF" w:themeColor="background1"/>
        <w14:textFill>
          <w14:solidFill>
            <w14:schemeClr w14:val="bg1"/>
          </w14:solidFill>
        </w14:textFill>
      </w:rPr>
      <w:tcPr>
        <w:shd w:val="clear" w:color="auto" w:fill="5B9BD5" w:themeFill="accent1"/>
      </w:tcPr>
    </w:tblStylePr>
    <w:tblStylePr w:type="lastRow">
      <w:rPr>
        <w:b/>
        <w:bCs/>
      </w:rPr>
      <w:tcPr>
        <w:tcBorders>
          <w:top w:val="double" w:color="5B9BD5"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5B9BD5" w:themeColor="accent1" w:sz="4" w:space="0"/>
          <w:right w:val="single" w:color="5B9BD5" w:themeColor="accent1" w:sz="4" w:space="0"/>
        </w:tcBorders>
      </w:tcPr>
    </w:tblStylePr>
    <w:tblStylePr w:type="band1Horz">
      <w:tcPr>
        <w:tcBorders>
          <w:top w:val="single" w:color="5B9BD5" w:themeColor="accent1" w:sz="4" w:space="0"/>
          <w:bottom w:val="single" w:color="5B9BD5"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5B9BD5" w:themeColor="accent1" w:sz="4" w:space="0"/>
          <w:left w:val="nil"/>
        </w:tcBorders>
      </w:tcPr>
    </w:tblStylePr>
    <w:tblStylePr w:type="swCell">
      <w:tcPr>
        <w:tcBorders>
          <w:top w:val="double" w:color="5B9BD5" w:themeColor="accent1" w:sz="4" w:space="0"/>
          <w:right w:val="nil"/>
        </w:tcBorders>
      </w:tcPr>
    </w:tblStylePr>
  </w:style>
  <w:style w:type="character" w:customStyle="1" w:styleId="46">
    <w:name w:val="Unresolved Mention"/>
    <w:basedOn w:val="2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421170-282B-CB47-A1ED-672013FA7277}">
  <ds:schemaRefs/>
</ds:datastoreItem>
</file>

<file path=docProps/app.xml><?xml version="1.0" encoding="utf-8"?>
<Properties xmlns="http://schemas.openxmlformats.org/officeDocument/2006/extended-properties" xmlns:vt="http://schemas.openxmlformats.org/officeDocument/2006/docPropsVTypes">
  <Template>Normal.dotm</Template>
  <Company>集团总部</Company>
  <Pages>7</Pages>
  <Words>801</Words>
  <Characters>1070</Characters>
  <Lines>55</Lines>
  <Paragraphs>15</Paragraphs>
  <TotalTime>15</TotalTime>
  <ScaleCrop>false</ScaleCrop>
  <LinksUpToDate>false</LinksUpToDate>
  <CharactersWithSpaces>1102</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2025-03-16T05:36:00Z</dcterms:created>
  <dc:creator>任毅</dc:creator>
  <cp:lastModifiedBy>蓝天小云</cp:lastModifiedBy>
  <dcterms:modified xsi:type="dcterms:W3CDTF">2025-07-25T05:55:01Z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69B2ADB5A24B4895ACC8D6450E190A22</vt:lpwstr>
  </property>
  <property fmtid="{D5CDD505-2E9C-101B-9397-08002B2CF9AE}" pid="4" name="KSOTemplateDocerSaveRecord">
    <vt:lpwstr>eyJoZGlkIjoiYTAyYWMzNzNkNTc2NDA5ZjJhMjk3NmNmMDFlMDMyNGIiLCJ1c2VySWQiOiIzNTY3OTY0OTMifQ==</vt:lpwstr>
  </property>
</Properties>
</file>