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30334C">
      <w:pPr>
        <w:snapToGrid w:val="0"/>
        <w:spacing w:line="360" w:lineRule="auto"/>
        <w:ind w:firstLine="897"/>
        <w:jc w:val="both"/>
        <w:rPr>
          <w:rFonts w:ascii="黑体" w:hAnsi="黑体" w:eastAsia="黑体" w:cs="黑体"/>
          <w:b/>
          <w:bCs/>
          <w:sz w:val="44"/>
          <w:szCs w:val="52"/>
        </w:rPr>
      </w:pPr>
    </w:p>
    <w:p w14:paraId="1D726450">
      <w:pPr>
        <w:snapToGrid w:val="0"/>
        <w:spacing w:line="360" w:lineRule="auto"/>
        <w:ind w:firstLine="897"/>
        <w:jc w:val="both"/>
        <w:rPr>
          <w:rFonts w:ascii="黑体" w:hAnsi="黑体" w:eastAsia="黑体" w:cs="黑体"/>
          <w:b/>
          <w:bCs/>
          <w:sz w:val="44"/>
          <w:szCs w:val="52"/>
        </w:rPr>
      </w:pPr>
    </w:p>
    <w:p w14:paraId="189DC712">
      <w:pPr>
        <w:snapToGrid w:val="0"/>
        <w:spacing w:line="360" w:lineRule="auto"/>
        <w:ind w:firstLine="897"/>
        <w:jc w:val="both"/>
        <w:rPr>
          <w:rFonts w:ascii="黑体" w:hAnsi="黑体" w:eastAsia="黑体" w:cs="黑体"/>
          <w:b/>
          <w:bCs/>
          <w:sz w:val="44"/>
          <w:szCs w:val="52"/>
        </w:rPr>
      </w:pPr>
    </w:p>
    <w:p w14:paraId="3FC599BD">
      <w:pPr>
        <w:snapToGrid w:val="0"/>
        <w:spacing w:line="360" w:lineRule="auto"/>
        <w:ind w:firstLine="897"/>
        <w:jc w:val="both"/>
        <w:rPr>
          <w:rFonts w:ascii="黑体" w:hAnsi="黑体" w:eastAsia="黑体" w:cs="黑体"/>
          <w:b/>
          <w:bCs/>
          <w:sz w:val="44"/>
          <w:szCs w:val="52"/>
        </w:rPr>
      </w:pPr>
    </w:p>
    <w:p w14:paraId="00278D5D">
      <w:pPr>
        <w:snapToGrid w:val="0"/>
        <w:spacing w:line="360" w:lineRule="auto"/>
        <w:ind w:firstLine="897"/>
        <w:jc w:val="both"/>
        <w:rPr>
          <w:rFonts w:ascii="黑体" w:hAnsi="黑体" w:eastAsia="黑体" w:cs="黑体"/>
          <w:b/>
          <w:bCs/>
          <w:sz w:val="44"/>
          <w:szCs w:val="52"/>
        </w:rPr>
      </w:pPr>
    </w:p>
    <w:p w14:paraId="5D9F7C82">
      <w:pPr>
        <w:snapToGrid w:val="0"/>
        <w:spacing w:line="360" w:lineRule="auto"/>
        <w:ind w:firstLine="897"/>
        <w:jc w:val="both"/>
        <w:rPr>
          <w:rFonts w:ascii="黑体" w:hAnsi="黑体" w:eastAsia="黑体" w:cs="黑体"/>
          <w:b/>
          <w:bCs/>
          <w:sz w:val="44"/>
          <w:szCs w:val="52"/>
        </w:rPr>
      </w:pPr>
    </w:p>
    <w:p w14:paraId="6002290B">
      <w:pPr>
        <w:snapToGrid w:val="0"/>
        <w:spacing w:line="360" w:lineRule="auto"/>
        <w:ind w:firstLine="897"/>
        <w:jc w:val="center"/>
        <w:rPr>
          <w:rFonts w:ascii="黑体" w:hAnsi="黑体" w:eastAsia="黑体" w:cs="黑体"/>
          <w:b/>
          <w:bCs/>
          <w:sz w:val="44"/>
          <w:szCs w:val="52"/>
        </w:rPr>
      </w:pPr>
      <w:r>
        <w:rPr>
          <w:rFonts w:hint="eastAsia" w:ascii="黑体" w:hAnsi="黑体" w:eastAsia="黑体" w:cs="黑体"/>
          <w:b/>
          <w:bCs/>
          <w:sz w:val="44"/>
          <w:szCs w:val="52"/>
        </w:rPr>
        <w:t xml:space="preserve"> 每周政策速递</w:t>
      </w:r>
    </w:p>
    <w:p w14:paraId="49B54A9F">
      <w:pPr>
        <w:snapToGrid w:val="0"/>
        <w:spacing w:line="360" w:lineRule="auto"/>
        <w:ind w:firstLine="897"/>
        <w:jc w:val="center"/>
        <w:rPr>
          <w:rFonts w:ascii="黑体" w:hAnsi="黑体" w:eastAsia="黑体" w:cs="黑体"/>
          <w:b/>
          <w:bCs/>
          <w:sz w:val="44"/>
          <w:szCs w:val="52"/>
        </w:rPr>
      </w:pPr>
      <w:r>
        <w:rPr>
          <w:rFonts w:hint="eastAsia" w:ascii="黑体" w:hAnsi="黑体" w:eastAsia="黑体" w:cs="黑体"/>
          <w:b/>
          <w:bCs/>
          <w:sz w:val="44"/>
          <w:szCs w:val="52"/>
        </w:rPr>
        <w:t>（</w:t>
      </w:r>
      <w:r>
        <w:rPr>
          <w:rFonts w:hint="eastAsia" w:ascii="黑体" w:hAnsi="黑体" w:eastAsia="黑体" w:cs="黑体"/>
          <w:b/>
          <w:bCs/>
          <w:sz w:val="44"/>
          <w:szCs w:val="52"/>
          <w:lang w:val="en-US" w:eastAsia="zh-CN"/>
        </w:rPr>
        <w:t>8</w:t>
      </w:r>
      <w:r>
        <w:rPr>
          <w:rFonts w:hint="eastAsia" w:ascii="黑体" w:hAnsi="黑体" w:eastAsia="黑体" w:cs="黑体"/>
          <w:b/>
          <w:bCs/>
          <w:sz w:val="44"/>
          <w:szCs w:val="52"/>
        </w:rPr>
        <w:t>月</w:t>
      </w:r>
      <w:r>
        <w:rPr>
          <w:rFonts w:hint="eastAsia" w:ascii="黑体" w:hAnsi="黑体" w:eastAsia="黑体" w:cs="黑体"/>
          <w:b/>
          <w:bCs/>
          <w:sz w:val="44"/>
          <w:szCs w:val="52"/>
          <w:lang w:val="en-US" w:eastAsia="zh-CN"/>
        </w:rPr>
        <w:t>22</w:t>
      </w:r>
      <w:r>
        <w:rPr>
          <w:rFonts w:hint="eastAsia" w:ascii="黑体" w:hAnsi="黑体" w:eastAsia="黑体" w:cs="黑体"/>
          <w:b/>
          <w:bCs/>
          <w:sz w:val="44"/>
          <w:szCs w:val="52"/>
        </w:rPr>
        <w:t>日-</w:t>
      </w:r>
      <w:r>
        <w:rPr>
          <w:rFonts w:hint="eastAsia" w:ascii="黑体" w:hAnsi="黑体" w:eastAsia="黑体" w:cs="黑体"/>
          <w:b/>
          <w:bCs/>
          <w:sz w:val="44"/>
          <w:szCs w:val="52"/>
          <w:lang w:val="en-US" w:eastAsia="zh-CN"/>
        </w:rPr>
        <w:t>8</w:t>
      </w:r>
      <w:r>
        <w:rPr>
          <w:rFonts w:hint="eastAsia" w:ascii="黑体" w:hAnsi="黑体" w:eastAsia="黑体" w:cs="黑体"/>
          <w:b/>
          <w:bCs/>
          <w:sz w:val="44"/>
          <w:szCs w:val="52"/>
        </w:rPr>
        <w:t>月</w:t>
      </w:r>
      <w:r>
        <w:rPr>
          <w:rFonts w:hint="eastAsia" w:ascii="黑体" w:hAnsi="黑体" w:eastAsia="黑体" w:cs="黑体"/>
          <w:b/>
          <w:bCs/>
          <w:sz w:val="44"/>
          <w:szCs w:val="52"/>
          <w:lang w:val="en-US" w:eastAsia="zh-CN"/>
        </w:rPr>
        <w:t>29</w:t>
      </w:r>
      <w:r>
        <w:rPr>
          <w:rFonts w:hint="eastAsia" w:ascii="黑体" w:hAnsi="黑体" w:eastAsia="黑体" w:cs="黑体"/>
          <w:b/>
          <w:bCs/>
          <w:sz w:val="44"/>
          <w:szCs w:val="52"/>
        </w:rPr>
        <w:t>日）</w:t>
      </w:r>
    </w:p>
    <w:p w14:paraId="555F551E">
      <w:pPr>
        <w:snapToGrid w:val="0"/>
        <w:spacing w:line="360" w:lineRule="auto"/>
        <w:ind w:firstLine="720"/>
        <w:jc w:val="center"/>
        <w:rPr>
          <w:sz w:val="36"/>
          <w:szCs w:val="44"/>
        </w:rPr>
      </w:pPr>
    </w:p>
    <w:p w14:paraId="1BBA3328">
      <w:pPr>
        <w:snapToGrid w:val="0"/>
        <w:spacing w:line="360" w:lineRule="auto"/>
        <w:ind w:firstLine="720"/>
        <w:jc w:val="center"/>
        <w:rPr>
          <w:sz w:val="36"/>
          <w:szCs w:val="44"/>
        </w:rPr>
      </w:pPr>
    </w:p>
    <w:p w14:paraId="47ECA664">
      <w:pPr>
        <w:snapToGrid w:val="0"/>
        <w:spacing w:line="360" w:lineRule="auto"/>
        <w:ind w:firstLine="720"/>
        <w:jc w:val="center"/>
        <w:rPr>
          <w:sz w:val="36"/>
          <w:szCs w:val="44"/>
        </w:rPr>
      </w:pPr>
    </w:p>
    <w:p w14:paraId="621928D3">
      <w:pPr>
        <w:snapToGrid w:val="0"/>
        <w:spacing w:line="360" w:lineRule="auto"/>
        <w:ind w:firstLine="720"/>
        <w:jc w:val="center"/>
        <w:rPr>
          <w:sz w:val="36"/>
          <w:szCs w:val="44"/>
        </w:rPr>
      </w:pPr>
    </w:p>
    <w:p w14:paraId="172DDBCD">
      <w:pPr>
        <w:snapToGrid w:val="0"/>
        <w:spacing w:line="360" w:lineRule="auto"/>
        <w:jc w:val="center"/>
        <w:rPr>
          <w:sz w:val="28"/>
          <w:szCs w:val="36"/>
        </w:rPr>
      </w:pPr>
    </w:p>
    <w:p w14:paraId="4F7F58AE">
      <w:pPr>
        <w:snapToGrid w:val="0"/>
        <w:spacing w:line="360" w:lineRule="auto"/>
        <w:jc w:val="center"/>
        <w:rPr>
          <w:sz w:val="28"/>
          <w:szCs w:val="36"/>
        </w:rPr>
      </w:pPr>
    </w:p>
    <w:p w14:paraId="0B76DE71">
      <w:pPr>
        <w:snapToGrid w:val="0"/>
        <w:spacing w:line="360" w:lineRule="auto"/>
        <w:jc w:val="center"/>
        <w:rPr>
          <w:sz w:val="28"/>
          <w:szCs w:val="36"/>
        </w:rPr>
      </w:pPr>
    </w:p>
    <w:p w14:paraId="24C487AA">
      <w:pPr>
        <w:snapToGrid w:val="0"/>
        <w:spacing w:line="360" w:lineRule="auto"/>
        <w:jc w:val="center"/>
        <w:rPr>
          <w:sz w:val="28"/>
          <w:szCs w:val="36"/>
        </w:rPr>
      </w:pPr>
    </w:p>
    <w:p w14:paraId="012ECE2B">
      <w:pPr>
        <w:snapToGrid w:val="0"/>
        <w:spacing w:line="360" w:lineRule="auto"/>
        <w:jc w:val="center"/>
        <w:rPr>
          <w:sz w:val="28"/>
          <w:szCs w:val="36"/>
        </w:rPr>
      </w:pPr>
    </w:p>
    <w:p w14:paraId="50B34A26">
      <w:pPr>
        <w:snapToGrid w:val="0"/>
        <w:spacing w:line="360" w:lineRule="auto"/>
        <w:jc w:val="center"/>
        <w:rPr>
          <w:sz w:val="28"/>
          <w:szCs w:val="36"/>
        </w:rPr>
      </w:pPr>
    </w:p>
    <w:p w14:paraId="5125022F">
      <w:pPr>
        <w:snapToGrid w:val="0"/>
        <w:spacing w:line="360" w:lineRule="auto"/>
        <w:jc w:val="center"/>
        <w:rPr>
          <w:sz w:val="28"/>
          <w:szCs w:val="36"/>
        </w:rPr>
      </w:pPr>
    </w:p>
    <w:p w14:paraId="41EA7610">
      <w:pPr>
        <w:snapToGrid w:val="0"/>
        <w:spacing w:line="360" w:lineRule="auto"/>
        <w:ind w:firstLine="560"/>
        <w:jc w:val="both"/>
      </w:pPr>
    </w:p>
    <w:p w14:paraId="7E4363B5">
      <w:pPr>
        <w:pStyle w:val="2"/>
        <w:jc w:val="both"/>
        <w:sectPr>
          <w:pgSz w:w="11906" w:h="16838"/>
          <w:pgMar w:top="1440" w:right="1800" w:bottom="1440" w:left="1800" w:header="851" w:footer="992" w:gutter="0"/>
          <w:cols w:space="425" w:num="1"/>
          <w:docGrid w:type="lines" w:linePitch="312" w:charSpace="0"/>
        </w:sectPr>
      </w:pPr>
    </w:p>
    <w:p w14:paraId="043E20BD">
      <w:pPr>
        <w:pStyle w:val="2"/>
        <w:jc w:val="both"/>
      </w:pPr>
      <w:bookmarkStart w:id="0" w:name="_Toc8121"/>
      <w:r>
        <w:rPr>
          <w:rFonts w:hint="eastAsia"/>
        </w:rPr>
        <w:t>目录</w:t>
      </w:r>
      <w:bookmarkEnd w:id="0"/>
    </w:p>
    <w:p w14:paraId="128BD739">
      <w:pPr>
        <w:pStyle w:val="14"/>
        <w:tabs>
          <w:tab w:val="right" w:leader="dot" w:pos="8306"/>
          <w:tab w:val="clear" w:pos="8296"/>
        </w:tabs>
      </w:pPr>
      <w:r>
        <w:rPr>
          <w:rFonts w:ascii="微软雅黑" w:hAnsi="微软雅黑" w:eastAsia="微软雅黑"/>
          <w:sz w:val="21"/>
          <w:szCs w:val="21"/>
        </w:rPr>
        <w:fldChar w:fldCharType="begin"/>
      </w:r>
      <w:r>
        <w:rPr>
          <w:rFonts w:ascii="微软雅黑" w:hAnsi="微软雅黑" w:eastAsia="微软雅黑"/>
          <w:sz w:val="21"/>
          <w:szCs w:val="21"/>
        </w:rPr>
        <w:instrText xml:space="preserve"> TOC \o "1-3" \h \z \u </w:instrText>
      </w:r>
      <w:r>
        <w:rPr>
          <w:rFonts w:ascii="微软雅黑" w:hAnsi="微软雅黑" w:eastAsia="微软雅黑"/>
          <w:sz w:val="21"/>
          <w:szCs w:val="21"/>
        </w:rPr>
        <w:fldChar w:fldCharType="separate"/>
      </w:r>
      <w:r>
        <w:rPr>
          <w:rFonts w:ascii="微软雅黑" w:hAnsi="微软雅黑" w:eastAsia="微软雅黑"/>
          <w:szCs w:val="21"/>
        </w:rPr>
        <w:fldChar w:fldCharType="begin"/>
      </w:r>
      <w:r>
        <w:rPr>
          <w:rFonts w:ascii="微软雅黑" w:hAnsi="微软雅黑" w:eastAsia="微软雅黑"/>
          <w:szCs w:val="21"/>
        </w:rPr>
        <w:instrText xml:space="preserve"> HYPERLINK \l _Toc8121 </w:instrText>
      </w:r>
      <w:r>
        <w:rPr>
          <w:rFonts w:ascii="微软雅黑" w:hAnsi="微软雅黑" w:eastAsia="微软雅黑"/>
          <w:szCs w:val="21"/>
        </w:rPr>
        <w:fldChar w:fldCharType="separate"/>
      </w:r>
      <w:r>
        <w:rPr>
          <w:rFonts w:hint="eastAsia"/>
        </w:rPr>
        <w:t>目录</w:t>
      </w:r>
      <w:r>
        <w:tab/>
      </w:r>
      <w:r>
        <w:fldChar w:fldCharType="begin"/>
      </w:r>
      <w:r>
        <w:instrText xml:space="preserve"> PAGEREF _Toc8121 \h </w:instrText>
      </w:r>
      <w:r>
        <w:fldChar w:fldCharType="separate"/>
      </w:r>
      <w:r>
        <w:t>1</w:t>
      </w:r>
      <w:r>
        <w:fldChar w:fldCharType="end"/>
      </w:r>
      <w:r>
        <w:rPr>
          <w:rFonts w:ascii="微软雅黑" w:hAnsi="微软雅黑" w:eastAsia="微软雅黑"/>
          <w:szCs w:val="21"/>
        </w:rPr>
        <w:fldChar w:fldCharType="end"/>
      </w:r>
    </w:p>
    <w:p w14:paraId="217E17C6">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_Toc24677 </w:instrText>
      </w:r>
      <w:r>
        <w:rPr>
          <w:rFonts w:ascii="微软雅黑" w:hAnsi="微软雅黑" w:eastAsia="微软雅黑"/>
          <w:szCs w:val="28"/>
        </w:rPr>
        <w:fldChar w:fldCharType="separate"/>
      </w:r>
      <w:r>
        <w:rPr>
          <w:rFonts w:hint="eastAsia"/>
        </w:rPr>
        <w:t>重点.关注</w:t>
      </w:r>
      <w:r>
        <w:tab/>
      </w:r>
      <w:r>
        <w:fldChar w:fldCharType="begin"/>
      </w:r>
      <w:r>
        <w:instrText xml:space="preserve"> PAGEREF _Toc24677 \h </w:instrText>
      </w:r>
      <w:r>
        <w:fldChar w:fldCharType="separate"/>
      </w:r>
      <w:r>
        <w:t>2</w:t>
      </w:r>
      <w:r>
        <w:fldChar w:fldCharType="end"/>
      </w:r>
      <w:r>
        <w:rPr>
          <w:rFonts w:ascii="微软雅黑" w:hAnsi="微软雅黑" w:eastAsia="微软雅黑"/>
          <w:szCs w:val="28"/>
        </w:rPr>
        <w:fldChar w:fldCharType="end"/>
      </w:r>
    </w:p>
    <w:p w14:paraId="42B403B4">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_Toc22397 </w:instrText>
      </w:r>
      <w:r>
        <w:rPr>
          <w:rFonts w:ascii="微软雅黑" w:hAnsi="微软雅黑" w:eastAsia="微软雅黑"/>
          <w:szCs w:val="28"/>
        </w:rPr>
        <w:fldChar w:fldCharType="separate"/>
      </w:r>
      <w:r>
        <w:rPr>
          <w:rFonts w:hint="default"/>
        </w:rPr>
        <w:t xml:space="preserve">(1) </w:t>
      </w:r>
      <w:r>
        <w:rPr>
          <w:rFonts w:hint="eastAsia"/>
        </w:rPr>
        <w:t>“高质量完成‘十四五’规划”系列主题新闻发布会</w:t>
      </w:r>
      <w:r>
        <w:rPr>
          <w:rFonts w:hint="eastAsia"/>
          <w:lang w:val="en-US" w:eastAsia="zh-CN"/>
        </w:rPr>
        <w:t>举行</w:t>
      </w:r>
      <w:r>
        <w:tab/>
      </w:r>
      <w:r>
        <w:fldChar w:fldCharType="begin"/>
      </w:r>
      <w:r>
        <w:instrText xml:space="preserve"> PAGEREF _Toc22397 \h </w:instrText>
      </w:r>
      <w:r>
        <w:fldChar w:fldCharType="separate"/>
      </w:r>
      <w:r>
        <w:t>2</w:t>
      </w:r>
      <w:r>
        <w:fldChar w:fldCharType="end"/>
      </w:r>
      <w:r>
        <w:rPr>
          <w:rFonts w:ascii="微软雅黑" w:hAnsi="微软雅黑" w:eastAsia="微软雅黑"/>
          <w:szCs w:val="28"/>
        </w:rPr>
        <w:fldChar w:fldCharType="end"/>
      </w:r>
    </w:p>
    <w:p w14:paraId="66A386B0">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_Toc4043 </w:instrText>
      </w:r>
      <w:r>
        <w:rPr>
          <w:rFonts w:ascii="微软雅黑" w:hAnsi="微软雅黑" w:eastAsia="微软雅黑"/>
          <w:szCs w:val="28"/>
        </w:rPr>
        <w:fldChar w:fldCharType="separate"/>
      </w:r>
      <w:r>
        <w:rPr>
          <w:rFonts w:hint="eastAsia"/>
        </w:rPr>
        <w:t>政策.速递</w:t>
      </w:r>
      <w:r>
        <w:tab/>
      </w:r>
      <w:r>
        <w:fldChar w:fldCharType="begin"/>
      </w:r>
      <w:r>
        <w:instrText xml:space="preserve"> PAGEREF _Toc4043 \h </w:instrText>
      </w:r>
      <w:r>
        <w:fldChar w:fldCharType="separate"/>
      </w:r>
      <w:r>
        <w:t>2</w:t>
      </w:r>
      <w:r>
        <w:fldChar w:fldCharType="end"/>
      </w:r>
      <w:r>
        <w:rPr>
          <w:rFonts w:ascii="微软雅黑" w:hAnsi="微软雅黑" w:eastAsia="微软雅黑"/>
          <w:szCs w:val="28"/>
        </w:rPr>
        <w:fldChar w:fldCharType="end"/>
      </w:r>
    </w:p>
    <w:p w14:paraId="41C987E3">
      <w:pPr>
        <w:pStyle w:val="18"/>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_Toc29515 </w:instrText>
      </w:r>
      <w:r>
        <w:rPr>
          <w:rFonts w:ascii="微软雅黑" w:hAnsi="微软雅黑" w:eastAsia="微软雅黑"/>
          <w:szCs w:val="28"/>
        </w:rPr>
        <w:fldChar w:fldCharType="separate"/>
      </w:r>
      <w:r>
        <w:rPr>
          <w:rFonts w:hint="eastAsia"/>
        </w:rPr>
        <w:t>中央</w:t>
      </w:r>
      <w:r>
        <w:tab/>
      </w:r>
      <w:r>
        <w:fldChar w:fldCharType="begin"/>
      </w:r>
      <w:r>
        <w:instrText xml:space="preserve"> PAGEREF _Toc29515 \h </w:instrText>
      </w:r>
      <w:r>
        <w:fldChar w:fldCharType="separate"/>
      </w:r>
      <w:r>
        <w:t>2</w:t>
      </w:r>
      <w:r>
        <w:fldChar w:fldCharType="end"/>
      </w:r>
      <w:r>
        <w:rPr>
          <w:rFonts w:ascii="微软雅黑" w:hAnsi="微软雅黑" w:eastAsia="微软雅黑"/>
          <w:szCs w:val="28"/>
        </w:rPr>
        <w:fldChar w:fldCharType="end"/>
      </w:r>
    </w:p>
    <w:p w14:paraId="4F40BA5D">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_Toc13312 </w:instrText>
      </w:r>
      <w:r>
        <w:rPr>
          <w:rFonts w:ascii="微软雅黑" w:hAnsi="微软雅黑" w:eastAsia="微软雅黑"/>
          <w:szCs w:val="28"/>
        </w:rPr>
        <w:fldChar w:fldCharType="separate"/>
      </w:r>
      <w:r>
        <w:rPr>
          <w:rFonts w:hint="default"/>
          <w:lang w:eastAsia="zh-CN"/>
        </w:rPr>
        <w:t xml:space="preserve">(1) </w:t>
      </w:r>
      <w:r>
        <w:rPr>
          <w:rFonts w:hint="eastAsia"/>
          <w:lang w:eastAsia="zh-CN"/>
        </w:rPr>
        <w:t>《关于推动城市高质量发展的意见》</w:t>
      </w:r>
      <w:r>
        <w:tab/>
      </w:r>
      <w:r>
        <w:fldChar w:fldCharType="begin"/>
      </w:r>
      <w:r>
        <w:instrText xml:space="preserve"> PAGEREF _Toc13312 \h </w:instrText>
      </w:r>
      <w:r>
        <w:fldChar w:fldCharType="separate"/>
      </w:r>
      <w:r>
        <w:t>2</w:t>
      </w:r>
      <w:r>
        <w:fldChar w:fldCharType="end"/>
      </w:r>
      <w:r>
        <w:rPr>
          <w:rFonts w:ascii="微软雅黑" w:hAnsi="微软雅黑" w:eastAsia="微软雅黑"/>
          <w:szCs w:val="28"/>
        </w:rPr>
        <w:fldChar w:fldCharType="end"/>
      </w:r>
    </w:p>
    <w:p w14:paraId="54FDD08A">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_Toc16116 </w:instrText>
      </w:r>
      <w:r>
        <w:rPr>
          <w:rFonts w:ascii="微软雅黑" w:hAnsi="微软雅黑" w:eastAsia="微软雅黑"/>
          <w:szCs w:val="28"/>
        </w:rPr>
        <w:fldChar w:fldCharType="separate"/>
      </w:r>
      <w:r>
        <w:rPr>
          <w:rFonts w:hint="default"/>
        </w:rPr>
        <w:t xml:space="preserve">(2) </w:t>
      </w:r>
      <w:r>
        <w:rPr>
          <w:rFonts w:hint="eastAsia"/>
        </w:rPr>
        <w:t>《关于推进绿色低碳转型加强全国碳市场建设的意见》</w:t>
      </w:r>
      <w:r>
        <w:tab/>
      </w:r>
      <w:r>
        <w:fldChar w:fldCharType="begin"/>
      </w:r>
      <w:r>
        <w:instrText xml:space="preserve"> PAGEREF _Toc16116 \h </w:instrText>
      </w:r>
      <w:r>
        <w:fldChar w:fldCharType="separate"/>
      </w:r>
      <w:r>
        <w:t>3</w:t>
      </w:r>
      <w:r>
        <w:fldChar w:fldCharType="end"/>
      </w:r>
      <w:r>
        <w:rPr>
          <w:rFonts w:ascii="微软雅黑" w:hAnsi="微软雅黑" w:eastAsia="微软雅黑"/>
          <w:szCs w:val="28"/>
        </w:rPr>
        <w:fldChar w:fldCharType="end"/>
      </w:r>
    </w:p>
    <w:p w14:paraId="3EAB9ACB">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_Toc19147 </w:instrText>
      </w:r>
      <w:r>
        <w:rPr>
          <w:rFonts w:ascii="微软雅黑" w:hAnsi="微软雅黑" w:eastAsia="微软雅黑"/>
          <w:szCs w:val="28"/>
        </w:rPr>
        <w:fldChar w:fldCharType="separate"/>
      </w:r>
      <w:r>
        <w:rPr>
          <w:rFonts w:hint="default"/>
        </w:rPr>
        <w:t xml:space="preserve">(3) </w:t>
      </w:r>
      <w:r>
        <w:rPr>
          <w:rFonts w:hint="eastAsia"/>
        </w:rPr>
        <w:t>《关于金融支持林业高质量发展的通知》</w:t>
      </w:r>
      <w:r>
        <w:tab/>
      </w:r>
      <w:r>
        <w:fldChar w:fldCharType="begin"/>
      </w:r>
      <w:r>
        <w:instrText xml:space="preserve"> PAGEREF _Toc19147 \h </w:instrText>
      </w:r>
      <w:r>
        <w:fldChar w:fldCharType="separate"/>
      </w:r>
      <w:r>
        <w:t>3</w:t>
      </w:r>
      <w:r>
        <w:fldChar w:fldCharType="end"/>
      </w:r>
      <w:r>
        <w:rPr>
          <w:rFonts w:ascii="微软雅黑" w:hAnsi="微软雅黑" w:eastAsia="微软雅黑"/>
          <w:szCs w:val="28"/>
        </w:rPr>
        <w:fldChar w:fldCharType="end"/>
      </w:r>
    </w:p>
    <w:p w14:paraId="74C18671">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_Toc9565 </w:instrText>
      </w:r>
      <w:r>
        <w:rPr>
          <w:rFonts w:ascii="微软雅黑" w:hAnsi="微软雅黑" w:eastAsia="微软雅黑"/>
          <w:szCs w:val="28"/>
        </w:rPr>
        <w:fldChar w:fldCharType="separate"/>
      </w:r>
      <w:r>
        <w:rPr>
          <w:rFonts w:hint="default"/>
        </w:rPr>
        <w:t xml:space="preserve">(4) </w:t>
      </w:r>
      <w:r>
        <w:rPr>
          <w:rFonts w:hint="eastAsia"/>
        </w:rPr>
        <w:t>《关于优化业务准入促进卫星通信产业发展的指导意见》</w:t>
      </w:r>
      <w:r>
        <w:tab/>
      </w:r>
      <w:r>
        <w:fldChar w:fldCharType="begin"/>
      </w:r>
      <w:r>
        <w:instrText xml:space="preserve"> PAGEREF _Toc9565 \h </w:instrText>
      </w:r>
      <w:r>
        <w:fldChar w:fldCharType="separate"/>
      </w:r>
      <w:r>
        <w:t>3</w:t>
      </w:r>
      <w:r>
        <w:fldChar w:fldCharType="end"/>
      </w:r>
      <w:r>
        <w:rPr>
          <w:rFonts w:ascii="微软雅黑" w:hAnsi="微软雅黑" w:eastAsia="微软雅黑"/>
          <w:szCs w:val="28"/>
        </w:rPr>
        <w:fldChar w:fldCharType="end"/>
      </w:r>
    </w:p>
    <w:p w14:paraId="3A73EE4A">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_Toc20183 </w:instrText>
      </w:r>
      <w:r>
        <w:rPr>
          <w:rFonts w:ascii="微软雅黑" w:hAnsi="微软雅黑" w:eastAsia="微软雅黑"/>
          <w:szCs w:val="28"/>
        </w:rPr>
        <w:fldChar w:fldCharType="separate"/>
      </w:r>
      <w:r>
        <w:rPr>
          <w:rFonts w:hint="default"/>
        </w:rPr>
        <w:t xml:space="preserve">(5) </w:t>
      </w:r>
      <w:r>
        <w:rPr>
          <w:rFonts w:hint="eastAsia"/>
        </w:rPr>
        <w:t>《关于推进绿色低碳转型加强全国碳市场建设的意见》</w:t>
      </w:r>
      <w:r>
        <w:tab/>
      </w:r>
      <w:r>
        <w:fldChar w:fldCharType="begin"/>
      </w:r>
      <w:r>
        <w:instrText xml:space="preserve"> PAGEREF _Toc20183 \h </w:instrText>
      </w:r>
      <w:r>
        <w:fldChar w:fldCharType="separate"/>
      </w:r>
      <w:r>
        <w:t>4</w:t>
      </w:r>
      <w:r>
        <w:fldChar w:fldCharType="end"/>
      </w:r>
      <w:r>
        <w:rPr>
          <w:rFonts w:ascii="微软雅黑" w:hAnsi="微软雅黑" w:eastAsia="微软雅黑"/>
          <w:szCs w:val="28"/>
        </w:rPr>
        <w:fldChar w:fldCharType="end"/>
      </w:r>
    </w:p>
    <w:p w14:paraId="59B5983F">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_Toc19599 </w:instrText>
      </w:r>
      <w:r>
        <w:rPr>
          <w:rFonts w:ascii="微软雅黑" w:hAnsi="微软雅黑" w:eastAsia="微软雅黑"/>
          <w:szCs w:val="28"/>
        </w:rPr>
        <w:fldChar w:fldCharType="separate"/>
      </w:r>
      <w:r>
        <w:rPr>
          <w:rFonts w:hint="default"/>
        </w:rPr>
        <w:t xml:space="preserve">(6) </w:t>
      </w:r>
      <w:r>
        <w:rPr>
          <w:rFonts w:hint="eastAsia"/>
        </w:rPr>
        <w:t>《2025年5G工厂名录》</w:t>
      </w:r>
      <w:r>
        <w:tab/>
      </w:r>
      <w:r>
        <w:fldChar w:fldCharType="begin"/>
      </w:r>
      <w:r>
        <w:instrText xml:space="preserve"> PAGEREF _Toc19599 \h </w:instrText>
      </w:r>
      <w:r>
        <w:fldChar w:fldCharType="separate"/>
      </w:r>
      <w:r>
        <w:t>4</w:t>
      </w:r>
      <w:r>
        <w:fldChar w:fldCharType="end"/>
      </w:r>
      <w:r>
        <w:rPr>
          <w:rFonts w:ascii="微软雅黑" w:hAnsi="微软雅黑" w:eastAsia="微软雅黑"/>
          <w:szCs w:val="28"/>
        </w:rPr>
        <w:fldChar w:fldCharType="end"/>
      </w:r>
    </w:p>
    <w:p w14:paraId="6FA37F20">
      <w:pPr>
        <w:pStyle w:val="18"/>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_Toc13280 </w:instrText>
      </w:r>
      <w:r>
        <w:rPr>
          <w:rFonts w:ascii="微软雅黑" w:hAnsi="微软雅黑" w:eastAsia="微软雅黑"/>
          <w:szCs w:val="28"/>
        </w:rPr>
        <w:fldChar w:fldCharType="separate"/>
      </w:r>
      <w:r>
        <w:rPr>
          <w:rFonts w:hint="eastAsia"/>
        </w:rPr>
        <w:t>湖北省</w:t>
      </w:r>
      <w:r>
        <w:tab/>
      </w:r>
      <w:r>
        <w:fldChar w:fldCharType="begin"/>
      </w:r>
      <w:r>
        <w:instrText xml:space="preserve"> PAGEREF _Toc13280 \h </w:instrText>
      </w:r>
      <w:r>
        <w:fldChar w:fldCharType="separate"/>
      </w:r>
      <w:r>
        <w:t>4</w:t>
      </w:r>
      <w:r>
        <w:fldChar w:fldCharType="end"/>
      </w:r>
      <w:r>
        <w:rPr>
          <w:rFonts w:ascii="微软雅黑" w:hAnsi="微软雅黑" w:eastAsia="微软雅黑"/>
          <w:szCs w:val="28"/>
        </w:rPr>
        <w:fldChar w:fldCharType="end"/>
      </w:r>
    </w:p>
    <w:p w14:paraId="51F4C5AE">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_Toc12206 </w:instrText>
      </w:r>
      <w:r>
        <w:rPr>
          <w:rFonts w:ascii="微软雅黑" w:hAnsi="微软雅黑" w:eastAsia="微软雅黑"/>
          <w:szCs w:val="28"/>
        </w:rPr>
        <w:fldChar w:fldCharType="separate"/>
      </w:r>
      <w:r>
        <w:rPr>
          <w:rFonts w:hint="default"/>
        </w:rPr>
        <w:t xml:space="preserve">(1) </w:t>
      </w:r>
      <w:r>
        <w:rPr>
          <w:rFonts w:hint="eastAsia"/>
        </w:rPr>
        <w:t>《湖北省开拓人工智能应用场景工作方案（征求意见稿）》</w:t>
      </w:r>
      <w:r>
        <w:tab/>
      </w:r>
      <w:r>
        <w:fldChar w:fldCharType="begin"/>
      </w:r>
      <w:r>
        <w:instrText xml:space="preserve"> PAGEREF _Toc12206 \h </w:instrText>
      </w:r>
      <w:r>
        <w:fldChar w:fldCharType="separate"/>
      </w:r>
      <w:r>
        <w:t>4</w:t>
      </w:r>
      <w:r>
        <w:fldChar w:fldCharType="end"/>
      </w:r>
      <w:r>
        <w:rPr>
          <w:rFonts w:ascii="微软雅黑" w:hAnsi="微软雅黑" w:eastAsia="微软雅黑"/>
          <w:szCs w:val="28"/>
        </w:rPr>
        <w:fldChar w:fldCharType="end"/>
      </w:r>
    </w:p>
    <w:p w14:paraId="06F6219A">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_Toc28023 </w:instrText>
      </w:r>
      <w:r>
        <w:rPr>
          <w:rFonts w:ascii="微软雅黑" w:hAnsi="微软雅黑" w:eastAsia="微软雅黑"/>
          <w:szCs w:val="28"/>
        </w:rPr>
        <w:fldChar w:fldCharType="separate"/>
      </w:r>
      <w:r>
        <w:rPr>
          <w:rFonts w:hint="eastAsia"/>
        </w:rPr>
        <w:t>热点.资讯</w:t>
      </w:r>
      <w:r>
        <w:tab/>
      </w:r>
      <w:r>
        <w:fldChar w:fldCharType="begin"/>
      </w:r>
      <w:r>
        <w:instrText xml:space="preserve"> PAGEREF _Toc28023 \h </w:instrText>
      </w:r>
      <w:r>
        <w:fldChar w:fldCharType="separate"/>
      </w:r>
      <w:r>
        <w:t>5</w:t>
      </w:r>
      <w:r>
        <w:fldChar w:fldCharType="end"/>
      </w:r>
      <w:r>
        <w:rPr>
          <w:rFonts w:ascii="微软雅黑" w:hAnsi="微软雅黑" w:eastAsia="微软雅黑"/>
          <w:szCs w:val="28"/>
        </w:rPr>
        <w:fldChar w:fldCharType="end"/>
      </w:r>
    </w:p>
    <w:p w14:paraId="6224C899">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_Toc3377 </w:instrText>
      </w:r>
      <w:r>
        <w:rPr>
          <w:rFonts w:ascii="微软雅黑" w:hAnsi="微软雅黑" w:eastAsia="微软雅黑"/>
          <w:szCs w:val="28"/>
        </w:rPr>
        <w:fldChar w:fldCharType="separate"/>
      </w:r>
      <w:r>
        <w:rPr>
          <w:rFonts w:hint="default"/>
        </w:rPr>
        <w:t xml:space="preserve">(1) </w:t>
      </w:r>
      <w:r>
        <w:rPr>
          <w:rFonts w:hint="eastAsia"/>
        </w:rPr>
        <w:t>湖北召开“决胜收官‘十四五’谋篇布局‘十五五’” 系列新闻发布会</w:t>
      </w:r>
      <w:r>
        <w:tab/>
      </w:r>
      <w:r>
        <w:fldChar w:fldCharType="begin"/>
      </w:r>
      <w:r>
        <w:instrText xml:space="preserve"> PAGEREF _Toc3377 \h </w:instrText>
      </w:r>
      <w:r>
        <w:fldChar w:fldCharType="separate"/>
      </w:r>
      <w:r>
        <w:t>5</w:t>
      </w:r>
      <w:r>
        <w:fldChar w:fldCharType="end"/>
      </w:r>
      <w:r>
        <w:rPr>
          <w:rFonts w:ascii="微软雅黑" w:hAnsi="微软雅黑" w:eastAsia="微软雅黑"/>
          <w:szCs w:val="28"/>
        </w:rPr>
        <w:fldChar w:fldCharType="end"/>
      </w:r>
    </w:p>
    <w:p w14:paraId="6DBBFE40">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_Toc7347 </w:instrText>
      </w:r>
      <w:r>
        <w:rPr>
          <w:rFonts w:ascii="微软雅黑" w:hAnsi="微软雅黑" w:eastAsia="微软雅黑"/>
          <w:szCs w:val="28"/>
        </w:rPr>
        <w:fldChar w:fldCharType="separate"/>
      </w:r>
      <w:r>
        <w:rPr>
          <w:rFonts w:hint="default"/>
        </w:rPr>
        <w:t xml:space="preserve">(2) </w:t>
      </w:r>
      <w:r>
        <w:rPr>
          <w:rFonts w:hint="eastAsia"/>
        </w:rPr>
        <w:t>王忠林主持研究推进2025年十大民生项目建设</w:t>
      </w:r>
      <w:r>
        <w:tab/>
      </w:r>
      <w:r>
        <w:fldChar w:fldCharType="begin"/>
      </w:r>
      <w:r>
        <w:instrText xml:space="preserve"> PAGEREF _Toc7347 \h </w:instrText>
      </w:r>
      <w:r>
        <w:fldChar w:fldCharType="separate"/>
      </w:r>
      <w:r>
        <w:t>5</w:t>
      </w:r>
      <w:r>
        <w:fldChar w:fldCharType="end"/>
      </w:r>
      <w:r>
        <w:rPr>
          <w:rFonts w:ascii="微软雅黑" w:hAnsi="微软雅黑" w:eastAsia="微软雅黑"/>
          <w:szCs w:val="28"/>
        </w:rPr>
        <w:fldChar w:fldCharType="end"/>
      </w:r>
    </w:p>
    <w:p w14:paraId="70DF6BCF">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_Toc29775 </w:instrText>
      </w:r>
      <w:r>
        <w:rPr>
          <w:rFonts w:ascii="微软雅黑" w:hAnsi="微软雅黑" w:eastAsia="微软雅黑"/>
          <w:szCs w:val="28"/>
        </w:rPr>
        <w:fldChar w:fldCharType="separate"/>
      </w:r>
      <w:r>
        <w:rPr>
          <w:rFonts w:hint="default"/>
        </w:rPr>
        <w:t xml:space="preserve">(3) </w:t>
      </w:r>
      <w:r>
        <w:rPr>
          <w:rFonts w:hint="eastAsia"/>
        </w:rPr>
        <w:t>2025民营企业500强揭晓，湖北13家企业上榜</w:t>
      </w:r>
      <w:r>
        <w:tab/>
      </w:r>
      <w:r>
        <w:fldChar w:fldCharType="begin"/>
      </w:r>
      <w:r>
        <w:instrText xml:space="preserve"> PAGEREF _Toc29775 \h </w:instrText>
      </w:r>
      <w:r>
        <w:fldChar w:fldCharType="separate"/>
      </w:r>
      <w:r>
        <w:t>5</w:t>
      </w:r>
      <w:r>
        <w:fldChar w:fldCharType="end"/>
      </w:r>
      <w:r>
        <w:rPr>
          <w:rFonts w:ascii="微软雅黑" w:hAnsi="微软雅黑" w:eastAsia="微软雅黑"/>
          <w:szCs w:val="28"/>
        </w:rPr>
        <w:fldChar w:fldCharType="end"/>
      </w:r>
    </w:p>
    <w:p w14:paraId="1C0A0989">
      <w:pPr>
        <w:snapToGrid w:val="0"/>
        <w:spacing w:line="360" w:lineRule="auto"/>
        <w:jc w:val="both"/>
      </w:pPr>
      <w:r>
        <w:rPr>
          <w:rFonts w:ascii="微软雅黑" w:hAnsi="微软雅黑" w:eastAsia="微软雅黑"/>
          <w:szCs w:val="28"/>
        </w:rPr>
        <w:fldChar w:fldCharType="end"/>
      </w:r>
    </w:p>
    <w:p w14:paraId="187ABEAE">
      <w:pPr>
        <w:snapToGrid w:val="0"/>
        <w:spacing w:line="360" w:lineRule="auto"/>
        <w:jc w:val="both"/>
        <w:rPr>
          <w:rFonts w:ascii="方正小标宋简体" w:hAnsi="方正小标宋简体" w:eastAsia="方正小标宋简体" w:cs="方正小标宋简体"/>
          <w:b/>
          <w:kern w:val="44"/>
          <w:sz w:val="32"/>
          <w:szCs w:val="32"/>
        </w:rPr>
      </w:pPr>
      <w:r>
        <w:br w:type="page"/>
      </w:r>
    </w:p>
    <w:p w14:paraId="596FFC90">
      <w:pPr>
        <w:pStyle w:val="32"/>
        <w:jc w:val="both"/>
      </w:pPr>
    </w:p>
    <w:p w14:paraId="393FEC4A">
      <w:pPr>
        <w:pStyle w:val="2"/>
        <w:rPr>
          <w:rFonts w:hint="eastAsia"/>
        </w:rPr>
      </w:pPr>
      <w:bookmarkStart w:id="1" w:name="_Toc24677"/>
      <w:r>
        <w:rPr>
          <w:rFonts w:hint="eastAsia"/>
        </w:rPr>
        <w:t>重点.关注</w:t>
      </w:r>
      <w:bookmarkEnd w:id="1"/>
    </w:p>
    <w:p w14:paraId="30A34822">
      <w:pPr>
        <w:pStyle w:val="4"/>
        <w:bidi w:val="0"/>
        <w:rPr>
          <w:rFonts w:hint="eastAsia"/>
        </w:rPr>
      </w:pPr>
      <w:bookmarkStart w:id="2" w:name="_Toc22397"/>
      <w:r>
        <w:rPr>
          <w:rFonts w:hint="eastAsia"/>
        </w:rPr>
        <w:t>“高质量完成‘十四五’规划”系列主题新闻发布会</w:t>
      </w:r>
      <w:r>
        <w:rPr>
          <w:rFonts w:hint="eastAsia"/>
          <w:lang w:val="en-US" w:eastAsia="zh-CN"/>
        </w:rPr>
        <w:t>举行</w:t>
      </w:r>
      <w:bookmarkEnd w:id="2"/>
    </w:p>
    <w:p w14:paraId="23BA545E">
      <w:pPr>
        <w:rPr>
          <w:rFonts w:hint="eastAsia"/>
        </w:rPr>
      </w:pPr>
    </w:p>
    <w:p w14:paraId="58ED5DF0">
      <w:pPr>
        <w:rPr>
          <w:rFonts w:hint="eastAsia"/>
        </w:rPr>
      </w:pPr>
      <w:r>
        <w:rPr>
          <w:rFonts w:hint="eastAsia"/>
          <w:lang w:val="en-US" w:eastAsia="zh-CN"/>
        </w:rPr>
        <w:t>26日</w:t>
      </w:r>
      <w:r>
        <w:rPr>
          <w:rFonts w:hint="eastAsia"/>
        </w:rPr>
        <w:t>上午，国务院新闻办公室举行“高质量完成‘十四五’规划”系列主题新闻发布会，国家发展改革委党组成员、国家能源局局长王宏志介绍“十四五”时期能源高质量发展成就并答记者问。“十四五”是绿色低碳转型最快的五年，我国构建起全球最大、发展最快的可再生能源体系，每3度电中就有1度绿电。也是能源供应更足、韧性更强的五年，前四年能源消费增量达“十三五”五年增量的1.5倍，建成全球最大电动汽车充电网络，每5辆电动汽车就有2个充电桩。还是能源科技创新取得更大突破的五年，新能源专利数占全球四成以上，新型储能规模跃居世界第一。此外，我国统筹新兴产业发展，新型储能装机规模增长近30倍，2024年氢能生产消费规模超3600万吨位列世界第一，人工智能也深度赋能能源领域。</w:t>
      </w:r>
    </w:p>
    <w:p w14:paraId="08B92F92">
      <w:pPr>
        <w:rPr>
          <w:rFonts w:hint="eastAsia"/>
        </w:rPr>
      </w:pPr>
    </w:p>
    <w:p w14:paraId="2522AA81">
      <w:pPr>
        <w:rPr>
          <w:rFonts w:hint="eastAsia"/>
        </w:rPr>
      </w:pPr>
      <w:r>
        <w:rPr>
          <w:rFonts w:hint="eastAsia"/>
        </w:rPr>
        <w:t>发文日期：2025年8月26日</w:t>
      </w:r>
    </w:p>
    <w:p w14:paraId="58B46507">
      <w:pPr>
        <w:rPr>
          <w:rFonts w:hint="eastAsia"/>
        </w:rPr>
      </w:pPr>
      <w:r>
        <w:rPr>
          <w:rFonts w:hint="eastAsia"/>
        </w:rPr>
        <w:t>发文单位：国务院新闻办公室</w:t>
      </w:r>
    </w:p>
    <w:p w14:paraId="6C41A847">
      <w:pPr>
        <w:rPr>
          <w:rFonts w:hint="eastAsia"/>
        </w:rPr>
      </w:pPr>
      <w:r>
        <w:rPr>
          <w:rFonts w:hint="eastAsia"/>
        </w:rPr>
        <w:t>原文链接：https://mp.weixin.qq.com/s/7xtrkRY-CHxASrLGhrwsoA</w:t>
      </w:r>
    </w:p>
    <w:p w14:paraId="193E0DE6">
      <w:pPr>
        <w:rPr>
          <w:rFonts w:hint="eastAsia"/>
        </w:rPr>
      </w:pPr>
    </w:p>
    <w:p w14:paraId="44FD0766"/>
    <w:p w14:paraId="49D1BEB6">
      <w:pPr>
        <w:pStyle w:val="2"/>
      </w:pPr>
      <w:bookmarkStart w:id="3" w:name="_Toc4043"/>
      <w:r>
        <w:rPr>
          <w:rFonts w:hint="eastAsia"/>
        </w:rPr>
        <w:t>政策.速递</w:t>
      </w:r>
      <w:bookmarkEnd w:id="3"/>
    </w:p>
    <w:p w14:paraId="43840AF2">
      <w:pPr>
        <w:pStyle w:val="3"/>
        <w:rPr>
          <w:rFonts w:hint="eastAsia"/>
        </w:rPr>
      </w:pPr>
      <w:bookmarkStart w:id="4" w:name="_Toc29515"/>
      <w:r>
        <w:rPr>
          <w:rFonts w:hint="eastAsia"/>
        </w:rPr>
        <w:t>中央</w:t>
      </w:r>
      <w:bookmarkEnd w:id="4"/>
      <w:r>
        <w:rPr>
          <w:rFonts w:hint="eastAsia"/>
        </w:rPr>
        <w:t xml:space="preserve"> </w:t>
      </w:r>
    </w:p>
    <w:p w14:paraId="00B91C04">
      <w:pPr>
        <w:rPr>
          <w:rFonts w:hint="eastAsia"/>
        </w:rPr>
      </w:pPr>
    </w:p>
    <w:p w14:paraId="7564FDA5">
      <w:pPr>
        <w:pStyle w:val="4"/>
        <w:numPr>
          <w:numId w:val="2"/>
        </w:numPr>
        <w:bidi w:val="0"/>
        <w:rPr>
          <w:rFonts w:hint="eastAsia"/>
          <w:lang w:eastAsia="zh-CN"/>
        </w:rPr>
      </w:pPr>
      <w:bookmarkStart w:id="5" w:name="_Toc13312"/>
      <w:r>
        <w:rPr>
          <w:rFonts w:hint="eastAsia"/>
          <w:lang w:eastAsia="zh-CN"/>
        </w:rPr>
        <w:t>《关于推动城市高质量发展的意见》</w:t>
      </w:r>
      <w:bookmarkEnd w:id="5"/>
    </w:p>
    <w:p w14:paraId="628A4D81">
      <w:pPr>
        <w:rPr>
          <w:rFonts w:hint="eastAsia"/>
        </w:rPr>
      </w:pPr>
    </w:p>
    <w:p w14:paraId="6879989C">
      <w:pPr>
        <w:rPr>
          <w:rFonts w:hint="eastAsia"/>
        </w:rPr>
      </w:pPr>
      <w:r>
        <w:rPr>
          <w:rFonts w:hint="eastAsia"/>
        </w:rPr>
        <w:t>8月28日，中共中央办公厅、国务院办公厅公布《关于推动城市高质量发展的意见》。意见强调，城市是现代化建设的重要载体、人民幸福生活的重要空间。我国城镇化正从快速增长期转向稳定发展期，城市发展正从大规模增量扩张阶段转向存量提质增效为主的阶段。意见提出，到2030年，现代化人民城市建设取得重要进展，适应城市高质量发展的政策制度不断完善，新旧动能加快转换，人居品质明显提升，绿色转型深入推进，安全基础有力夯实，文化魅力充分彰显，治理水平大幅提高；到2035年，现代化人民城市基本建成。</w:t>
      </w:r>
    </w:p>
    <w:p w14:paraId="04E1CF39">
      <w:pPr>
        <w:rPr>
          <w:rFonts w:hint="eastAsia"/>
        </w:rPr>
      </w:pPr>
    </w:p>
    <w:p w14:paraId="3FB4DFDC">
      <w:pPr>
        <w:rPr>
          <w:rFonts w:hint="eastAsia"/>
        </w:rPr>
      </w:pPr>
      <w:r>
        <w:rPr>
          <w:rFonts w:hint="eastAsia"/>
        </w:rPr>
        <w:t>发文日期：2025年8月2</w:t>
      </w:r>
      <w:r>
        <w:rPr>
          <w:rFonts w:hint="eastAsia"/>
          <w:lang w:val="en-US" w:eastAsia="zh-CN"/>
        </w:rPr>
        <w:t>8</w:t>
      </w:r>
      <w:r>
        <w:rPr>
          <w:rFonts w:hint="eastAsia"/>
        </w:rPr>
        <w:t>日</w:t>
      </w:r>
    </w:p>
    <w:p w14:paraId="4737251B">
      <w:pPr>
        <w:rPr>
          <w:rFonts w:hint="eastAsia"/>
        </w:rPr>
      </w:pPr>
      <w:r>
        <w:rPr>
          <w:rFonts w:hint="eastAsia"/>
        </w:rPr>
        <w:t>发文单位：中共中央办公厅、国务院办公厅</w:t>
      </w:r>
    </w:p>
    <w:p w14:paraId="02731794">
      <w:pPr>
        <w:rPr>
          <w:rFonts w:hint="eastAsia"/>
        </w:rPr>
      </w:pPr>
      <w:r>
        <w:rPr>
          <w:rFonts w:hint="eastAsia"/>
        </w:rPr>
        <w:t>原文链接：https://mp.weixin.qq.com/s/pw0z1T1P-OYtfI8URhv97g</w:t>
      </w:r>
    </w:p>
    <w:p w14:paraId="026363DE">
      <w:pPr>
        <w:rPr>
          <w:rFonts w:hint="eastAsia"/>
        </w:rPr>
      </w:pPr>
    </w:p>
    <w:p w14:paraId="28CEEA8D"/>
    <w:p w14:paraId="07907F05">
      <w:pPr>
        <w:pStyle w:val="4"/>
        <w:numPr>
          <w:numId w:val="2"/>
        </w:numPr>
        <w:bidi w:val="0"/>
        <w:rPr>
          <w:rFonts w:hint="eastAsia"/>
        </w:rPr>
      </w:pPr>
      <w:bookmarkStart w:id="6" w:name="_Toc16116"/>
      <w:r>
        <w:rPr>
          <w:rFonts w:hint="eastAsia"/>
        </w:rPr>
        <w:t>《关于推进绿色低碳转型加强全国碳市场建设的意见》</w:t>
      </w:r>
      <w:bookmarkEnd w:id="6"/>
    </w:p>
    <w:p w14:paraId="5D4DDABA">
      <w:pPr>
        <w:rPr>
          <w:rFonts w:hint="eastAsia"/>
        </w:rPr>
      </w:pPr>
    </w:p>
    <w:p w14:paraId="67DFDCFD">
      <w:pPr>
        <w:rPr>
          <w:rFonts w:hint="eastAsia"/>
        </w:rPr>
      </w:pPr>
      <w:r>
        <w:rPr>
          <w:rFonts w:hint="eastAsia"/>
        </w:rPr>
        <w:t xml:space="preserve">8月25日，中共中央办公厅、国务院办公厅公布《关于推进绿色低碳转型加强全国碳市场建设的意见》。意见明确，碳市场是利用市场机制应对气候变化、推动经济社会绿色转型的重要政策工具。目前，我国已建立全国碳排放权交易市场和全国温室气体自愿减排交易市场。意见提出，到2027年，全国碳排放权交易市场基本覆盖工业主要排放行业，全国温室气体自愿减排交易市场实现重点领域全覆盖；到2030年，基本建成以配额总量控制为基础、免费和有偿分配结合的全国碳排放权交易市场，建成诚信透明、方法统一、参与广泛、与国际接轨的全国温室气体自愿减排交易市场，形成健全的碳定价机制。 </w:t>
      </w:r>
    </w:p>
    <w:p w14:paraId="6908969F">
      <w:pPr>
        <w:rPr>
          <w:rFonts w:hint="eastAsia"/>
        </w:rPr>
      </w:pPr>
    </w:p>
    <w:p w14:paraId="552F8B91">
      <w:pPr>
        <w:rPr>
          <w:rFonts w:hint="eastAsia"/>
        </w:rPr>
      </w:pPr>
      <w:r>
        <w:rPr>
          <w:rFonts w:hint="eastAsia"/>
        </w:rPr>
        <w:t>发文日期：2025年8月25日</w:t>
      </w:r>
    </w:p>
    <w:p w14:paraId="18B40FE8">
      <w:pPr>
        <w:rPr>
          <w:rFonts w:hint="eastAsia"/>
        </w:rPr>
      </w:pPr>
      <w:r>
        <w:rPr>
          <w:rFonts w:hint="eastAsia"/>
        </w:rPr>
        <w:t>发文单位：中共中央办公厅、国务院办公厅</w:t>
      </w:r>
    </w:p>
    <w:p w14:paraId="71FFDF3A">
      <w:pPr>
        <w:rPr>
          <w:rFonts w:hint="eastAsia"/>
        </w:rPr>
      </w:pPr>
      <w:r>
        <w:rPr>
          <w:rFonts w:hint="eastAsia"/>
        </w:rPr>
        <w:t>原文链接：https://mp.weixin.qq.com/s/1Zx2feyBfUf5jmrlGGlhFQ</w:t>
      </w:r>
    </w:p>
    <w:p w14:paraId="5D47A2F1">
      <w:pPr>
        <w:rPr>
          <w:rFonts w:hint="eastAsia"/>
        </w:rPr>
      </w:pPr>
    </w:p>
    <w:p w14:paraId="23A96647">
      <w:pPr>
        <w:pStyle w:val="4"/>
        <w:numPr>
          <w:numId w:val="2"/>
        </w:numPr>
        <w:bidi w:val="0"/>
        <w:rPr>
          <w:rFonts w:hint="eastAsia"/>
        </w:rPr>
      </w:pPr>
      <w:bookmarkStart w:id="7" w:name="_Toc19147"/>
      <w:r>
        <w:rPr>
          <w:rFonts w:hint="eastAsia"/>
        </w:rPr>
        <w:t>《关于金融支持林业高质量发展的通知》</w:t>
      </w:r>
      <w:bookmarkEnd w:id="7"/>
    </w:p>
    <w:p w14:paraId="5B3C6E1D">
      <w:pPr>
        <w:rPr>
          <w:rFonts w:hint="eastAsia"/>
        </w:rPr>
      </w:pPr>
    </w:p>
    <w:p w14:paraId="4A718285">
      <w:pPr>
        <w:rPr>
          <w:rFonts w:hint="eastAsia"/>
        </w:rPr>
      </w:pPr>
      <w:r>
        <w:rPr>
          <w:rFonts w:hint="eastAsia"/>
        </w:rPr>
        <w:t>近日，中国人民银行、金融监管总局、国家林草局联合印发《关于金融支持林业高质量发展的通知》，提出15条具体措施，从五方面推动林业高质量发展。《通知》提出，加大林权抵押贷款产品和服务创新，拓宽可抵押林权范围，推动成立林权收储机构，优化评估机制，强化抵押林权管理。强调聚焦重要生态工程，探索多元化投入机制，提供适配金融产品，满足融资需求，完善林业生态产品抵押价值评估方法。要求用好政策工具，拓宽融资渠道，构建森林保险产品体系，提升金融机构风控能力。各地要建立会商机制，林业主管部门要建项目库。下一步，相关部门将推动《通知》落实，畅通融资对接渠道，提升金融服务质效。</w:t>
      </w:r>
    </w:p>
    <w:p w14:paraId="37DDC232">
      <w:pPr>
        <w:rPr>
          <w:rFonts w:hint="eastAsia"/>
        </w:rPr>
      </w:pPr>
    </w:p>
    <w:p w14:paraId="57A88B36">
      <w:pPr>
        <w:rPr>
          <w:rFonts w:hint="eastAsia"/>
        </w:rPr>
      </w:pPr>
      <w:r>
        <w:rPr>
          <w:rFonts w:hint="eastAsia"/>
        </w:rPr>
        <w:t>发文日期：2025年8月25日</w:t>
      </w:r>
    </w:p>
    <w:p w14:paraId="5CBBD529">
      <w:pPr>
        <w:rPr>
          <w:rFonts w:hint="eastAsia"/>
        </w:rPr>
      </w:pPr>
      <w:r>
        <w:rPr>
          <w:rFonts w:hint="eastAsia"/>
        </w:rPr>
        <w:t>发文单位：中国人民银行、金融监管总局、国家林草局</w:t>
      </w:r>
    </w:p>
    <w:p w14:paraId="78C00F47">
      <w:pPr>
        <w:rPr>
          <w:rFonts w:hint="eastAsia"/>
        </w:rPr>
      </w:pPr>
      <w:r>
        <w:rPr>
          <w:rFonts w:hint="eastAsia"/>
        </w:rPr>
        <w:t>原文链接：https://mp.weixin.qq.com/s/80XAHXFna4dCNU6BgtQGcw</w:t>
      </w:r>
    </w:p>
    <w:p w14:paraId="43EA896B">
      <w:pPr>
        <w:rPr>
          <w:rFonts w:hint="eastAsia"/>
        </w:rPr>
      </w:pPr>
    </w:p>
    <w:p w14:paraId="2BF4C6C8">
      <w:pPr>
        <w:pStyle w:val="4"/>
        <w:numPr>
          <w:numId w:val="2"/>
        </w:numPr>
        <w:bidi w:val="0"/>
        <w:rPr>
          <w:rFonts w:hint="eastAsia"/>
        </w:rPr>
      </w:pPr>
      <w:bookmarkStart w:id="8" w:name="_Toc9565"/>
      <w:r>
        <w:rPr>
          <w:rFonts w:hint="eastAsia"/>
        </w:rPr>
        <w:t>《关于优化业务准入促进卫星通信产业发展的指导意见》</w:t>
      </w:r>
      <w:bookmarkEnd w:id="8"/>
    </w:p>
    <w:p w14:paraId="063B4E96">
      <w:pPr>
        <w:rPr>
          <w:rFonts w:hint="eastAsia"/>
        </w:rPr>
      </w:pPr>
    </w:p>
    <w:p w14:paraId="762C7AF4">
      <w:pPr>
        <w:rPr>
          <w:rFonts w:hint="eastAsia"/>
        </w:rPr>
      </w:pPr>
      <w:r>
        <w:rPr>
          <w:rFonts w:hint="eastAsia"/>
        </w:rPr>
        <w:t>工业和信息化部近日印发《指导意见》，提出到2030年完善卫星通信管理制度与政策法规，优化产业环境，提升综合发展水平，实现手机直连卫星等规模应用，发展超千万卫星通信用户。《指导意见》围绕促进产业高质量发展，从六方面提出19条举措：有序扩大市场开放，支持低轨卫星互联网、终端直连卫星业务及新型卫星通信业务；持续拓展应用场景，用于应急通信、数字惠民及融合创新；培育壮大产业生态，开展技术攻关、构建标准体系、培育产业生态；优化电信资源供给，规划码号资源、创新频轨管理；加强卫星通信监管，涵盖业务、网络、安全等方面；提升协同推进合力，加强组织、资金、宣传和国际合作。</w:t>
      </w:r>
    </w:p>
    <w:p w14:paraId="47CA39D9">
      <w:pPr>
        <w:rPr>
          <w:rFonts w:hint="eastAsia"/>
        </w:rPr>
      </w:pPr>
    </w:p>
    <w:p w14:paraId="6E1DFAFE">
      <w:pPr>
        <w:rPr>
          <w:rFonts w:hint="eastAsia"/>
        </w:rPr>
      </w:pPr>
      <w:r>
        <w:rPr>
          <w:rFonts w:hint="eastAsia"/>
        </w:rPr>
        <w:t>发文日期：2025年8月25日</w:t>
      </w:r>
    </w:p>
    <w:p w14:paraId="313903A3">
      <w:pPr>
        <w:rPr>
          <w:rFonts w:hint="eastAsia"/>
        </w:rPr>
      </w:pPr>
      <w:r>
        <w:rPr>
          <w:rFonts w:hint="eastAsia"/>
        </w:rPr>
        <w:t>发文单位：工业和信息化部</w:t>
      </w:r>
    </w:p>
    <w:p w14:paraId="1B3A49C8">
      <w:pPr>
        <w:rPr>
          <w:rFonts w:hint="eastAsia"/>
        </w:rPr>
      </w:pPr>
      <w:r>
        <w:rPr>
          <w:rFonts w:hint="eastAsia"/>
        </w:rPr>
        <w:t>原文链接：https://mp.weixin.qq.com/s/xmaBUsSNms6M0RD1izopLg</w:t>
      </w:r>
    </w:p>
    <w:p w14:paraId="4D1B11FC">
      <w:pPr>
        <w:rPr>
          <w:rFonts w:hint="eastAsia"/>
        </w:rPr>
      </w:pPr>
    </w:p>
    <w:p w14:paraId="41CED61D">
      <w:pPr>
        <w:pStyle w:val="4"/>
        <w:numPr>
          <w:numId w:val="2"/>
        </w:numPr>
        <w:bidi w:val="0"/>
        <w:rPr>
          <w:rFonts w:hint="eastAsia"/>
        </w:rPr>
      </w:pPr>
      <w:bookmarkStart w:id="9" w:name="_Toc20183"/>
      <w:r>
        <w:rPr>
          <w:rFonts w:hint="eastAsia"/>
        </w:rPr>
        <w:t>《关于推进绿色低碳转型加强全国碳市场建设的意见》</w:t>
      </w:r>
      <w:bookmarkEnd w:id="9"/>
    </w:p>
    <w:p w14:paraId="42FA64B8">
      <w:pPr>
        <w:rPr>
          <w:rFonts w:hint="eastAsia"/>
        </w:rPr>
      </w:pPr>
    </w:p>
    <w:p w14:paraId="5672FF82">
      <w:pPr>
        <w:rPr>
          <w:rFonts w:hint="eastAsia"/>
        </w:rPr>
      </w:pPr>
      <w:r>
        <w:rPr>
          <w:rFonts w:hint="eastAsia"/>
        </w:rPr>
        <w:t>中共中央办公厅、国务院办公厅发文提出推进绿色低碳转型、加强全国碳市场建设的意见。总体要求是以习近平新时代中国特色社会主义思想为指导，通过加快建设全国统一碳市场，扩大实施范围、扩展参与主体，营造公平透明市场环境，实现碳排放资源配置优化，推动传统产业转型，激发绿色低碳发展动力。主要目标是到2027年和2030年，全国碳排放权交易市场和全国温室气体自愿减排交易市场分别实现不同程度的覆盖和完善。意见还从加快建设全国碳排放权交易市场、积极发展全国温室气体自愿减排交易市场、提升碳市场活力、加强碳市场能力建设、加强组织实施保障等方面提出具体举措，如扩大覆盖范围、完善配额管理、丰富交易产品、加强监管等。</w:t>
      </w:r>
    </w:p>
    <w:p w14:paraId="28E7575D">
      <w:pPr>
        <w:rPr>
          <w:rFonts w:hint="eastAsia"/>
        </w:rPr>
      </w:pPr>
    </w:p>
    <w:p w14:paraId="4080227A">
      <w:pPr>
        <w:rPr>
          <w:rFonts w:hint="eastAsia"/>
        </w:rPr>
      </w:pPr>
      <w:r>
        <w:rPr>
          <w:rFonts w:hint="eastAsia"/>
        </w:rPr>
        <w:t>发文日期：2025年</w:t>
      </w:r>
      <w:r>
        <w:rPr>
          <w:rFonts w:hint="eastAsia"/>
          <w:lang w:val="en-US" w:eastAsia="zh-CN"/>
        </w:rPr>
        <w:t>8</w:t>
      </w:r>
      <w:r>
        <w:rPr>
          <w:rFonts w:hint="eastAsia"/>
        </w:rPr>
        <w:t>月2</w:t>
      </w:r>
      <w:r>
        <w:rPr>
          <w:rFonts w:hint="eastAsia"/>
          <w:lang w:val="en-US" w:eastAsia="zh-CN"/>
        </w:rPr>
        <w:t>5</w:t>
      </w:r>
      <w:r>
        <w:rPr>
          <w:rFonts w:hint="eastAsia"/>
        </w:rPr>
        <w:t>日</w:t>
      </w:r>
    </w:p>
    <w:p w14:paraId="5B3421F1">
      <w:pPr>
        <w:rPr>
          <w:rFonts w:hint="eastAsia"/>
        </w:rPr>
      </w:pPr>
      <w:r>
        <w:rPr>
          <w:rFonts w:hint="eastAsia"/>
        </w:rPr>
        <w:t>发文单位：中共中央办公厅、国务院办公厅</w:t>
      </w:r>
    </w:p>
    <w:p w14:paraId="07F79DB0">
      <w:pPr>
        <w:rPr>
          <w:rFonts w:hint="eastAsia"/>
        </w:rPr>
      </w:pPr>
      <w:r>
        <w:rPr>
          <w:rFonts w:hint="eastAsia"/>
        </w:rPr>
        <w:t>原文链接：https://mp.weixin.qq.com/s/7dFLHkorgL8h2chAE-p5dA</w:t>
      </w:r>
    </w:p>
    <w:p w14:paraId="7F16DC5A">
      <w:pPr>
        <w:rPr>
          <w:rFonts w:hint="eastAsia"/>
        </w:rPr>
      </w:pPr>
    </w:p>
    <w:p w14:paraId="5249B2DD">
      <w:pPr>
        <w:pStyle w:val="4"/>
        <w:numPr>
          <w:numId w:val="2"/>
        </w:numPr>
        <w:bidi w:val="0"/>
        <w:rPr>
          <w:rFonts w:hint="eastAsia"/>
        </w:rPr>
      </w:pPr>
      <w:bookmarkStart w:id="10" w:name="_Toc19599"/>
      <w:r>
        <w:rPr>
          <w:rFonts w:hint="eastAsia"/>
        </w:rPr>
        <w:t>《2025年5G工厂名录》</w:t>
      </w:r>
      <w:bookmarkEnd w:id="10"/>
    </w:p>
    <w:p w14:paraId="37C865C9">
      <w:pPr>
        <w:rPr>
          <w:rFonts w:hint="eastAsia"/>
        </w:rPr>
      </w:pPr>
    </w:p>
    <w:p w14:paraId="2CBC357B">
      <w:pPr>
        <w:rPr>
          <w:rFonts w:hint="eastAsia" w:eastAsia="宋体"/>
          <w:lang w:eastAsia="zh-CN"/>
        </w:rPr>
      </w:pPr>
      <w:r>
        <w:rPr>
          <w:rFonts w:hint="eastAsia"/>
        </w:rPr>
        <w:t>为落实党中央、国务院决策部署，推进“5G+工业互联网”创新发展，加快高水平5G工厂建设，各地依据相关建设指南持续培育5G工厂，带动传统产业转型升级。经地方推荐、专家评审等工作，现已形成《2025年5G工厂名录》，涵盖48个行业、560个项目。目前该名录正进行公示，欢迎社会各界监督。若有异议，可在2025年8月25日至8月29日公示期内，与工业和信息化部信息通信管理局联系。</w:t>
      </w:r>
      <w:r>
        <w:rPr>
          <w:rFonts w:hint="eastAsia"/>
          <w:lang w:val="en-US" w:eastAsia="zh-CN"/>
        </w:rPr>
        <w:t xml:space="preserve"> </w:t>
      </w:r>
    </w:p>
    <w:p w14:paraId="0C51BBE8">
      <w:pPr>
        <w:rPr>
          <w:rFonts w:hint="eastAsia"/>
        </w:rPr>
      </w:pPr>
    </w:p>
    <w:p w14:paraId="62E30A15">
      <w:pPr>
        <w:rPr>
          <w:rFonts w:hint="eastAsia"/>
        </w:rPr>
      </w:pPr>
      <w:r>
        <w:rPr>
          <w:rFonts w:hint="eastAsia"/>
        </w:rPr>
        <w:t>发文日期：2025年8月25日</w:t>
      </w:r>
    </w:p>
    <w:p w14:paraId="4B28B68D">
      <w:pPr>
        <w:rPr>
          <w:rFonts w:hint="eastAsia"/>
        </w:rPr>
      </w:pPr>
      <w:r>
        <w:rPr>
          <w:rFonts w:hint="eastAsia"/>
        </w:rPr>
        <w:t>发文单位：工业和信息化部信息通信管理局</w:t>
      </w:r>
    </w:p>
    <w:p w14:paraId="25C5B38F">
      <w:pPr>
        <w:rPr>
          <w:rFonts w:hint="eastAsia"/>
        </w:rPr>
      </w:pPr>
      <w:r>
        <w:rPr>
          <w:rFonts w:hint="eastAsia"/>
        </w:rPr>
        <w:t>原文链接：https://mp.weixin.qq.com/s/qTFXla29i1FBoAkSn722eQ</w:t>
      </w:r>
    </w:p>
    <w:p w14:paraId="081A9EB4">
      <w:pPr>
        <w:rPr>
          <w:rFonts w:hint="eastAsia"/>
        </w:rPr>
      </w:pPr>
    </w:p>
    <w:p w14:paraId="6ED8360A">
      <w:pPr>
        <w:rPr>
          <w:rFonts w:hint="eastAsia"/>
        </w:rPr>
      </w:pPr>
    </w:p>
    <w:p w14:paraId="7F27F86D">
      <w:pPr>
        <w:pStyle w:val="3"/>
      </w:pPr>
      <w:bookmarkStart w:id="11" w:name="_Toc13280"/>
      <w:r>
        <w:rPr>
          <w:rFonts w:hint="eastAsia"/>
        </w:rPr>
        <w:t>湖北省</w:t>
      </w:r>
      <w:bookmarkEnd w:id="11"/>
    </w:p>
    <w:p w14:paraId="29B578FB"/>
    <w:p w14:paraId="6E89BC09">
      <w:pPr>
        <w:pStyle w:val="4"/>
        <w:numPr>
          <w:numId w:val="3"/>
        </w:numPr>
        <w:bidi w:val="0"/>
        <w:rPr>
          <w:rFonts w:hint="eastAsia"/>
        </w:rPr>
      </w:pPr>
      <w:bookmarkStart w:id="12" w:name="_Toc12206"/>
      <w:r>
        <w:rPr>
          <w:rFonts w:hint="eastAsia"/>
        </w:rPr>
        <w:t>《湖北省开拓人工智能应用场景工作方案（征求意见稿）》</w:t>
      </w:r>
      <w:bookmarkEnd w:id="12"/>
    </w:p>
    <w:p w14:paraId="7783C4E4">
      <w:pPr>
        <w:rPr>
          <w:rFonts w:hint="eastAsia"/>
        </w:rPr>
      </w:pPr>
    </w:p>
    <w:p w14:paraId="22A2A6F9">
      <w:pPr>
        <w:rPr>
          <w:rFonts w:hint="eastAsia"/>
        </w:rPr>
      </w:pPr>
      <w:r>
        <w:rPr>
          <w:rFonts w:hint="eastAsia"/>
        </w:rPr>
        <w:t>为抢抓人工智能发展新机遇，推动其赋能千行百业，省经信厅起草该方案并公开征求意见。方案旨在贯彻“人工智能+”战略，落实相关部署。工作目标是到2025年底建成300个人工智能应用示范场景，到2027年打造1000个示范场景等。方案从拓展数字政府“智能化”场景、释放经济发展“数智化”活力、描绘民生服务“高效能”画卷、营造一流创新应用生态等方面展开，涵盖政务、制造、教育等多领域，并明确各领域责任单位。此外，还提出建立供需对接机制、加强示范引领、安全治理、拓宽人才培育渠道、举办生态大会等举措，鼓励各部门和企业先行先试推动发展。</w:t>
      </w:r>
    </w:p>
    <w:p w14:paraId="4F2107E1">
      <w:pPr>
        <w:rPr>
          <w:rFonts w:hint="eastAsia"/>
        </w:rPr>
      </w:pPr>
    </w:p>
    <w:p w14:paraId="201BF547">
      <w:pPr>
        <w:rPr>
          <w:rFonts w:hint="eastAsia"/>
        </w:rPr>
      </w:pPr>
      <w:r>
        <w:rPr>
          <w:rFonts w:hint="eastAsia"/>
        </w:rPr>
        <w:t>发文日期：2025年8月27日</w:t>
      </w:r>
    </w:p>
    <w:p w14:paraId="6C854DA8">
      <w:pPr>
        <w:rPr>
          <w:rFonts w:hint="eastAsia"/>
        </w:rPr>
      </w:pPr>
      <w:r>
        <w:rPr>
          <w:rFonts w:hint="eastAsia"/>
        </w:rPr>
        <w:t>发文单位：湖北省经信厅</w:t>
      </w:r>
    </w:p>
    <w:p w14:paraId="11CE74D3">
      <w:pPr>
        <w:rPr>
          <w:rFonts w:hint="eastAsia"/>
        </w:rPr>
      </w:pPr>
      <w:r>
        <w:rPr>
          <w:rFonts w:hint="eastAsia"/>
        </w:rPr>
        <w:t>原文链接：https://mp.weixin.qq.com/s/AbytjzhKVrgkfeSOpPGw-g</w:t>
      </w:r>
    </w:p>
    <w:p w14:paraId="03E79197">
      <w:pPr>
        <w:rPr>
          <w:rFonts w:hint="eastAsia"/>
        </w:rPr>
      </w:pPr>
    </w:p>
    <w:p w14:paraId="39D84ABD">
      <w:pPr>
        <w:rPr>
          <w:rFonts w:hint="eastAsia"/>
        </w:rPr>
      </w:pPr>
    </w:p>
    <w:p w14:paraId="690BA85F">
      <w:pPr>
        <w:pStyle w:val="2"/>
      </w:pPr>
      <w:bookmarkStart w:id="13" w:name="_Toc28023"/>
      <w:r>
        <w:rPr>
          <w:rFonts w:hint="eastAsia"/>
        </w:rPr>
        <w:t>热点.资讯</w:t>
      </w:r>
      <w:bookmarkEnd w:id="13"/>
    </w:p>
    <w:p w14:paraId="728099E5">
      <w:pPr>
        <w:pStyle w:val="4"/>
        <w:numPr>
          <w:numId w:val="4"/>
        </w:numPr>
        <w:bidi w:val="0"/>
        <w:rPr>
          <w:rFonts w:hint="eastAsia"/>
        </w:rPr>
      </w:pPr>
      <w:bookmarkStart w:id="14" w:name="_Toc3377"/>
      <w:r>
        <w:rPr>
          <w:rFonts w:hint="eastAsia"/>
        </w:rPr>
        <w:t>湖北召开“决胜收官‘十四五’谋篇布局‘十五五’” 系列新闻发布会</w:t>
      </w:r>
      <w:bookmarkEnd w:id="14"/>
    </w:p>
    <w:p w14:paraId="12267E14">
      <w:pPr>
        <w:rPr>
          <w:rFonts w:hint="eastAsia"/>
        </w:rPr>
      </w:pPr>
    </w:p>
    <w:p w14:paraId="1167B10A">
      <w:pPr>
        <w:rPr>
          <w:rFonts w:hint="eastAsia"/>
        </w:rPr>
      </w:pPr>
      <w:r>
        <w:rPr>
          <w:rFonts w:hint="eastAsia"/>
        </w:rPr>
        <w:t>8月26日，湖北召开“决胜收官‘十四五’谋篇布局‘十五五’”系列新闻发布会第三场“数字湖北篇”，介绍“十四五”期间数字湖北建设情况。数字湖北建设成效显著：数字经济发展扩量提质，核心产业增加值增长、市场主体增多、产业能级提升、产业转型加速，迈入全国第一梯队；数字基础设施建设加快，网络、算力、数据、融合等基础设施能级提升；数据要素市场化配置改革推进，数据价值释放；城市全域数字化转型提速，赋能经济、治理、生活；数字生态优化，政策、资金、赛事等助力发展。此外，还介绍了数据基础设施、产业数字化、新型信息基础设施建设等方面的工作及成效，宜昌、武汉等地也分享了数字建设举措与亮点。</w:t>
      </w:r>
    </w:p>
    <w:p w14:paraId="12EA43E6">
      <w:pPr>
        <w:rPr>
          <w:rFonts w:hint="eastAsia"/>
        </w:rPr>
      </w:pPr>
    </w:p>
    <w:p w14:paraId="3E8ADAF7">
      <w:pPr>
        <w:rPr>
          <w:rFonts w:hint="eastAsia"/>
        </w:rPr>
      </w:pPr>
      <w:r>
        <w:rPr>
          <w:rFonts w:hint="eastAsia"/>
        </w:rPr>
        <w:t>发文日期：2025年8月26日</w:t>
      </w:r>
    </w:p>
    <w:p w14:paraId="5B9835AA">
      <w:pPr>
        <w:rPr>
          <w:rFonts w:hint="eastAsia"/>
        </w:rPr>
      </w:pPr>
      <w:r>
        <w:rPr>
          <w:rFonts w:hint="eastAsia"/>
        </w:rPr>
        <w:t>发文单位：湖北发布</w:t>
      </w:r>
    </w:p>
    <w:p w14:paraId="71405F28">
      <w:r>
        <w:rPr>
          <w:rFonts w:hint="eastAsia"/>
        </w:rPr>
        <w:t>原文链接：https://mp.weixin.qq.com/s/31aXNZLVyp1cbxQYc3OeOA</w:t>
      </w:r>
    </w:p>
    <w:p w14:paraId="113087A2">
      <w:pPr>
        <w:rPr>
          <w:rFonts w:hint="eastAsia"/>
        </w:rPr>
      </w:pPr>
    </w:p>
    <w:p w14:paraId="37B2DE1C">
      <w:pPr>
        <w:pStyle w:val="4"/>
        <w:numPr>
          <w:numId w:val="4"/>
        </w:numPr>
        <w:bidi w:val="0"/>
        <w:rPr>
          <w:rFonts w:hint="eastAsia"/>
        </w:rPr>
      </w:pPr>
      <w:bookmarkStart w:id="15" w:name="_Toc7347"/>
      <w:r>
        <w:rPr>
          <w:rFonts w:hint="eastAsia"/>
        </w:rPr>
        <w:t>王忠林主持研究推进2025年十大民生项目建设</w:t>
      </w:r>
      <w:bookmarkEnd w:id="15"/>
      <w:r>
        <w:rPr>
          <w:rFonts w:hint="eastAsia"/>
        </w:rPr>
        <w:t xml:space="preserve"> </w:t>
      </w:r>
    </w:p>
    <w:p w14:paraId="77C6ADAB">
      <w:pPr>
        <w:rPr>
          <w:rFonts w:hint="eastAsia"/>
        </w:rPr>
      </w:pPr>
    </w:p>
    <w:p w14:paraId="7B3C3CBC">
      <w:pPr>
        <w:rPr>
          <w:rFonts w:hint="eastAsia"/>
        </w:rPr>
      </w:pPr>
      <w:r>
        <w:rPr>
          <w:rFonts w:hint="eastAsia"/>
        </w:rPr>
        <w:t>8月28日上午，省委书记、省人大常委会主任王忠林主持研究推进2025年十大民生项目建设。今年来，全省扎实推进就业、教育等年度十大民生项目建设，平均完成进度达83.6%。王忠林指出，办好十大民生项目是省委、省政府的庄严承诺。要坚持以人民为中心，锚定目标办好实事。他强调，要换位思考，把实事办到群众心坎上；尽力而为、量力而行，确保长远可持续；项目化推动，让群众可感可及；高效推进，确保项目圆满完成。他要求压紧压实责任，凝聚强大合力，强化底线思维，增强群众获得感、幸福感、安全感，为支点建设提供保障。</w:t>
      </w:r>
    </w:p>
    <w:p w14:paraId="37554DD9">
      <w:pPr>
        <w:rPr>
          <w:rFonts w:hint="eastAsia"/>
        </w:rPr>
      </w:pPr>
    </w:p>
    <w:p w14:paraId="0427A361">
      <w:pPr>
        <w:rPr>
          <w:rFonts w:hint="eastAsia"/>
        </w:rPr>
      </w:pPr>
      <w:r>
        <w:rPr>
          <w:rFonts w:hint="eastAsia"/>
        </w:rPr>
        <w:t>发文日期：2025年8月28日</w:t>
      </w:r>
    </w:p>
    <w:p w14:paraId="587B5B5D">
      <w:pPr>
        <w:rPr>
          <w:rFonts w:hint="eastAsia"/>
        </w:rPr>
      </w:pPr>
      <w:r>
        <w:rPr>
          <w:rFonts w:hint="eastAsia"/>
        </w:rPr>
        <w:t>发文单位：湖北日报</w:t>
      </w:r>
    </w:p>
    <w:p w14:paraId="05E7E897">
      <w:pPr>
        <w:rPr>
          <w:rFonts w:hint="eastAsia"/>
        </w:rPr>
      </w:pPr>
      <w:r>
        <w:rPr>
          <w:rFonts w:hint="eastAsia"/>
        </w:rPr>
        <w:t>原文链接：https://mp.weixin.qq.com/s/8LJAvDFG2wO0e3u97beDfw</w:t>
      </w:r>
    </w:p>
    <w:p w14:paraId="7C2913A4">
      <w:pPr>
        <w:rPr>
          <w:rFonts w:hint="eastAsia"/>
        </w:rPr>
      </w:pPr>
    </w:p>
    <w:p w14:paraId="58278D87">
      <w:pPr>
        <w:pStyle w:val="4"/>
        <w:numPr>
          <w:numId w:val="4"/>
        </w:numPr>
        <w:bidi w:val="0"/>
        <w:rPr>
          <w:rFonts w:hint="eastAsia"/>
        </w:rPr>
      </w:pPr>
      <w:bookmarkStart w:id="16" w:name="_Toc29775"/>
      <w:r>
        <w:rPr>
          <w:rFonts w:hint="eastAsia"/>
        </w:rPr>
        <w:t>2025民营企业500强揭晓，湖北13家企业上榜</w:t>
      </w:r>
      <w:bookmarkEnd w:id="16"/>
    </w:p>
    <w:p w14:paraId="6FC98ACA">
      <w:pPr>
        <w:rPr>
          <w:rFonts w:hint="eastAsia"/>
        </w:rPr>
      </w:pPr>
    </w:p>
    <w:p w14:paraId="1C7B6BD5">
      <w:pPr>
        <w:rPr>
          <w:rFonts w:hint="eastAsia"/>
        </w:rPr>
      </w:pPr>
      <w:r>
        <w:rPr>
          <w:rFonts w:hint="eastAsia"/>
        </w:rPr>
        <w:t>8月28日上午，全国工商联发布“2025中国民营企业500强”榜单，湖北13家企业上榜。其中，卓尔控股有限公司、九州通医药集团股份有限公司进入百强行列，分列第46位、第53位，且位次均较去年上升。其他上榜企业有恒信汽车集团股份有限公司（第136位）、稻花香集团（第194位）、金澳科技（湖北）化工有限公司（第208位）等。这些企业涵盖了汽车、医药、化工、保险、建筑等多个领域，展现了湖北民营企业的强劲实力和多元化发展态势。</w:t>
      </w:r>
    </w:p>
    <w:p w14:paraId="122E3F0D">
      <w:pPr>
        <w:rPr>
          <w:rFonts w:hint="eastAsia"/>
        </w:rPr>
      </w:pPr>
    </w:p>
    <w:p w14:paraId="3E5DADA4">
      <w:pPr>
        <w:rPr>
          <w:rFonts w:hint="eastAsia"/>
        </w:rPr>
      </w:pPr>
      <w:r>
        <w:rPr>
          <w:rFonts w:hint="eastAsia"/>
        </w:rPr>
        <w:t>发文日期：2025年8月28日</w:t>
      </w:r>
    </w:p>
    <w:p w14:paraId="51E948B0">
      <w:pPr>
        <w:rPr>
          <w:rFonts w:hint="eastAsia"/>
        </w:rPr>
      </w:pPr>
      <w:r>
        <w:rPr>
          <w:rFonts w:hint="eastAsia"/>
        </w:rPr>
        <w:t>发文单位：全国工商联</w:t>
      </w:r>
    </w:p>
    <w:p w14:paraId="45A1ECC3">
      <w:pPr>
        <w:rPr>
          <w:rFonts w:hint="eastAsia"/>
        </w:rPr>
      </w:pPr>
      <w:r>
        <w:rPr>
          <w:rFonts w:hint="eastAsia"/>
        </w:rPr>
        <w:t>原文链接：https://mp.weixin.qq.com/s/45_bNApFJPIFpnEBol4YZA</w:t>
      </w:r>
    </w:p>
    <w:p w14:paraId="55EA0E8F">
      <w:pPr>
        <w:rPr>
          <w:rFonts w:hint="eastAsia"/>
        </w:rPr>
      </w:pPr>
    </w:p>
    <w:p w14:paraId="0723D620">
      <w:pPr>
        <w:rPr>
          <w:rFonts w:hint="eastAsia"/>
          <w:lang w:val="en-US" w:eastAsia="zh-CN"/>
        </w:rPr>
      </w:pPr>
      <w:bookmarkStart w:id="17" w:name="_GoBack"/>
      <w:bookmarkEnd w:id="17"/>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微软雅黑"/>
    <w:panose1 w:val="020B0604020202020204"/>
    <w:charset w:val="86"/>
    <w:family w:val="auto"/>
    <w:pitch w:val="default"/>
    <w:sig w:usb0="00000000" w:usb1="00000000" w:usb2="00000012" w:usb3="00000000" w:csb0="00040001"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20B0604020202020204"/>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03CB5">
    <w:pPr>
      <w:pStyle w:val="12"/>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F2796F">
                          <w:pPr>
                            <w:pStyle w:val="12"/>
                          </w:pPr>
                          <w:r>
                            <w:fldChar w:fldCharType="begin"/>
                          </w:r>
                          <w:r>
                            <w:instrText xml:space="preserve"> PAGE  \* MERGEFORMAT </w:instrText>
                          </w:r>
                          <w:r>
                            <w:fldChar w:fldCharType="separate"/>
                          </w:r>
                          <w:r>
                            <w:t>20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35F2796F">
                    <w:pPr>
                      <w:pStyle w:val="12"/>
                    </w:pPr>
                    <w:r>
                      <w:fldChar w:fldCharType="begin"/>
                    </w:r>
                    <w:r>
                      <w:instrText xml:space="preserve"> PAGE  \* MERGEFORMAT </w:instrText>
                    </w:r>
                    <w:r>
                      <w:fldChar w:fldCharType="separate"/>
                    </w:r>
                    <w:r>
                      <w:t>20</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61AAF6"/>
    <w:multiLevelType w:val="singleLevel"/>
    <w:tmpl w:val="9661AAF6"/>
    <w:lvl w:ilvl="0" w:tentative="0">
      <w:start w:val="1"/>
      <w:numFmt w:val="decimal"/>
      <w:pStyle w:val="4"/>
      <w:lvlText w:val="(%1)"/>
      <w:lvlJc w:val="left"/>
      <w:pPr>
        <w:ind w:left="425" w:hanging="425"/>
      </w:pPr>
      <w:rPr>
        <w:rFonts w:hint="default"/>
      </w:rPr>
    </w:lvl>
  </w:abstractNum>
  <w:num w:numId="1">
    <w:abstractNumId w:val="0"/>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hideSpellingErrors/>
  <w:hideGrammaticalErrors/>
  <w:documentProtection w:enforcement="0"/>
  <w:defaultTabStop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B87749"/>
    <w:rsid w:val="00005CCC"/>
    <w:rsid w:val="00010FD5"/>
    <w:rsid w:val="00026FE8"/>
    <w:rsid w:val="000410FC"/>
    <w:rsid w:val="00047104"/>
    <w:rsid w:val="000536EC"/>
    <w:rsid w:val="000629A4"/>
    <w:rsid w:val="00072F84"/>
    <w:rsid w:val="000733D6"/>
    <w:rsid w:val="00073967"/>
    <w:rsid w:val="00075948"/>
    <w:rsid w:val="00084D11"/>
    <w:rsid w:val="00085151"/>
    <w:rsid w:val="00096DDE"/>
    <w:rsid w:val="000A4340"/>
    <w:rsid w:val="000A44D2"/>
    <w:rsid w:val="000A44FC"/>
    <w:rsid w:val="000A4642"/>
    <w:rsid w:val="000A547C"/>
    <w:rsid w:val="000A613C"/>
    <w:rsid w:val="000E632C"/>
    <w:rsid w:val="000F0F72"/>
    <w:rsid w:val="000F3299"/>
    <w:rsid w:val="001069AF"/>
    <w:rsid w:val="00116665"/>
    <w:rsid w:val="00130104"/>
    <w:rsid w:val="00142016"/>
    <w:rsid w:val="001444EC"/>
    <w:rsid w:val="00152E21"/>
    <w:rsid w:val="00170B7B"/>
    <w:rsid w:val="00174B07"/>
    <w:rsid w:val="00177F10"/>
    <w:rsid w:val="00180460"/>
    <w:rsid w:val="00181702"/>
    <w:rsid w:val="00182B8E"/>
    <w:rsid w:val="00192AD6"/>
    <w:rsid w:val="0019332D"/>
    <w:rsid w:val="00193C78"/>
    <w:rsid w:val="00196B7E"/>
    <w:rsid w:val="001A238A"/>
    <w:rsid w:val="001A4F2E"/>
    <w:rsid w:val="001B3F5C"/>
    <w:rsid w:val="001B4228"/>
    <w:rsid w:val="001B6511"/>
    <w:rsid w:val="001D2978"/>
    <w:rsid w:val="001E0014"/>
    <w:rsid w:val="001E30C9"/>
    <w:rsid w:val="001E69CA"/>
    <w:rsid w:val="001F7350"/>
    <w:rsid w:val="001F79CE"/>
    <w:rsid w:val="00203822"/>
    <w:rsid w:val="00207F33"/>
    <w:rsid w:val="0021682C"/>
    <w:rsid w:val="0021704E"/>
    <w:rsid w:val="00223274"/>
    <w:rsid w:val="0022351D"/>
    <w:rsid w:val="00226199"/>
    <w:rsid w:val="00226B79"/>
    <w:rsid w:val="002374D3"/>
    <w:rsid w:val="00237F42"/>
    <w:rsid w:val="00241E27"/>
    <w:rsid w:val="00242B16"/>
    <w:rsid w:val="00244B4D"/>
    <w:rsid w:val="00247E53"/>
    <w:rsid w:val="0025353D"/>
    <w:rsid w:val="00257943"/>
    <w:rsid w:val="002632E5"/>
    <w:rsid w:val="00266FF5"/>
    <w:rsid w:val="00270D04"/>
    <w:rsid w:val="00281DCB"/>
    <w:rsid w:val="00283AC6"/>
    <w:rsid w:val="00284BFD"/>
    <w:rsid w:val="00290211"/>
    <w:rsid w:val="002904EF"/>
    <w:rsid w:val="00291686"/>
    <w:rsid w:val="00292B47"/>
    <w:rsid w:val="002A1B62"/>
    <w:rsid w:val="002A5076"/>
    <w:rsid w:val="002A725C"/>
    <w:rsid w:val="002C0CBB"/>
    <w:rsid w:val="002C119B"/>
    <w:rsid w:val="002E0917"/>
    <w:rsid w:val="002E2F64"/>
    <w:rsid w:val="00303573"/>
    <w:rsid w:val="003247E7"/>
    <w:rsid w:val="003265BB"/>
    <w:rsid w:val="00332003"/>
    <w:rsid w:val="003326FD"/>
    <w:rsid w:val="00335212"/>
    <w:rsid w:val="00344659"/>
    <w:rsid w:val="00347B0A"/>
    <w:rsid w:val="003514D1"/>
    <w:rsid w:val="00356C86"/>
    <w:rsid w:val="00357AB7"/>
    <w:rsid w:val="00362DF4"/>
    <w:rsid w:val="003744C4"/>
    <w:rsid w:val="00374F36"/>
    <w:rsid w:val="003759AD"/>
    <w:rsid w:val="00386112"/>
    <w:rsid w:val="00392B90"/>
    <w:rsid w:val="003C20C2"/>
    <w:rsid w:val="003C222D"/>
    <w:rsid w:val="003C799E"/>
    <w:rsid w:val="003D4097"/>
    <w:rsid w:val="003D4658"/>
    <w:rsid w:val="004174BD"/>
    <w:rsid w:val="004251FF"/>
    <w:rsid w:val="00443896"/>
    <w:rsid w:val="00443EC9"/>
    <w:rsid w:val="0044715A"/>
    <w:rsid w:val="004554A4"/>
    <w:rsid w:val="004565D4"/>
    <w:rsid w:val="00460BCD"/>
    <w:rsid w:val="00467FB9"/>
    <w:rsid w:val="00471127"/>
    <w:rsid w:val="00474903"/>
    <w:rsid w:val="00480050"/>
    <w:rsid w:val="00485558"/>
    <w:rsid w:val="00486B4C"/>
    <w:rsid w:val="00491190"/>
    <w:rsid w:val="00494369"/>
    <w:rsid w:val="004A7F09"/>
    <w:rsid w:val="004C360C"/>
    <w:rsid w:val="004C4AF1"/>
    <w:rsid w:val="004C6666"/>
    <w:rsid w:val="004D4702"/>
    <w:rsid w:val="004E76D9"/>
    <w:rsid w:val="004F35B3"/>
    <w:rsid w:val="004F789F"/>
    <w:rsid w:val="00500CAF"/>
    <w:rsid w:val="00503AAE"/>
    <w:rsid w:val="00506E3E"/>
    <w:rsid w:val="00512F38"/>
    <w:rsid w:val="005163DD"/>
    <w:rsid w:val="00522EBB"/>
    <w:rsid w:val="00524612"/>
    <w:rsid w:val="00530199"/>
    <w:rsid w:val="005367FB"/>
    <w:rsid w:val="00542AF1"/>
    <w:rsid w:val="00545A0F"/>
    <w:rsid w:val="005567E4"/>
    <w:rsid w:val="00575E24"/>
    <w:rsid w:val="00581AA2"/>
    <w:rsid w:val="005922C3"/>
    <w:rsid w:val="00593EF4"/>
    <w:rsid w:val="00596438"/>
    <w:rsid w:val="005A06ED"/>
    <w:rsid w:val="005A12BE"/>
    <w:rsid w:val="005A1588"/>
    <w:rsid w:val="005B1F83"/>
    <w:rsid w:val="005B51B7"/>
    <w:rsid w:val="005B72D5"/>
    <w:rsid w:val="005C2DD0"/>
    <w:rsid w:val="005D1336"/>
    <w:rsid w:val="005D44E9"/>
    <w:rsid w:val="005D5319"/>
    <w:rsid w:val="00610FA0"/>
    <w:rsid w:val="006340C8"/>
    <w:rsid w:val="00650888"/>
    <w:rsid w:val="00651258"/>
    <w:rsid w:val="00654172"/>
    <w:rsid w:val="00660798"/>
    <w:rsid w:val="00661BE7"/>
    <w:rsid w:val="00662654"/>
    <w:rsid w:val="00665176"/>
    <w:rsid w:val="00671B63"/>
    <w:rsid w:val="00671FCB"/>
    <w:rsid w:val="00674BEF"/>
    <w:rsid w:val="00682D16"/>
    <w:rsid w:val="00692F93"/>
    <w:rsid w:val="00696E0A"/>
    <w:rsid w:val="006A23AC"/>
    <w:rsid w:val="006A5042"/>
    <w:rsid w:val="006B2C3E"/>
    <w:rsid w:val="006B5123"/>
    <w:rsid w:val="006B5F46"/>
    <w:rsid w:val="006C77FE"/>
    <w:rsid w:val="006D1B29"/>
    <w:rsid w:val="006D1F86"/>
    <w:rsid w:val="006E0D01"/>
    <w:rsid w:val="006E0D45"/>
    <w:rsid w:val="006F0BC8"/>
    <w:rsid w:val="006F4974"/>
    <w:rsid w:val="00702101"/>
    <w:rsid w:val="00714E1D"/>
    <w:rsid w:val="0072325C"/>
    <w:rsid w:val="00736A16"/>
    <w:rsid w:val="00751845"/>
    <w:rsid w:val="00753A25"/>
    <w:rsid w:val="00756153"/>
    <w:rsid w:val="00774FB2"/>
    <w:rsid w:val="00777579"/>
    <w:rsid w:val="007844BB"/>
    <w:rsid w:val="007857F5"/>
    <w:rsid w:val="00785FFC"/>
    <w:rsid w:val="00787A3C"/>
    <w:rsid w:val="00796E01"/>
    <w:rsid w:val="007A04B7"/>
    <w:rsid w:val="007B35F1"/>
    <w:rsid w:val="007B5C8E"/>
    <w:rsid w:val="007B6A37"/>
    <w:rsid w:val="007C0439"/>
    <w:rsid w:val="007D4435"/>
    <w:rsid w:val="007E100E"/>
    <w:rsid w:val="007E3DA8"/>
    <w:rsid w:val="007E40C9"/>
    <w:rsid w:val="007F7649"/>
    <w:rsid w:val="008079D8"/>
    <w:rsid w:val="00822DFE"/>
    <w:rsid w:val="008235E0"/>
    <w:rsid w:val="00831B9D"/>
    <w:rsid w:val="00844B88"/>
    <w:rsid w:val="00861386"/>
    <w:rsid w:val="00862697"/>
    <w:rsid w:val="00866592"/>
    <w:rsid w:val="0087419C"/>
    <w:rsid w:val="0087699F"/>
    <w:rsid w:val="00881707"/>
    <w:rsid w:val="008817BF"/>
    <w:rsid w:val="00893693"/>
    <w:rsid w:val="00894AAE"/>
    <w:rsid w:val="00895458"/>
    <w:rsid w:val="00897379"/>
    <w:rsid w:val="008A4AD6"/>
    <w:rsid w:val="008A4B13"/>
    <w:rsid w:val="008B1650"/>
    <w:rsid w:val="008B5DE9"/>
    <w:rsid w:val="008C2B23"/>
    <w:rsid w:val="008D7A71"/>
    <w:rsid w:val="008E24B7"/>
    <w:rsid w:val="008E6A6D"/>
    <w:rsid w:val="008E725F"/>
    <w:rsid w:val="008E7906"/>
    <w:rsid w:val="008F0C27"/>
    <w:rsid w:val="00902F69"/>
    <w:rsid w:val="009050E0"/>
    <w:rsid w:val="00914D24"/>
    <w:rsid w:val="00922D05"/>
    <w:rsid w:val="0092303A"/>
    <w:rsid w:val="00925B1E"/>
    <w:rsid w:val="009271A1"/>
    <w:rsid w:val="00930C1E"/>
    <w:rsid w:val="00931E3E"/>
    <w:rsid w:val="00944B94"/>
    <w:rsid w:val="00945405"/>
    <w:rsid w:val="009475C0"/>
    <w:rsid w:val="00950E2E"/>
    <w:rsid w:val="009535CB"/>
    <w:rsid w:val="00965217"/>
    <w:rsid w:val="009704D2"/>
    <w:rsid w:val="009770CC"/>
    <w:rsid w:val="00985B48"/>
    <w:rsid w:val="00993B24"/>
    <w:rsid w:val="00994908"/>
    <w:rsid w:val="009A7360"/>
    <w:rsid w:val="009C31BB"/>
    <w:rsid w:val="009C56E5"/>
    <w:rsid w:val="009D0FF5"/>
    <w:rsid w:val="009E1921"/>
    <w:rsid w:val="009E3A1D"/>
    <w:rsid w:val="00A003C5"/>
    <w:rsid w:val="00A01BB1"/>
    <w:rsid w:val="00A11B1F"/>
    <w:rsid w:val="00A154ED"/>
    <w:rsid w:val="00A15554"/>
    <w:rsid w:val="00A1581F"/>
    <w:rsid w:val="00A17A19"/>
    <w:rsid w:val="00A17D7C"/>
    <w:rsid w:val="00A262B3"/>
    <w:rsid w:val="00A27674"/>
    <w:rsid w:val="00A309B8"/>
    <w:rsid w:val="00A37825"/>
    <w:rsid w:val="00A41E1A"/>
    <w:rsid w:val="00A43255"/>
    <w:rsid w:val="00A5112A"/>
    <w:rsid w:val="00A51200"/>
    <w:rsid w:val="00A54AA9"/>
    <w:rsid w:val="00A60179"/>
    <w:rsid w:val="00A62735"/>
    <w:rsid w:val="00A64947"/>
    <w:rsid w:val="00A74BCE"/>
    <w:rsid w:val="00A74D0B"/>
    <w:rsid w:val="00A80D79"/>
    <w:rsid w:val="00A91FF5"/>
    <w:rsid w:val="00A962CD"/>
    <w:rsid w:val="00AA112B"/>
    <w:rsid w:val="00AA2D23"/>
    <w:rsid w:val="00AB768F"/>
    <w:rsid w:val="00AD192A"/>
    <w:rsid w:val="00AD1C32"/>
    <w:rsid w:val="00AE49A2"/>
    <w:rsid w:val="00AF6A69"/>
    <w:rsid w:val="00B049A3"/>
    <w:rsid w:val="00B07E19"/>
    <w:rsid w:val="00B172F3"/>
    <w:rsid w:val="00B37EC7"/>
    <w:rsid w:val="00B40DC3"/>
    <w:rsid w:val="00B40E7D"/>
    <w:rsid w:val="00B410B6"/>
    <w:rsid w:val="00B41DB6"/>
    <w:rsid w:val="00B5013F"/>
    <w:rsid w:val="00B50A3C"/>
    <w:rsid w:val="00B55677"/>
    <w:rsid w:val="00B55995"/>
    <w:rsid w:val="00B620A4"/>
    <w:rsid w:val="00B62CED"/>
    <w:rsid w:val="00B636D4"/>
    <w:rsid w:val="00B637B0"/>
    <w:rsid w:val="00B658B9"/>
    <w:rsid w:val="00B7031B"/>
    <w:rsid w:val="00B70E70"/>
    <w:rsid w:val="00B72EDD"/>
    <w:rsid w:val="00B7595B"/>
    <w:rsid w:val="00B9189B"/>
    <w:rsid w:val="00B9617D"/>
    <w:rsid w:val="00BC25F5"/>
    <w:rsid w:val="00BC6A2A"/>
    <w:rsid w:val="00BD777B"/>
    <w:rsid w:val="00BD7F06"/>
    <w:rsid w:val="00BF513F"/>
    <w:rsid w:val="00C04033"/>
    <w:rsid w:val="00C07003"/>
    <w:rsid w:val="00C2292F"/>
    <w:rsid w:val="00C26AC4"/>
    <w:rsid w:val="00C32DF0"/>
    <w:rsid w:val="00C44AF7"/>
    <w:rsid w:val="00C47FD2"/>
    <w:rsid w:val="00C56626"/>
    <w:rsid w:val="00C6252C"/>
    <w:rsid w:val="00C71565"/>
    <w:rsid w:val="00C77B17"/>
    <w:rsid w:val="00C82EED"/>
    <w:rsid w:val="00CA3DF8"/>
    <w:rsid w:val="00CA46D9"/>
    <w:rsid w:val="00CA507E"/>
    <w:rsid w:val="00CA6027"/>
    <w:rsid w:val="00CB23CC"/>
    <w:rsid w:val="00CB32F6"/>
    <w:rsid w:val="00CB4E5C"/>
    <w:rsid w:val="00CB62F7"/>
    <w:rsid w:val="00CC30F4"/>
    <w:rsid w:val="00CC416D"/>
    <w:rsid w:val="00CE5664"/>
    <w:rsid w:val="00D15B85"/>
    <w:rsid w:val="00D43077"/>
    <w:rsid w:val="00D50E81"/>
    <w:rsid w:val="00D57D31"/>
    <w:rsid w:val="00D61DDF"/>
    <w:rsid w:val="00D63F24"/>
    <w:rsid w:val="00D72FF6"/>
    <w:rsid w:val="00D750EF"/>
    <w:rsid w:val="00D77C0A"/>
    <w:rsid w:val="00D858EE"/>
    <w:rsid w:val="00D95B69"/>
    <w:rsid w:val="00DA5187"/>
    <w:rsid w:val="00DB4691"/>
    <w:rsid w:val="00DC421F"/>
    <w:rsid w:val="00DC693F"/>
    <w:rsid w:val="00DE0AEE"/>
    <w:rsid w:val="00DE3B08"/>
    <w:rsid w:val="00DE4A98"/>
    <w:rsid w:val="00DE5C6B"/>
    <w:rsid w:val="00DF30E6"/>
    <w:rsid w:val="00DF6839"/>
    <w:rsid w:val="00E00F2A"/>
    <w:rsid w:val="00E136C1"/>
    <w:rsid w:val="00E15105"/>
    <w:rsid w:val="00E15D98"/>
    <w:rsid w:val="00E26D62"/>
    <w:rsid w:val="00E27961"/>
    <w:rsid w:val="00E32459"/>
    <w:rsid w:val="00E32F4F"/>
    <w:rsid w:val="00E353E8"/>
    <w:rsid w:val="00E551E8"/>
    <w:rsid w:val="00E560B0"/>
    <w:rsid w:val="00E567B1"/>
    <w:rsid w:val="00E62A84"/>
    <w:rsid w:val="00E66922"/>
    <w:rsid w:val="00E67FB9"/>
    <w:rsid w:val="00E7169B"/>
    <w:rsid w:val="00E71865"/>
    <w:rsid w:val="00E94C18"/>
    <w:rsid w:val="00EA79BE"/>
    <w:rsid w:val="00EB0883"/>
    <w:rsid w:val="00EC0011"/>
    <w:rsid w:val="00EC2DD6"/>
    <w:rsid w:val="00ED283F"/>
    <w:rsid w:val="00EE54C6"/>
    <w:rsid w:val="00EF2981"/>
    <w:rsid w:val="00EF40BC"/>
    <w:rsid w:val="00F002E1"/>
    <w:rsid w:val="00F10529"/>
    <w:rsid w:val="00F16D2A"/>
    <w:rsid w:val="00F17EAE"/>
    <w:rsid w:val="00F300FA"/>
    <w:rsid w:val="00F31E2B"/>
    <w:rsid w:val="00F328C7"/>
    <w:rsid w:val="00F34E15"/>
    <w:rsid w:val="00F41973"/>
    <w:rsid w:val="00F75C8A"/>
    <w:rsid w:val="00F83D16"/>
    <w:rsid w:val="00F87A9E"/>
    <w:rsid w:val="00F90ED7"/>
    <w:rsid w:val="00F96377"/>
    <w:rsid w:val="00FA7F25"/>
    <w:rsid w:val="00FC69EA"/>
    <w:rsid w:val="00FD2E8F"/>
    <w:rsid w:val="00FD4BB5"/>
    <w:rsid w:val="00FF3D58"/>
    <w:rsid w:val="00FF3E41"/>
    <w:rsid w:val="015D5504"/>
    <w:rsid w:val="016347D7"/>
    <w:rsid w:val="01743E73"/>
    <w:rsid w:val="01C45D06"/>
    <w:rsid w:val="021D04ED"/>
    <w:rsid w:val="02313F99"/>
    <w:rsid w:val="02727A8F"/>
    <w:rsid w:val="027D7504"/>
    <w:rsid w:val="02957F4A"/>
    <w:rsid w:val="02AD29B2"/>
    <w:rsid w:val="03181066"/>
    <w:rsid w:val="03634626"/>
    <w:rsid w:val="03D352ED"/>
    <w:rsid w:val="04772A4B"/>
    <w:rsid w:val="049727D9"/>
    <w:rsid w:val="0582467D"/>
    <w:rsid w:val="05926AFC"/>
    <w:rsid w:val="05D77E4F"/>
    <w:rsid w:val="05D84CA5"/>
    <w:rsid w:val="05E0200A"/>
    <w:rsid w:val="061B1990"/>
    <w:rsid w:val="064550D0"/>
    <w:rsid w:val="066A47CE"/>
    <w:rsid w:val="06B141BC"/>
    <w:rsid w:val="07031442"/>
    <w:rsid w:val="07A34B98"/>
    <w:rsid w:val="07AC7C25"/>
    <w:rsid w:val="07BD5E3D"/>
    <w:rsid w:val="081F17B3"/>
    <w:rsid w:val="087D09B3"/>
    <w:rsid w:val="088A7506"/>
    <w:rsid w:val="08944458"/>
    <w:rsid w:val="08D556E5"/>
    <w:rsid w:val="08DE1DFC"/>
    <w:rsid w:val="09063232"/>
    <w:rsid w:val="09362972"/>
    <w:rsid w:val="0A15616C"/>
    <w:rsid w:val="0A6C3DC0"/>
    <w:rsid w:val="0A747118"/>
    <w:rsid w:val="0AA4793D"/>
    <w:rsid w:val="0B0A42C4"/>
    <w:rsid w:val="0B2F4186"/>
    <w:rsid w:val="0B5F4794"/>
    <w:rsid w:val="0B7926DE"/>
    <w:rsid w:val="0BC85D5B"/>
    <w:rsid w:val="0BD82C59"/>
    <w:rsid w:val="0C160487"/>
    <w:rsid w:val="0C317648"/>
    <w:rsid w:val="0C7451AE"/>
    <w:rsid w:val="0C9617E4"/>
    <w:rsid w:val="0C9F6FE3"/>
    <w:rsid w:val="0D173E04"/>
    <w:rsid w:val="0D2E2D13"/>
    <w:rsid w:val="0D354ACD"/>
    <w:rsid w:val="0D492902"/>
    <w:rsid w:val="0D6F10B3"/>
    <w:rsid w:val="0D8536BD"/>
    <w:rsid w:val="0D8F4EFE"/>
    <w:rsid w:val="0E293FE3"/>
    <w:rsid w:val="0E4D5CB6"/>
    <w:rsid w:val="0EA46E2D"/>
    <w:rsid w:val="0EFF5127"/>
    <w:rsid w:val="0F210A3A"/>
    <w:rsid w:val="0F415C16"/>
    <w:rsid w:val="0F607679"/>
    <w:rsid w:val="10086D9C"/>
    <w:rsid w:val="102A466F"/>
    <w:rsid w:val="105812FF"/>
    <w:rsid w:val="111C0739"/>
    <w:rsid w:val="111E1B8C"/>
    <w:rsid w:val="11610DAE"/>
    <w:rsid w:val="116A724E"/>
    <w:rsid w:val="116D60A1"/>
    <w:rsid w:val="117A72EF"/>
    <w:rsid w:val="11FD46BF"/>
    <w:rsid w:val="120B5F4D"/>
    <w:rsid w:val="12323823"/>
    <w:rsid w:val="124F42B7"/>
    <w:rsid w:val="12834530"/>
    <w:rsid w:val="13901E1C"/>
    <w:rsid w:val="13A7230D"/>
    <w:rsid w:val="14EF1875"/>
    <w:rsid w:val="14F325C5"/>
    <w:rsid w:val="15026D53"/>
    <w:rsid w:val="15B4486D"/>
    <w:rsid w:val="15CA2F2E"/>
    <w:rsid w:val="15E74C42"/>
    <w:rsid w:val="16CB5F30"/>
    <w:rsid w:val="16F2389F"/>
    <w:rsid w:val="16F643D6"/>
    <w:rsid w:val="171C5435"/>
    <w:rsid w:val="172D2B29"/>
    <w:rsid w:val="17E217ED"/>
    <w:rsid w:val="17F00444"/>
    <w:rsid w:val="18517FB6"/>
    <w:rsid w:val="188E75F7"/>
    <w:rsid w:val="18A44462"/>
    <w:rsid w:val="18D81447"/>
    <w:rsid w:val="191E1382"/>
    <w:rsid w:val="193F7A6A"/>
    <w:rsid w:val="19600F94"/>
    <w:rsid w:val="199A28AA"/>
    <w:rsid w:val="1A650426"/>
    <w:rsid w:val="1AA03612"/>
    <w:rsid w:val="1BCB75FC"/>
    <w:rsid w:val="1BDA0F1B"/>
    <w:rsid w:val="1BFF5B23"/>
    <w:rsid w:val="1C777DA5"/>
    <w:rsid w:val="1C7E467E"/>
    <w:rsid w:val="1D0D671B"/>
    <w:rsid w:val="1D305121"/>
    <w:rsid w:val="1D36397B"/>
    <w:rsid w:val="1D4B182A"/>
    <w:rsid w:val="1D5C48CC"/>
    <w:rsid w:val="1D835251"/>
    <w:rsid w:val="1DD943FB"/>
    <w:rsid w:val="1DE87A80"/>
    <w:rsid w:val="1E194C81"/>
    <w:rsid w:val="1E3E561C"/>
    <w:rsid w:val="1E68566C"/>
    <w:rsid w:val="1E95273B"/>
    <w:rsid w:val="1EA47B74"/>
    <w:rsid w:val="1F8B4401"/>
    <w:rsid w:val="1FFF5FBA"/>
    <w:rsid w:val="21082BD0"/>
    <w:rsid w:val="21554059"/>
    <w:rsid w:val="216B2E85"/>
    <w:rsid w:val="218872DA"/>
    <w:rsid w:val="218F2E30"/>
    <w:rsid w:val="21BF16DB"/>
    <w:rsid w:val="21C443C4"/>
    <w:rsid w:val="223C67F4"/>
    <w:rsid w:val="224A458F"/>
    <w:rsid w:val="22942040"/>
    <w:rsid w:val="22DA671D"/>
    <w:rsid w:val="23050835"/>
    <w:rsid w:val="231A7D53"/>
    <w:rsid w:val="23887B38"/>
    <w:rsid w:val="238B1360"/>
    <w:rsid w:val="24013DB9"/>
    <w:rsid w:val="24441950"/>
    <w:rsid w:val="248D76DC"/>
    <w:rsid w:val="249A5A1E"/>
    <w:rsid w:val="24A36916"/>
    <w:rsid w:val="25172BDE"/>
    <w:rsid w:val="25744A0D"/>
    <w:rsid w:val="25902C01"/>
    <w:rsid w:val="259A51CD"/>
    <w:rsid w:val="25D56865"/>
    <w:rsid w:val="26082272"/>
    <w:rsid w:val="262178C9"/>
    <w:rsid w:val="264755DA"/>
    <w:rsid w:val="2661459D"/>
    <w:rsid w:val="267E0CAB"/>
    <w:rsid w:val="26A84EBA"/>
    <w:rsid w:val="26EA363F"/>
    <w:rsid w:val="27144592"/>
    <w:rsid w:val="278B23EE"/>
    <w:rsid w:val="278B7B24"/>
    <w:rsid w:val="27C03641"/>
    <w:rsid w:val="281318C7"/>
    <w:rsid w:val="28541E37"/>
    <w:rsid w:val="285F3CB1"/>
    <w:rsid w:val="286928C5"/>
    <w:rsid w:val="289C366A"/>
    <w:rsid w:val="28A2214A"/>
    <w:rsid w:val="2936694E"/>
    <w:rsid w:val="2996455E"/>
    <w:rsid w:val="29DB04A2"/>
    <w:rsid w:val="29EE50B4"/>
    <w:rsid w:val="29FE7B47"/>
    <w:rsid w:val="2A367640"/>
    <w:rsid w:val="2A48356C"/>
    <w:rsid w:val="2ABC75C8"/>
    <w:rsid w:val="2B12230A"/>
    <w:rsid w:val="2B7E1510"/>
    <w:rsid w:val="2B8051DB"/>
    <w:rsid w:val="2BAA31B3"/>
    <w:rsid w:val="2BC63FD4"/>
    <w:rsid w:val="2C0D4F8D"/>
    <w:rsid w:val="2C376A9B"/>
    <w:rsid w:val="2C3A1B18"/>
    <w:rsid w:val="2C3F0EDD"/>
    <w:rsid w:val="2C4C4F3B"/>
    <w:rsid w:val="2C60078F"/>
    <w:rsid w:val="2C646B95"/>
    <w:rsid w:val="2C7E1414"/>
    <w:rsid w:val="2C810E08"/>
    <w:rsid w:val="2C8E59C0"/>
    <w:rsid w:val="2CBA6A70"/>
    <w:rsid w:val="2CD504F2"/>
    <w:rsid w:val="2D0F4C79"/>
    <w:rsid w:val="2D1D55AF"/>
    <w:rsid w:val="2D2B1461"/>
    <w:rsid w:val="2DC147E3"/>
    <w:rsid w:val="2EA90867"/>
    <w:rsid w:val="2EAD7087"/>
    <w:rsid w:val="2F454A5C"/>
    <w:rsid w:val="2FC43258"/>
    <w:rsid w:val="2FE467A7"/>
    <w:rsid w:val="302C011A"/>
    <w:rsid w:val="302C34A7"/>
    <w:rsid w:val="303A22C6"/>
    <w:rsid w:val="304940D8"/>
    <w:rsid w:val="30517430"/>
    <w:rsid w:val="30C3032E"/>
    <w:rsid w:val="30F37EDC"/>
    <w:rsid w:val="31055CDB"/>
    <w:rsid w:val="313C17BF"/>
    <w:rsid w:val="314A714A"/>
    <w:rsid w:val="315423FA"/>
    <w:rsid w:val="324507AD"/>
    <w:rsid w:val="3344327C"/>
    <w:rsid w:val="338B4F0A"/>
    <w:rsid w:val="33CC223D"/>
    <w:rsid w:val="345179FF"/>
    <w:rsid w:val="34814F15"/>
    <w:rsid w:val="34826328"/>
    <w:rsid w:val="34984755"/>
    <w:rsid w:val="34E959C3"/>
    <w:rsid w:val="34F85D6A"/>
    <w:rsid w:val="34FC2804"/>
    <w:rsid w:val="34FF4777"/>
    <w:rsid w:val="35120222"/>
    <w:rsid w:val="3518714F"/>
    <w:rsid w:val="353D3435"/>
    <w:rsid w:val="354A6EEA"/>
    <w:rsid w:val="356B1CF3"/>
    <w:rsid w:val="35AF70D3"/>
    <w:rsid w:val="37654E9C"/>
    <w:rsid w:val="3784633D"/>
    <w:rsid w:val="38213B8C"/>
    <w:rsid w:val="382373DA"/>
    <w:rsid w:val="383B0B04"/>
    <w:rsid w:val="38591578"/>
    <w:rsid w:val="38AC16A8"/>
    <w:rsid w:val="38CF7D58"/>
    <w:rsid w:val="38F0269B"/>
    <w:rsid w:val="3A372F4A"/>
    <w:rsid w:val="3A7C1D7A"/>
    <w:rsid w:val="3AAD7959"/>
    <w:rsid w:val="3AD068AC"/>
    <w:rsid w:val="3ADB44C6"/>
    <w:rsid w:val="3AED5FA8"/>
    <w:rsid w:val="3B285284"/>
    <w:rsid w:val="3B2C319C"/>
    <w:rsid w:val="3B2D2566"/>
    <w:rsid w:val="3B387B37"/>
    <w:rsid w:val="3B68647D"/>
    <w:rsid w:val="3BAF2C97"/>
    <w:rsid w:val="3C074E47"/>
    <w:rsid w:val="3C756255"/>
    <w:rsid w:val="3C9E39FD"/>
    <w:rsid w:val="3C9F4DD0"/>
    <w:rsid w:val="3D0D46DF"/>
    <w:rsid w:val="3D254A9A"/>
    <w:rsid w:val="3D3C5A02"/>
    <w:rsid w:val="3D430E91"/>
    <w:rsid w:val="3D723C25"/>
    <w:rsid w:val="3D8F5CCA"/>
    <w:rsid w:val="3D910454"/>
    <w:rsid w:val="3D964F1B"/>
    <w:rsid w:val="3E0C2560"/>
    <w:rsid w:val="3EB02237"/>
    <w:rsid w:val="3EB80B41"/>
    <w:rsid w:val="3EE65C63"/>
    <w:rsid w:val="3FCF6608"/>
    <w:rsid w:val="40476BB4"/>
    <w:rsid w:val="4092377C"/>
    <w:rsid w:val="40AA78B9"/>
    <w:rsid w:val="411E6EBB"/>
    <w:rsid w:val="41B079AE"/>
    <w:rsid w:val="41FF0A9A"/>
    <w:rsid w:val="42417218"/>
    <w:rsid w:val="42F2520E"/>
    <w:rsid w:val="43B55C44"/>
    <w:rsid w:val="44A633D7"/>
    <w:rsid w:val="450B6BAA"/>
    <w:rsid w:val="45531639"/>
    <w:rsid w:val="45EC57D9"/>
    <w:rsid w:val="465467E3"/>
    <w:rsid w:val="466D03B6"/>
    <w:rsid w:val="467A4130"/>
    <w:rsid w:val="46ED3D62"/>
    <w:rsid w:val="46F030A7"/>
    <w:rsid w:val="46FE5A27"/>
    <w:rsid w:val="472165E1"/>
    <w:rsid w:val="472D42FC"/>
    <w:rsid w:val="472D7E58"/>
    <w:rsid w:val="474447A0"/>
    <w:rsid w:val="474B1F88"/>
    <w:rsid w:val="47B50093"/>
    <w:rsid w:val="47CE3835"/>
    <w:rsid w:val="47E938E8"/>
    <w:rsid w:val="47EE4C60"/>
    <w:rsid w:val="47F548C0"/>
    <w:rsid w:val="48543A65"/>
    <w:rsid w:val="48551120"/>
    <w:rsid w:val="489A6008"/>
    <w:rsid w:val="48CE1A32"/>
    <w:rsid w:val="492B6619"/>
    <w:rsid w:val="49356079"/>
    <w:rsid w:val="4957634E"/>
    <w:rsid w:val="496F10FC"/>
    <w:rsid w:val="49881CCB"/>
    <w:rsid w:val="49975FBC"/>
    <w:rsid w:val="49D13AE4"/>
    <w:rsid w:val="49E1480A"/>
    <w:rsid w:val="49FB653F"/>
    <w:rsid w:val="4A4B3E0B"/>
    <w:rsid w:val="4A5D44B5"/>
    <w:rsid w:val="4A6437D4"/>
    <w:rsid w:val="4A8F086C"/>
    <w:rsid w:val="4AB070BD"/>
    <w:rsid w:val="4AE46E2A"/>
    <w:rsid w:val="4B086260"/>
    <w:rsid w:val="4B792C11"/>
    <w:rsid w:val="4C6C6665"/>
    <w:rsid w:val="4C993854"/>
    <w:rsid w:val="4C9D782D"/>
    <w:rsid w:val="4CBA0C3C"/>
    <w:rsid w:val="4CC773C4"/>
    <w:rsid w:val="4CE81B67"/>
    <w:rsid w:val="4CF077D9"/>
    <w:rsid w:val="4D211BA8"/>
    <w:rsid w:val="4E816CDB"/>
    <w:rsid w:val="4EC5185F"/>
    <w:rsid w:val="4F0516BA"/>
    <w:rsid w:val="4F7A2315"/>
    <w:rsid w:val="4F9273F2"/>
    <w:rsid w:val="4FB31056"/>
    <w:rsid w:val="501D04C6"/>
    <w:rsid w:val="50224539"/>
    <w:rsid w:val="50675167"/>
    <w:rsid w:val="509B115C"/>
    <w:rsid w:val="50E705D7"/>
    <w:rsid w:val="50F773EF"/>
    <w:rsid w:val="50FA6AF3"/>
    <w:rsid w:val="51040E29"/>
    <w:rsid w:val="51AC2CF6"/>
    <w:rsid w:val="51CF2789"/>
    <w:rsid w:val="51EE696A"/>
    <w:rsid w:val="52E60BBD"/>
    <w:rsid w:val="53537FC2"/>
    <w:rsid w:val="537A576C"/>
    <w:rsid w:val="537E37FF"/>
    <w:rsid w:val="538D6EF1"/>
    <w:rsid w:val="53E24E79"/>
    <w:rsid w:val="54051CBA"/>
    <w:rsid w:val="54627517"/>
    <w:rsid w:val="54C301E3"/>
    <w:rsid w:val="54CD3E95"/>
    <w:rsid w:val="54FE1085"/>
    <w:rsid w:val="5507618C"/>
    <w:rsid w:val="555313D1"/>
    <w:rsid w:val="555465EE"/>
    <w:rsid w:val="5630606F"/>
    <w:rsid w:val="56431446"/>
    <w:rsid w:val="564D2F1F"/>
    <w:rsid w:val="56601D30"/>
    <w:rsid w:val="56864980"/>
    <w:rsid w:val="56BD287A"/>
    <w:rsid w:val="57617D64"/>
    <w:rsid w:val="579023A5"/>
    <w:rsid w:val="579D2991"/>
    <w:rsid w:val="57EF105C"/>
    <w:rsid w:val="580156A0"/>
    <w:rsid w:val="58831FCD"/>
    <w:rsid w:val="58A81A34"/>
    <w:rsid w:val="597D4298"/>
    <w:rsid w:val="59CC3500"/>
    <w:rsid w:val="5A17089F"/>
    <w:rsid w:val="5A2B78A9"/>
    <w:rsid w:val="5AC204A2"/>
    <w:rsid w:val="5ADE079F"/>
    <w:rsid w:val="5ADF2CEC"/>
    <w:rsid w:val="5B74302C"/>
    <w:rsid w:val="5B93792A"/>
    <w:rsid w:val="5B9F4190"/>
    <w:rsid w:val="5BBE44A1"/>
    <w:rsid w:val="5C0F2120"/>
    <w:rsid w:val="5CC2508E"/>
    <w:rsid w:val="5CC95CE6"/>
    <w:rsid w:val="5CF04714"/>
    <w:rsid w:val="5CF641B7"/>
    <w:rsid w:val="5CFA7B5F"/>
    <w:rsid w:val="5CFD12BC"/>
    <w:rsid w:val="5D872105"/>
    <w:rsid w:val="5DCE519B"/>
    <w:rsid w:val="5DDC2951"/>
    <w:rsid w:val="5E042794"/>
    <w:rsid w:val="5E8E75A3"/>
    <w:rsid w:val="5E9860A7"/>
    <w:rsid w:val="5EBC232F"/>
    <w:rsid w:val="5EC0678A"/>
    <w:rsid w:val="5ED877D8"/>
    <w:rsid w:val="5EE240B6"/>
    <w:rsid w:val="5F1A5C6D"/>
    <w:rsid w:val="5F2F7A39"/>
    <w:rsid w:val="5FA814DF"/>
    <w:rsid w:val="5FE82FD2"/>
    <w:rsid w:val="5FED58DF"/>
    <w:rsid w:val="6040616F"/>
    <w:rsid w:val="60B168B0"/>
    <w:rsid w:val="60C5514D"/>
    <w:rsid w:val="60D96503"/>
    <w:rsid w:val="60DD148F"/>
    <w:rsid w:val="60FF3D49"/>
    <w:rsid w:val="61305322"/>
    <w:rsid w:val="6159154D"/>
    <w:rsid w:val="61994C8C"/>
    <w:rsid w:val="61A65755"/>
    <w:rsid w:val="61BA65BF"/>
    <w:rsid w:val="628F77C1"/>
    <w:rsid w:val="62922B86"/>
    <w:rsid w:val="62B83782"/>
    <w:rsid w:val="62F67905"/>
    <w:rsid w:val="63344D9C"/>
    <w:rsid w:val="6372336A"/>
    <w:rsid w:val="63852965"/>
    <w:rsid w:val="63B719CA"/>
    <w:rsid w:val="63B87749"/>
    <w:rsid w:val="63E92F01"/>
    <w:rsid w:val="64063AB3"/>
    <w:rsid w:val="64255857"/>
    <w:rsid w:val="64371776"/>
    <w:rsid w:val="64371EBE"/>
    <w:rsid w:val="64565DD5"/>
    <w:rsid w:val="646903D7"/>
    <w:rsid w:val="647B624F"/>
    <w:rsid w:val="64B47B11"/>
    <w:rsid w:val="64E2382D"/>
    <w:rsid w:val="652C145A"/>
    <w:rsid w:val="652E3534"/>
    <w:rsid w:val="6614440A"/>
    <w:rsid w:val="678E46C4"/>
    <w:rsid w:val="6800730B"/>
    <w:rsid w:val="681B5ADF"/>
    <w:rsid w:val="685E210F"/>
    <w:rsid w:val="686065CC"/>
    <w:rsid w:val="689D00AB"/>
    <w:rsid w:val="68A94442"/>
    <w:rsid w:val="68BC5CCF"/>
    <w:rsid w:val="694B1CA9"/>
    <w:rsid w:val="696848C8"/>
    <w:rsid w:val="69D87C9F"/>
    <w:rsid w:val="69F0323B"/>
    <w:rsid w:val="6A333F49"/>
    <w:rsid w:val="6A3D7B02"/>
    <w:rsid w:val="6A6F3824"/>
    <w:rsid w:val="6AB204F0"/>
    <w:rsid w:val="6AE125CF"/>
    <w:rsid w:val="6AF97ECD"/>
    <w:rsid w:val="6B356F25"/>
    <w:rsid w:val="6C6121CE"/>
    <w:rsid w:val="6C7822A9"/>
    <w:rsid w:val="6C9B0687"/>
    <w:rsid w:val="6CCD0C34"/>
    <w:rsid w:val="6D2B360C"/>
    <w:rsid w:val="6DD94EB7"/>
    <w:rsid w:val="6ED65668"/>
    <w:rsid w:val="6F5F3C10"/>
    <w:rsid w:val="6F7D619A"/>
    <w:rsid w:val="6F9F35B4"/>
    <w:rsid w:val="6FCA71E0"/>
    <w:rsid w:val="6FD827A7"/>
    <w:rsid w:val="703145D9"/>
    <w:rsid w:val="706C1141"/>
    <w:rsid w:val="706E7C9E"/>
    <w:rsid w:val="707324D0"/>
    <w:rsid w:val="70CF5032"/>
    <w:rsid w:val="71856DEF"/>
    <w:rsid w:val="71A130D0"/>
    <w:rsid w:val="71DA004A"/>
    <w:rsid w:val="726B69B0"/>
    <w:rsid w:val="728A0291"/>
    <w:rsid w:val="729F531D"/>
    <w:rsid w:val="72CF47E7"/>
    <w:rsid w:val="72ED48AE"/>
    <w:rsid w:val="730361B9"/>
    <w:rsid w:val="734466F5"/>
    <w:rsid w:val="738D5656"/>
    <w:rsid w:val="73EA2043"/>
    <w:rsid w:val="742740AC"/>
    <w:rsid w:val="743A2B40"/>
    <w:rsid w:val="745F7336"/>
    <w:rsid w:val="74923BF4"/>
    <w:rsid w:val="74C44810"/>
    <w:rsid w:val="74CF773B"/>
    <w:rsid w:val="750202C6"/>
    <w:rsid w:val="75475CD9"/>
    <w:rsid w:val="75B354EE"/>
    <w:rsid w:val="75BC3DFE"/>
    <w:rsid w:val="76A06528"/>
    <w:rsid w:val="76DB2792"/>
    <w:rsid w:val="77091498"/>
    <w:rsid w:val="77BA7B83"/>
    <w:rsid w:val="77EA05CE"/>
    <w:rsid w:val="785D1817"/>
    <w:rsid w:val="786C5947"/>
    <w:rsid w:val="78861E4A"/>
    <w:rsid w:val="78D37FAF"/>
    <w:rsid w:val="78F57EFF"/>
    <w:rsid w:val="79BF5E05"/>
    <w:rsid w:val="79F71BE1"/>
    <w:rsid w:val="7A0D60DE"/>
    <w:rsid w:val="7A0F5025"/>
    <w:rsid w:val="7A16003B"/>
    <w:rsid w:val="7A367DDC"/>
    <w:rsid w:val="7A6A4943"/>
    <w:rsid w:val="7AE600D4"/>
    <w:rsid w:val="7AEC35AA"/>
    <w:rsid w:val="7B0A28DC"/>
    <w:rsid w:val="7B0B390C"/>
    <w:rsid w:val="7B8109A5"/>
    <w:rsid w:val="7BBA0FB3"/>
    <w:rsid w:val="7BF21F72"/>
    <w:rsid w:val="7C9B21DA"/>
    <w:rsid w:val="7CAC5049"/>
    <w:rsid w:val="7CE31C56"/>
    <w:rsid w:val="7D5A1A2C"/>
    <w:rsid w:val="7D686286"/>
    <w:rsid w:val="7D757A64"/>
    <w:rsid w:val="7D921F97"/>
    <w:rsid w:val="7DA34981"/>
    <w:rsid w:val="7DA83736"/>
    <w:rsid w:val="7DB9757F"/>
    <w:rsid w:val="7E104461"/>
    <w:rsid w:val="7F39186C"/>
    <w:rsid w:val="7F6E5771"/>
    <w:rsid w:val="7FCE50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qFormat/>
    <w:uiPriority w:val="0"/>
    <w:pPr>
      <w:keepNext/>
      <w:keepLines/>
      <w:adjustRightInd w:val="0"/>
      <w:snapToGrid w:val="0"/>
      <w:spacing w:line="360" w:lineRule="auto"/>
      <w:jc w:val="center"/>
      <w:outlineLvl w:val="0"/>
    </w:pPr>
    <w:rPr>
      <w:rFonts w:ascii="方正小标宋简体" w:hAnsi="方正小标宋简体" w:eastAsia="方正小标宋简体" w:cs="方正小标宋简体"/>
      <w:b/>
      <w:kern w:val="44"/>
      <w:sz w:val="32"/>
      <w:szCs w:val="32"/>
    </w:rPr>
  </w:style>
  <w:style w:type="paragraph" w:styleId="3">
    <w:name w:val="heading 2"/>
    <w:basedOn w:val="1"/>
    <w:next w:val="1"/>
    <w:link w:val="44"/>
    <w:unhideWhenUsed/>
    <w:qFormat/>
    <w:uiPriority w:val="0"/>
    <w:pPr>
      <w:snapToGrid w:val="0"/>
      <w:jc w:val="center"/>
      <w:outlineLvl w:val="1"/>
    </w:pPr>
    <w:rPr>
      <w:rFonts w:ascii="仿宋_GB2312" w:hAnsi="仿宋_GB2312" w:eastAsia="仿宋_GB2312" w:cs="仿宋_GB2312"/>
      <w:b/>
      <w:bCs/>
      <w:sz w:val="32"/>
      <w:szCs w:val="32"/>
    </w:rPr>
  </w:style>
  <w:style w:type="paragraph" w:styleId="4">
    <w:name w:val="heading 3"/>
    <w:basedOn w:val="3"/>
    <w:next w:val="1"/>
    <w:link w:val="34"/>
    <w:unhideWhenUsed/>
    <w:qFormat/>
    <w:uiPriority w:val="0"/>
    <w:pPr>
      <w:numPr>
        <w:ilvl w:val="0"/>
        <w:numId w:val="1"/>
      </w:numPr>
      <w:jc w:val="left"/>
      <w:outlineLvl w:val="2"/>
    </w:p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qFormat/>
    <w:uiPriority w:val="0"/>
    <w:pPr>
      <w:ind w:left="1440"/>
    </w:pPr>
    <w:rPr>
      <w:rFonts w:asciiTheme="minorHAnsi" w:hAnsiTheme="minorHAnsi" w:cstheme="minorHAnsi"/>
      <w:sz w:val="18"/>
      <w:szCs w:val="18"/>
    </w:rPr>
  </w:style>
  <w:style w:type="paragraph" w:styleId="6">
    <w:name w:val="caption"/>
    <w:basedOn w:val="1"/>
    <w:next w:val="1"/>
    <w:unhideWhenUsed/>
    <w:qFormat/>
    <w:uiPriority w:val="0"/>
    <w:rPr>
      <w:rFonts w:eastAsia="黑体" w:asciiTheme="majorHAnsi" w:hAnsiTheme="majorHAnsi" w:cstheme="majorBidi"/>
      <w:sz w:val="20"/>
      <w:szCs w:val="20"/>
    </w:rPr>
  </w:style>
  <w:style w:type="paragraph" w:styleId="7">
    <w:name w:val="annotation text"/>
    <w:basedOn w:val="1"/>
    <w:link w:val="42"/>
    <w:qFormat/>
    <w:uiPriority w:val="0"/>
  </w:style>
  <w:style w:type="paragraph" w:styleId="8">
    <w:name w:val="toc 5"/>
    <w:basedOn w:val="1"/>
    <w:next w:val="1"/>
    <w:qFormat/>
    <w:uiPriority w:val="0"/>
    <w:pPr>
      <w:ind w:left="960"/>
    </w:pPr>
    <w:rPr>
      <w:rFonts w:asciiTheme="minorHAnsi" w:hAnsiTheme="minorHAnsi" w:cstheme="minorHAnsi"/>
      <w:sz w:val="18"/>
      <w:szCs w:val="18"/>
    </w:rPr>
  </w:style>
  <w:style w:type="paragraph" w:styleId="9">
    <w:name w:val="toc 3"/>
    <w:basedOn w:val="1"/>
    <w:next w:val="1"/>
    <w:qFormat/>
    <w:uiPriority w:val="39"/>
    <w:pPr>
      <w:ind w:left="480"/>
    </w:pPr>
    <w:rPr>
      <w:rFonts w:asciiTheme="minorHAnsi" w:hAnsiTheme="minorHAnsi" w:cstheme="minorHAnsi"/>
      <w:i/>
      <w:iCs/>
      <w:sz w:val="20"/>
      <w:szCs w:val="20"/>
    </w:rPr>
  </w:style>
  <w:style w:type="paragraph" w:styleId="10">
    <w:name w:val="toc 8"/>
    <w:basedOn w:val="1"/>
    <w:next w:val="1"/>
    <w:qFormat/>
    <w:uiPriority w:val="0"/>
    <w:pPr>
      <w:ind w:left="1680"/>
    </w:pPr>
    <w:rPr>
      <w:rFonts w:asciiTheme="minorHAnsi" w:hAnsiTheme="minorHAnsi" w:cstheme="minorHAnsi"/>
      <w:sz w:val="18"/>
      <w:szCs w:val="18"/>
    </w:rPr>
  </w:style>
  <w:style w:type="paragraph" w:styleId="11">
    <w:name w:val="Balloon Text"/>
    <w:basedOn w:val="1"/>
    <w:link w:val="41"/>
    <w:qFormat/>
    <w:uiPriority w:val="0"/>
    <w:rPr>
      <w:sz w:val="18"/>
      <w:szCs w:val="18"/>
    </w:rPr>
  </w:style>
  <w:style w:type="paragraph" w:styleId="12">
    <w:name w:val="footer"/>
    <w:basedOn w:val="1"/>
    <w:qFormat/>
    <w:uiPriority w:val="0"/>
    <w:pPr>
      <w:tabs>
        <w:tab w:val="center" w:pos="4153"/>
        <w:tab w:val="right" w:pos="8306"/>
      </w:tabs>
      <w:snapToGrid w:val="0"/>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4">
    <w:name w:val="toc 1"/>
    <w:basedOn w:val="1"/>
    <w:next w:val="1"/>
    <w:qFormat/>
    <w:uiPriority w:val="39"/>
    <w:pPr>
      <w:tabs>
        <w:tab w:val="right" w:leader="dot" w:pos="8296"/>
      </w:tabs>
      <w:spacing w:before="120" w:after="120"/>
      <w:jc w:val="center"/>
    </w:pPr>
    <w:rPr>
      <w:rFonts w:asciiTheme="minorHAnsi" w:hAnsiTheme="minorHAnsi" w:cstheme="minorHAnsi"/>
      <w:b/>
      <w:bCs/>
      <w:caps/>
      <w:sz w:val="20"/>
      <w:szCs w:val="20"/>
    </w:rPr>
  </w:style>
  <w:style w:type="paragraph" w:styleId="15">
    <w:name w:val="toc 4"/>
    <w:basedOn w:val="1"/>
    <w:next w:val="1"/>
    <w:qFormat/>
    <w:uiPriority w:val="0"/>
    <w:pPr>
      <w:ind w:left="720"/>
    </w:pPr>
    <w:rPr>
      <w:rFonts w:asciiTheme="minorHAnsi" w:hAnsiTheme="minorHAnsi" w:cstheme="minorHAnsi"/>
      <w:sz w:val="18"/>
      <w:szCs w:val="18"/>
    </w:rPr>
  </w:style>
  <w:style w:type="paragraph" w:styleId="16">
    <w:name w:val="toc 6"/>
    <w:basedOn w:val="1"/>
    <w:next w:val="1"/>
    <w:qFormat/>
    <w:uiPriority w:val="0"/>
    <w:pPr>
      <w:ind w:left="1200"/>
    </w:pPr>
    <w:rPr>
      <w:rFonts w:asciiTheme="minorHAnsi" w:hAnsiTheme="minorHAnsi" w:cstheme="minorHAnsi"/>
      <w:sz w:val="18"/>
      <w:szCs w:val="18"/>
    </w:rPr>
  </w:style>
  <w:style w:type="paragraph" w:styleId="17">
    <w:name w:val="table of figures"/>
    <w:basedOn w:val="1"/>
    <w:next w:val="1"/>
    <w:qFormat/>
    <w:uiPriority w:val="99"/>
    <w:pPr>
      <w:ind w:left="200" w:leftChars="200" w:hanging="200" w:hangingChars="200"/>
    </w:pPr>
  </w:style>
  <w:style w:type="paragraph" w:styleId="18">
    <w:name w:val="toc 2"/>
    <w:basedOn w:val="1"/>
    <w:next w:val="1"/>
    <w:qFormat/>
    <w:uiPriority w:val="39"/>
    <w:pPr>
      <w:ind w:left="240"/>
    </w:pPr>
    <w:rPr>
      <w:rFonts w:asciiTheme="minorHAnsi" w:hAnsiTheme="minorHAnsi" w:cstheme="minorHAnsi"/>
      <w:smallCaps/>
      <w:sz w:val="20"/>
      <w:szCs w:val="20"/>
    </w:rPr>
  </w:style>
  <w:style w:type="paragraph" w:styleId="19">
    <w:name w:val="toc 9"/>
    <w:basedOn w:val="1"/>
    <w:next w:val="1"/>
    <w:qFormat/>
    <w:uiPriority w:val="0"/>
    <w:pPr>
      <w:ind w:left="1920"/>
    </w:pPr>
    <w:rPr>
      <w:rFonts w:asciiTheme="minorHAnsi" w:hAnsiTheme="minorHAnsi" w:cstheme="minorHAnsi"/>
      <w:sz w:val="18"/>
      <w:szCs w:val="18"/>
    </w:rPr>
  </w:style>
  <w:style w:type="paragraph" w:styleId="20">
    <w:name w:val="Normal (Web)"/>
    <w:basedOn w:val="1"/>
    <w:qFormat/>
    <w:uiPriority w:val="0"/>
    <w:rPr>
      <w:rFonts w:ascii="Calibri" w:hAnsi="Calibri" w:cs="Times New Roman"/>
    </w:rPr>
  </w:style>
  <w:style w:type="paragraph" w:styleId="21">
    <w:name w:val="Title"/>
    <w:basedOn w:val="1"/>
    <w:next w:val="1"/>
    <w:link w:val="36"/>
    <w:qFormat/>
    <w:uiPriority w:val="0"/>
    <w:pPr>
      <w:spacing w:before="240" w:after="60"/>
      <w:jc w:val="center"/>
      <w:outlineLvl w:val="0"/>
    </w:pPr>
    <w:rPr>
      <w:rFonts w:asciiTheme="majorHAnsi" w:hAnsiTheme="majorHAnsi" w:eastAsiaTheme="majorEastAsia" w:cstheme="majorBidi"/>
      <w:b/>
      <w:bCs/>
      <w:sz w:val="32"/>
      <w:szCs w:val="32"/>
    </w:rPr>
  </w:style>
  <w:style w:type="paragraph" w:styleId="22">
    <w:name w:val="annotation subject"/>
    <w:basedOn w:val="7"/>
    <w:next w:val="7"/>
    <w:link w:val="43"/>
    <w:qFormat/>
    <w:uiPriority w:val="0"/>
    <w:rPr>
      <w:b/>
      <w:bCs/>
    </w:rPr>
  </w:style>
  <w:style w:type="table" w:styleId="24">
    <w:name w:val="Table Grid"/>
    <w:basedOn w:val="2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rPr>
  </w:style>
  <w:style w:type="character" w:styleId="27">
    <w:name w:val="FollowedHyperlink"/>
    <w:basedOn w:val="25"/>
    <w:qFormat/>
    <w:uiPriority w:val="0"/>
    <w:rPr>
      <w:color w:val="954F72" w:themeColor="followedHyperlink"/>
      <w:u w:val="single"/>
      <w14:textFill>
        <w14:solidFill>
          <w14:schemeClr w14:val="folHlink"/>
        </w14:solidFill>
      </w14:textFill>
    </w:rPr>
  </w:style>
  <w:style w:type="character" w:styleId="28">
    <w:name w:val="Hyperlink"/>
    <w:basedOn w:val="25"/>
    <w:qFormat/>
    <w:uiPriority w:val="99"/>
    <w:rPr>
      <w:color w:val="0000FF"/>
      <w:u w:val="single"/>
    </w:rPr>
  </w:style>
  <w:style w:type="character" w:styleId="29">
    <w:name w:val="annotation reference"/>
    <w:basedOn w:val="25"/>
    <w:qFormat/>
    <w:uiPriority w:val="0"/>
    <w:rPr>
      <w:sz w:val="21"/>
      <w:szCs w:val="21"/>
    </w:rPr>
  </w:style>
  <w:style w:type="character" w:customStyle="1" w:styleId="30">
    <w:name w:val="font91"/>
    <w:basedOn w:val="25"/>
    <w:qFormat/>
    <w:uiPriority w:val="0"/>
    <w:rPr>
      <w:rFonts w:ascii="Arial" w:hAnsi="Arial" w:cs="Arial"/>
      <w:color w:val="000000"/>
      <w:sz w:val="16"/>
      <w:szCs w:val="16"/>
      <w:u w:val="none"/>
    </w:rPr>
  </w:style>
  <w:style w:type="character" w:customStyle="1" w:styleId="31">
    <w:name w:val="font51"/>
    <w:basedOn w:val="25"/>
    <w:qFormat/>
    <w:uiPriority w:val="0"/>
    <w:rPr>
      <w:rFonts w:hint="eastAsia" w:ascii="宋体" w:hAnsi="宋体" w:eastAsia="宋体" w:cs="宋体"/>
      <w:color w:val="000000"/>
      <w:sz w:val="16"/>
      <w:szCs w:val="16"/>
      <w:u w:val="none"/>
    </w:rPr>
  </w:style>
  <w:style w:type="paragraph" w:customStyle="1" w:styleId="32">
    <w:name w:val="文字"/>
    <w:qFormat/>
    <w:uiPriority w:val="0"/>
    <w:pPr>
      <w:adjustRightInd w:val="0"/>
      <w:snapToGrid w:val="0"/>
      <w:spacing w:line="360" w:lineRule="auto"/>
      <w:ind w:firstLine="560" w:firstLineChars="200"/>
    </w:pPr>
    <w:rPr>
      <w:rFonts w:ascii="仿宋_GB2312" w:hAnsi="仿宋_GB2312" w:eastAsia="仿宋_GB2312" w:cs="仿宋_GB2312"/>
      <w:bCs/>
      <w:kern w:val="44"/>
      <w:sz w:val="28"/>
      <w:szCs w:val="28"/>
      <w:lang w:val="en-US" w:eastAsia="zh-CN" w:bidi="ar-SA"/>
    </w:rPr>
  </w:style>
  <w:style w:type="paragraph" w:styleId="33">
    <w:name w:val="List Paragraph"/>
    <w:basedOn w:val="1"/>
    <w:unhideWhenUsed/>
    <w:qFormat/>
    <w:uiPriority w:val="99"/>
    <w:pPr>
      <w:ind w:firstLine="420" w:firstLineChars="200"/>
    </w:pPr>
  </w:style>
  <w:style w:type="character" w:customStyle="1" w:styleId="34">
    <w:name w:val="标题 3 字符"/>
    <w:link w:val="4"/>
    <w:semiHidden/>
    <w:qFormat/>
    <w:uiPriority w:val="0"/>
    <w:rPr>
      <w:rFonts w:ascii="仿宋_GB2312" w:hAnsi="仿宋_GB2312" w:eastAsia="仿宋_GB2312" w:cs="仿宋_GB2312"/>
      <w:b/>
      <w:bCs/>
      <w:sz w:val="32"/>
      <w:szCs w:val="32"/>
      <w:lang w:val="en-US" w:eastAsia="zh-CN" w:bidi="ar-SA"/>
    </w:rPr>
  </w:style>
  <w:style w:type="character" w:customStyle="1" w:styleId="35">
    <w:name w:val="未处理的提及1"/>
    <w:basedOn w:val="25"/>
    <w:semiHidden/>
    <w:unhideWhenUsed/>
    <w:qFormat/>
    <w:uiPriority w:val="99"/>
    <w:rPr>
      <w:color w:val="605E5C"/>
      <w:shd w:val="clear" w:color="auto" w:fill="E1DFDD"/>
    </w:rPr>
  </w:style>
  <w:style w:type="character" w:customStyle="1" w:styleId="36">
    <w:name w:val="标题 字符"/>
    <w:basedOn w:val="25"/>
    <w:link w:val="21"/>
    <w:qFormat/>
    <w:uiPriority w:val="0"/>
    <w:rPr>
      <w:rFonts w:asciiTheme="majorHAnsi" w:hAnsiTheme="majorHAnsi" w:eastAsiaTheme="majorEastAsia" w:cstheme="majorBidi"/>
      <w:b/>
      <w:bCs/>
      <w:sz w:val="32"/>
      <w:szCs w:val="32"/>
    </w:rPr>
  </w:style>
  <w:style w:type="character" w:customStyle="1" w:styleId="37">
    <w:name w:val="不明显强调1"/>
    <w:basedOn w:val="25"/>
    <w:qFormat/>
    <w:uiPriority w:val="19"/>
    <w:rPr>
      <w:i/>
      <w:iCs/>
      <w:color w:val="404040" w:themeColor="text1" w:themeTint="BF"/>
      <w14:textFill>
        <w14:solidFill>
          <w14:schemeClr w14:val="tx1">
            <w14:lumMod w14:val="75000"/>
            <w14:lumOff w14:val="25000"/>
          </w14:schemeClr>
        </w14:solidFill>
      </w14:textFill>
    </w:rPr>
  </w:style>
  <w:style w:type="paragraph" w:customStyle="1" w:styleId="38">
    <w:name w:val="表格文字"/>
    <w:basedOn w:val="32"/>
    <w:qFormat/>
    <w:uiPriority w:val="0"/>
    <w:pPr>
      <w:ind w:left="-2" w:leftChars="-1" w:firstLine="0" w:firstLineChars="0"/>
    </w:pPr>
  </w:style>
  <w:style w:type="character" w:customStyle="1" w:styleId="39">
    <w:name w:val="未处理的提及2"/>
    <w:basedOn w:val="25"/>
    <w:semiHidden/>
    <w:unhideWhenUsed/>
    <w:qFormat/>
    <w:uiPriority w:val="99"/>
    <w:rPr>
      <w:color w:val="605E5C"/>
      <w:shd w:val="clear" w:color="auto" w:fill="E1DFDD"/>
    </w:rPr>
  </w:style>
  <w:style w:type="table" w:customStyle="1" w:styleId="40">
    <w:name w:val="无格式表格 21"/>
    <w:basedOn w:val="23"/>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41">
    <w:name w:val="批注框文本 字符"/>
    <w:basedOn w:val="25"/>
    <w:link w:val="11"/>
    <w:qFormat/>
    <w:uiPriority w:val="0"/>
    <w:rPr>
      <w:rFonts w:ascii="宋体" w:hAnsi="宋体" w:cs="宋体"/>
      <w:sz w:val="18"/>
      <w:szCs w:val="18"/>
    </w:rPr>
  </w:style>
  <w:style w:type="character" w:customStyle="1" w:styleId="42">
    <w:name w:val="批注文字 字符"/>
    <w:basedOn w:val="25"/>
    <w:link w:val="7"/>
    <w:qFormat/>
    <w:uiPriority w:val="0"/>
    <w:rPr>
      <w:rFonts w:ascii="宋体" w:hAnsi="宋体" w:cs="宋体"/>
      <w:sz w:val="24"/>
      <w:szCs w:val="24"/>
    </w:rPr>
  </w:style>
  <w:style w:type="character" w:customStyle="1" w:styleId="43">
    <w:name w:val="批注主题 字符"/>
    <w:basedOn w:val="42"/>
    <w:link w:val="22"/>
    <w:qFormat/>
    <w:uiPriority w:val="0"/>
    <w:rPr>
      <w:rFonts w:ascii="宋体" w:hAnsi="宋体" w:cs="宋体"/>
      <w:b/>
      <w:bCs/>
      <w:sz w:val="24"/>
      <w:szCs w:val="24"/>
    </w:rPr>
  </w:style>
  <w:style w:type="character" w:customStyle="1" w:styleId="44">
    <w:name w:val="标题 2 字符"/>
    <w:link w:val="3"/>
    <w:qFormat/>
    <w:uiPriority w:val="0"/>
    <w:rPr>
      <w:rFonts w:ascii="仿宋_GB2312" w:hAnsi="仿宋_GB2312" w:eastAsia="仿宋_GB2312" w:cs="仿宋_GB2312"/>
      <w:b/>
      <w:bCs/>
      <w:sz w:val="32"/>
      <w:szCs w:val="32"/>
      <w:lang w:val="en-US" w:eastAsia="zh-CN" w:bidi="ar-SA"/>
    </w:rPr>
  </w:style>
  <w:style w:type="table" w:customStyle="1" w:styleId="45">
    <w:name w:val="清单表 3 - 着色 11"/>
    <w:basedOn w:val="23"/>
    <w:qFormat/>
    <w:uiPriority w:val="48"/>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b/>
        <w:bCs/>
        <w:color w:val="FFFFFF" w:themeColor="background1"/>
        <w14:textFill>
          <w14:solidFill>
            <w14:schemeClr w14:val="bg1"/>
          </w14:solidFill>
        </w14:textFill>
      </w:rPr>
      <w:tcPr>
        <w:shd w:val="clear" w:color="auto" w:fill="5B9BD5" w:themeFill="accent1"/>
      </w:tcPr>
    </w:tblStylePr>
    <w:tblStylePr w:type="lastRow">
      <w:rPr>
        <w:b/>
        <w:bCs/>
      </w:rPr>
      <w:tcPr>
        <w:tcBorders>
          <w:top w:val="double" w:color="5B9BD5"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5B9BD5" w:themeColor="accent1" w:sz="4" w:space="0"/>
          <w:right w:val="single" w:color="5B9BD5" w:themeColor="accent1" w:sz="4" w:space="0"/>
        </w:tcBorders>
      </w:tcPr>
    </w:tblStylePr>
    <w:tblStylePr w:type="band1Horz">
      <w:tcPr>
        <w:tcBorders>
          <w:top w:val="single" w:color="5B9BD5" w:themeColor="accent1" w:sz="4" w:space="0"/>
          <w:bottom w:val="single" w:color="5B9BD5"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5B9BD5" w:themeColor="accent1" w:sz="4" w:space="0"/>
          <w:left w:val="nil"/>
        </w:tcBorders>
      </w:tcPr>
    </w:tblStylePr>
    <w:tblStylePr w:type="swCell">
      <w:tcPr>
        <w:tcBorders>
          <w:top w:val="double" w:color="5B9BD5" w:themeColor="accent1" w:sz="4" w:space="0"/>
          <w:right w:val="nil"/>
        </w:tcBorders>
      </w:tcPr>
    </w:tblStylePr>
  </w:style>
  <w:style w:type="character" w:customStyle="1" w:styleId="46">
    <w:name w:val="Unresolved Mention"/>
    <w:basedOn w:val="2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421170-282B-CB47-A1ED-672013FA7277}">
  <ds:schemaRefs/>
</ds:datastoreItem>
</file>

<file path=docProps/app.xml><?xml version="1.0" encoding="utf-8"?>
<Properties xmlns="http://schemas.openxmlformats.org/officeDocument/2006/extended-properties" xmlns:vt="http://schemas.openxmlformats.org/officeDocument/2006/docPropsVTypes">
  <Template>Normal.dotm</Template>
  <Company>集团总部</Company>
  <Pages>7</Pages>
  <Words>807</Words>
  <Characters>1173</Characters>
  <Lines>55</Lines>
  <Paragraphs>15</Paragraphs>
  <TotalTime>11</TotalTime>
  <ScaleCrop>false</ScaleCrop>
  <LinksUpToDate>false</LinksUpToDate>
  <CharactersWithSpaces>1205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2025-03-16T05:36:00Z</dcterms:created>
  <dc:creator>任毅</dc:creator>
  <cp:lastModifiedBy>蓝天小云</cp:lastModifiedBy>
  <dcterms:modified xsi:type="dcterms:W3CDTF">2025-08-29T05:56:16Z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69B2ADB5A24B4895ACC8D6450E190A22</vt:lpwstr>
  </property>
  <property fmtid="{D5CDD505-2E9C-101B-9397-08002B2CF9AE}" pid="4" name="KSOTemplateDocerSaveRecord">
    <vt:lpwstr>eyJoZGlkIjoiYTAyYWMzNzNkNTc2NDA5ZjJhMjk3NmNmMDFlMDMyNGIiLCJ1c2VySWQiOiIzNTY3OTY0OTMifQ==</vt:lpwstr>
  </property>
</Properties>
</file>