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0334C">
      <w:pPr>
        <w:snapToGrid w:val="0"/>
        <w:spacing w:line="360" w:lineRule="auto"/>
        <w:ind w:firstLine="897"/>
        <w:jc w:val="both"/>
        <w:rPr>
          <w:rFonts w:ascii="黑体" w:hAnsi="黑体" w:eastAsia="黑体" w:cs="黑体"/>
          <w:b/>
          <w:bCs/>
          <w:sz w:val="44"/>
          <w:szCs w:val="52"/>
        </w:rPr>
      </w:pPr>
    </w:p>
    <w:p w14:paraId="1D726450">
      <w:pPr>
        <w:snapToGrid w:val="0"/>
        <w:spacing w:line="360" w:lineRule="auto"/>
        <w:ind w:firstLine="897"/>
        <w:jc w:val="both"/>
        <w:rPr>
          <w:rFonts w:ascii="黑体" w:hAnsi="黑体" w:eastAsia="黑体" w:cs="黑体"/>
          <w:b/>
          <w:bCs/>
          <w:sz w:val="44"/>
          <w:szCs w:val="52"/>
        </w:rPr>
      </w:pPr>
    </w:p>
    <w:p w14:paraId="189DC712">
      <w:pPr>
        <w:snapToGrid w:val="0"/>
        <w:spacing w:line="360" w:lineRule="auto"/>
        <w:ind w:firstLine="897"/>
        <w:jc w:val="both"/>
        <w:rPr>
          <w:rFonts w:ascii="黑体" w:hAnsi="黑体" w:eastAsia="黑体" w:cs="黑体"/>
          <w:b/>
          <w:bCs/>
          <w:sz w:val="44"/>
          <w:szCs w:val="52"/>
        </w:rPr>
      </w:pPr>
    </w:p>
    <w:p w14:paraId="3FC599BD">
      <w:pPr>
        <w:snapToGrid w:val="0"/>
        <w:spacing w:line="360" w:lineRule="auto"/>
        <w:ind w:firstLine="897"/>
        <w:jc w:val="both"/>
        <w:rPr>
          <w:rFonts w:ascii="黑体" w:hAnsi="黑体" w:eastAsia="黑体" w:cs="黑体"/>
          <w:b/>
          <w:bCs/>
          <w:sz w:val="44"/>
          <w:szCs w:val="52"/>
        </w:rPr>
      </w:pPr>
    </w:p>
    <w:p w14:paraId="00278D5D">
      <w:pPr>
        <w:snapToGrid w:val="0"/>
        <w:spacing w:line="360" w:lineRule="auto"/>
        <w:ind w:firstLine="897"/>
        <w:jc w:val="both"/>
        <w:rPr>
          <w:rFonts w:ascii="黑体" w:hAnsi="黑体" w:eastAsia="黑体" w:cs="黑体"/>
          <w:b/>
          <w:bCs/>
          <w:sz w:val="44"/>
          <w:szCs w:val="52"/>
        </w:rPr>
      </w:pPr>
    </w:p>
    <w:p w14:paraId="5D9F7C82">
      <w:pPr>
        <w:snapToGrid w:val="0"/>
        <w:spacing w:line="360" w:lineRule="auto"/>
        <w:ind w:firstLine="897"/>
        <w:jc w:val="both"/>
        <w:rPr>
          <w:rFonts w:ascii="黑体" w:hAnsi="黑体" w:eastAsia="黑体" w:cs="黑体"/>
          <w:b/>
          <w:bCs/>
          <w:sz w:val="44"/>
          <w:szCs w:val="52"/>
        </w:rPr>
      </w:pPr>
    </w:p>
    <w:p w14:paraId="6002290B">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49B54A9F">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w:t>
      </w:r>
      <w:r>
        <w:rPr>
          <w:rFonts w:hint="eastAsia" w:ascii="黑体" w:hAnsi="黑体" w:eastAsia="黑体" w:cs="黑体"/>
          <w:b/>
          <w:bCs/>
          <w:sz w:val="44"/>
          <w:szCs w:val="52"/>
          <w:lang w:val="en-US" w:eastAsia="zh-CN"/>
        </w:rPr>
        <w:t>8</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29</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9</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5</w:t>
      </w:r>
      <w:r>
        <w:rPr>
          <w:rFonts w:hint="eastAsia" w:ascii="黑体" w:hAnsi="黑体" w:eastAsia="黑体" w:cs="黑体"/>
          <w:b/>
          <w:bCs/>
          <w:sz w:val="44"/>
          <w:szCs w:val="52"/>
        </w:rPr>
        <w:t>日）</w:t>
      </w:r>
    </w:p>
    <w:p w14:paraId="555F551E">
      <w:pPr>
        <w:snapToGrid w:val="0"/>
        <w:spacing w:line="360" w:lineRule="auto"/>
        <w:ind w:firstLine="720"/>
        <w:jc w:val="center"/>
        <w:rPr>
          <w:sz w:val="36"/>
          <w:szCs w:val="44"/>
        </w:rPr>
      </w:pPr>
    </w:p>
    <w:p w14:paraId="1BBA3328">
      <w:pPr>
        <w:snapToGrid w:val="0"/>
        <w:spacing w:line="360" w:lineRule="auto"/>
        <w:ind w:firstLine="720"/>
        <w:jc w:val="center"/>
        <w:rPr>
          <w:sz w:val="36"/>
          <w:szCs w:val="44"/>
        </w:rPr>
      </w:pPr>
    </w:p>
    <w:p w14:paraId="47ECA664">
      <w:pPr>
        <w:snapToGrid w:val="0"/>
        <w:spacing w:line="360" w:lineRule="auto"/>
        <w:ind w:firstLine="720"/>
        <w:jc w:val="center"/>
        <w:rPr>
          <w:sz w:val="36"/>
          <w:szCs w:val="44"/>
        </w:rPr>
      </w:pPr>
    </w:p>
    <w:p w14:paraId="621928D3">
      <w:pPr>
        <w:snapToGrid w:val="0"/>
        <w:spacing w:line="360" w:lineRule="auto"/>
        <w:ind w:firstLine="720"/>
        <w:jc w:val="center"/>
        <w:rPr>
          <w:sz w:val="36"/>
          <w:szCs w:val="44"/>
        </w:rPr>
      </w:pPr>
    </w:p>
    <w:p w14:paraId="172DDBCD">
      <w:pPr>
        <w:snapToGrid w:val="0"/>
        <w:spacing w:line="360" w:lineRule="auto"/>
        <w:jc w:val="center"/>
        <w:rPr>
          <w:sz w:val="28"/>
          <w:szCs w:val="36"/>
        </w:rPr>
      </w:pPr>
    </w:p>
    <w:p w14:paraId="4F7F58AE">
      <w:pPr>
        <w:snapToGrid w:val="0"/>
        <w:spacing w:line="360" w:lineRule="auto"/>
        <w:jc w:val="center"/>
        <w:rPr>
          <w:sz w:val="28"/>
          <w:szCs w:val="36"/>
        </w:rPr>
      </w:pPr>
    </w:p>
    <w:p w14:paraId="0B76DE71">
      <w:pPr>
        <w:snapToGrid w:val="0"/>
        <w:spacing w:line="360" w:lineRule="auto"/>
        <w:jc w:val="center"/>
        <w:rPr>
          <w:sz w:val="28"/>
          <w:szCs w:val="36"/>
        </w:rPr>
      </w:pPr>
    </w:p>
    <w:p w14:paraId="24C487AA">
      <w:pPr>
        <w:snapToGrid w:val="0"/>
        <w:spacing w:line="360" w:lineRule="auto"/>
        <w:jc w:val="center"/>
        <w:rPr>
          <w:sz w:val="28"/>
          <w:szCs w:val="36"/>
        </w:rPr>
      </w:pPr>
    </w:p>
    <w:p w14:paraId="012ECE2B">
      <w:pPr>
        <w:snapToGrid w:val="0"/>
        <w:spacing w:line="360" w:lineRule="auto"/>
        <w:jc w:val="center"/>
        <w:rPr>
          <w:sz w:val="28"/>
          <w:szCs w:val="36"/>
        </w:rPr>
      </w:pPr>
    </w:p>
    <w:p w14:paraId="50B34A26">
      <w:pPr>
        <w:snapToGrid w:val="0"/>
        <w:spacing w:line="360" w:lineRule="auto"/>
        <w:jc w:val="center"/>
        <w:rPr>
          <w:sz w:val="28"/>
          <w:szCs w:val="36"/>
        </w:rPr>
      </w:pPr>
    </w:p>
    <w:p w14:paraId="5125022F">
      <w:pPr>
        <w:snapToGrid w:val="0"/>
        <w:spacing w:line="360" w:lineRule="auto"/>
        <w:jc w:val="center"/>
        <w:rPr>
          <w:sz w:val="28"/>
          <w:szCs w:val="36"/>
        </w:rPr>
      </w:pPr>
    </w:p>
    <w:p w14:paraId="41EA7610">
      <w:pPr>
        <w:snapToGrid w:val="0"/>
        <w:spacing w:line="360" w:lineRule="auto"/>
        <w:ind w:firstLine="560"/>
        <w:jc w:val="both"/>
      </w:pPr>
    </w:p>
    <w:p w14:paraId="7E4363B5">
      <w:pPr>
        <w:pStyle w:val="2"/>
        <w:jc w:val="both"/>
        <w:sectPr>
          <w:pgSz w:w="11906" w:h="16838"/>
          <w:pgMar w:top="1440" w:right="1800" w:bottom="1440" w:left="1800" w:header="851" w:footer="992" w:gutter="0"/>
          <w:cols w:space="425" w:num="1"/>
          <w:docGrid w:type="lines" w:linePitch="312" w:charSpace="0"/>
        </w:sectPr>
      </w:pPr>
    </w:p>
    <w:p w14:paraId="043E20BD">
      <w:pPr>
        <w:pStyle w:val="2"/>
        <w:jc w:val="both"/>
      </w:pPr>
      <w:bookmarkStart w:id="0" w:name="_Toc9309"/>
      <w:r>
        <w:rPr>
          <w:rFonts w:hint="eastAsia"/>
        </w:rPr>
        <w:t>目录</w:t>
      </w:r>
      <w:bookmarkEnd w:id="0"/>
    </w:p>
    <w:p w14:paraId="65A6A840">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_Toc9309 </w:instrText>
      </w:r>
      <w:r>
        <w:rPr>
          <w:rFonts w:ascii="微软雅黑" w:hAnsi="微软雅黑" w:eastAsia="微软雅黑"/>
          <w:szCs w:val="21"/>
        </w:rPr>
        <w:fldChar w:fldCharType="separate"/>
      </w:r>
      <w:r>
        <w:rPr>
          <w:rFonts w:hint="eastAsia"/>
        </w:rPr>
        <w:t>目录</w:t>
      </w:r>
      <w:r>
        <w:tab/>
      </w:r>
      <w:r>
        <w:fldChar w:fldCharType="begin"/>
      </w:r>
      <w:r>
        <w:instrText xml:space="preserve"> PAGEREF _Toc9309 \h </w:instrText>
      </w:r>
      <w:r>
        <w:fldChar w:fldCharType="separate"/>
      </w:r>
      <w:r>
        <w:t>1</w:t>
      </w:r>
      <w:r>
        <w:fldChar w:fldCharType="end"/>
      </w:r>
      <w:r>
        <w:rPr>
          <w:rFonts w:ascii="微软雅黑" w:hAnsi="微软雅黑" w:eastAsia="微软雅黑"/>
          <w:szCs w:val="21"/>
        </w:rPr>
        <w:fldChar w:fldCharType="end"/>
      </w:r>
    </w:p>
    <w:p w14:paraId="0BCD1267">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_Toc6614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_Toc6614 \h </w:instrText>
      </w:r>
      <w:r>
        <w:fldChar w:fldCharType="separate"/>
      </w:r>
      <w:r>
        <w:t>2</w:t>
      </w:r>
      <w:r>
        <w:fldChar w:fldCharType="end"/>
      </w:r>
      <w:r>
        <w:rPr>
          <w:rFonts w:ascii="微软雅黑" w:hAnsi="微软雅黑" w:eastAsia="微软雅黑"/>
          <w:szCs w:val="28"/>
        </w:rPr>
        <w:fldChar w:fldCharType="end"/>
      </w:r>
    </w:p>
    <w:p w14:paraId="5E436EEC">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_Toc1034 </w:instrText>
      </w:r>
      <w:r>
        <w:rPr>
          <w:rFonts w:ascii="微软雅黑" w:hAnsi="微软雅黑" w:eastAsia="微软雅黑"/>
          <w:szCs w:val="28"/>
        </w:rPr>
        <w:fldChar w:fldCharType="separate"/>
      </w:r>
      <w:r>
        <w:rPr>
          <w:rFonts w:hint="default"/>
        </w:rPr>
        <w:t xml:space="preserve">(1) </w:t>
      </w:r>
      <w:r>
        <w:rPr>
          <w:rFonts w:hint="eastAsia"/>
        </w:rPr>
        <w:t>习近平主持“上海合作组织+”会议并发表重要讲话</w:t>
      </w:r>
      <w:r>
        <w:tab/>
      </w:r>
      <w:r>
        <w:fldChar w:fldCharType="begin"/>
      </w:r>
      <w:r>
        <w:instrText xml:space="preserve"> PAGEREF _Toc1034 \h </w:instrText>
      </w:r>
      <w:r>
        <w:fldChar w:fldCharType="separate"/>
      </w:r>
      <w:r>
        <w:t>2</w:t>
      </w:r>
      <w:r>
        <w:fldChar w:fldCharType="end"/>
      </w:r>
      <w:r>
        <w:rPr>
          <w:rFonts w:ascii="微软雅黑" w:hAnsi="微软雅黑" w:eastAsia="微软雅黑"/>
          <w:szCs w:val="28"/>
        </w:rPr>
        <w:fldChar w:fldCharType="end"/>
      </w:r>
    </w:p>
    <w:p w14:paraId="29A4B9B1">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_Toc29314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_Toc29314 \h </w:instrText>
      </w:r>
      <w:r>
        <w:fldChar w:fldCharType="separate"/>
      </w:r>
      <w:r>
        <w:t>2</w:t>
      </w:r>
      <w:r>
        <w:fldChar w:fldCharType="end"/>
      </w:r>
      <w:r>
        <w:rPr>
          <w:rFonts w:ascii="微软雅黑" w:hAnsi="微软雅黑" w:eastAsia="微软雅黑"/>
          <w:szCs w:val="28"/>
        </w:rPr>
        <w:fldChar w:fldCharType="end"/>
      </w:r>
    </w:p>
    <w:p w14:paraId="4F713F52">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_Toc14605 </w:instrText>
      </w:r>
      <w:r>
        <w:rPr>
          <w:rFonts w:ascii="微软雅黑" w:hAnsi="微软雅黑" w:eastAsia="微软雅黑"/>
          <w:szCs w:val="28"/>
        </w:rPr>
        <w:fldChar w:fldCharType="separate"/>
      </w:r>
      <w:r>
        <w:rPr>
          <w:rFonts w:hint="eastAsia"/>
        </w:rPr>
        <w:t>中央</w:t>
      </w:r>
      <w:r>
        <w:tab/>
      </w:r>
      <w:r>
        <w:fldChar w:fldCharType="begin"/>
      </w:r>
      <w:r>
        <w:instrText xml:space="preserve"> PAGEREF _Toc14605 \h </w:instrText>
      </w:r>
      <w:r>
        <w:fldChar w:fldCharType="separate"/>
      </w:r>
      <w:r>
        <w:t>2</w:t>
      </w:r>
      <w:r>
        <w:fldChar w:fldCharType="end"/>
      </w:r>
      <w:r>
        <w:rPr>
          <w:rFonts w:ascii="微软雅黑" w:hAnsi="微软雅黑" w:eastAsia="微软雅黑"/>
          <w:szCs w:val="28"/>
        </w:rPr>
        <w:fldChar w:fldCharType="end"/>
      </w:r>
    </w:p>
    <w:p w14:paraId="5AB46AD1">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_Toc9221 </w:instrText>
      </w:r>
      <w:r>
        <w:rPr>
          <w:rFonts w:ascii="微软雅黑" w:hAnsi="微软雅黑" w:eastAsia="微软雅黑"/>
          <w:szCs w:val="28"/>
        </w:rPr>
        <w:fldChar w:fldCharType="separate"/>
      </w:r>
      <w:r>
        <w:rPr>
          <w:rFonts w:hint="default"/>
        </w:rPr>
        <w:t xml:space="preserve">(1) </w:t>
      </w:r>
      <w:r>
        <w:rPr>
          <w:rFonts w:hint="eastAsia"/>
        </w:rPr>
        <w:t>《关于推进“宽带林草”建设的通知》</w:t>
      </w:r>
      <w:r>
        <w:tab/>
      </w:r>
      <w:r>
        <w:fldChar w:fldCharType="begin"/>
      </w:r>
      <w:r>
        <w:instrText xml:space="preserve"> PAGEREF _Toc9221 \h </w:instrText>
      </w:r>
      <w:r>
        <w:fldChar w:fldCharType="separate"/>
      </w:r>
      <w:r>
        <w:t>2</w:t>
      </w:r>
      <w:r>
        <w:fldChar w:fldCharType="end"/>
      </w:r>
      <w:r>
        <w:rPr>
          <w:rFonts w:ascii="微软雅黑" w:hAnsi="微软雅黑" w:eastAsia="微软雅黑"/>
          <w:szCs w:val="28"/>
        </w:rPr>
        <w:fldChar w:fldCharType="end"/>
      </w:r>
    </w:p>
    <w:p w14:paraId="63D3B64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_Toc2563 </w:instrText>
      </w:r>
      <w:r>
        <w:rPr>
          <w:rFonts w:ascii="微软雅黑" w:hAnsi="微软雅黑" w:eastAsia="微软雅黑"/>
          <w:szCs w:val="28"/>
        </w:rPr>
        <w:fldChar w:fldCharType="separate"/>
      </w:r>
      <w:r>
        <w:rPr>
          <w:rFonts w:hint="default"/>
          <w:lang w:val="en-US" w:eastAsia="zh-CN"/>
        </w:rPr>
        <w:t xml:space="preserve">(2) </w:t>
      </w:r>
      <w:r>
        <w:rPr>
          <w:rFonts w:hint="eastAsia"/>
          <w:lang w:val="en-US" w:eastAsia="zh-CN"/>
        </w:rPr>
        <w:t>《关于释放体育消费潜力进一步推进体育产业高质量发展的意见》</w:t>
      </w:r>
      <w:r>
        <w:tab/>
      </w:r>
      <w:r>
        <w:fldChar w:fldCharType="begin"/>
      </w:r>
      <w:r>
        <w:instrText xml:space="preserve"> PAGEREF _Toc2563 \h </w:instrText>
      </w:r>
      <w:r>
        <w:fldChar w:fldCharType="separate"/>
      </w:r>
      <w:r>
        <w:t>3</w:t>
      </w:r>
      <w:r>
        <w:fldChar w:fldCharType="end"/>
      </w:r>
      <w:r>
        <w:rPr>
          <w:rFonts w:ascii="微软雅黑" w:hAnsi="微软雅黑" w:eastAsia="微软雅黑"/>
          <w:szCs w:val="28"/>
        </w:rPr>
        <w:fldChar w:fldCharType="end"/>
      </w:r>
    </w:p>
    <w:p w14:paraId="07B17DCB">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_Toc31560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_Toc31560 \h </w:instrText>
      </w:r>
      <w:r>
        <w:fldChar w:fldCharType="separate"/>
      </w:r>
      <w:r>
        <w:t>3</w:t>
      </w:r>
      <w:r>
        <w:fldChar w:fldCharType="end"/>
      </w:r>
      <w:r>
        <w:rPr>
          <w:rFonts w:ascii="微软雅黑" w:hAnsi="微软雅黑" w:eastAsia="微软雅黑"/>
          <w:szCs w:val="28"/>
        </w:rPr>
        <w:fldChar w:fldCharType="end"/>
      </w:r>
    </w:p>
    <w:p w14:paraId="0D6C2AD3">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_Toc13800 </w:instrText>
      </w:r>
      <w:r>
        <w:rPr>
          <w:rFonts w:ascii="微软雅黑" w:hAnsi="微软雅黑" w:eastAsia="微软雅黑"/>
          <w:szCs w:val="28"/>
        </w:rPr>
        <w:fldChar w:fldCharType="separate"/>
      </w:r>
      <w:r>
        <w:rPr>
          <w:rFonts w:hint="default"/>
        </w:rPr>
        <w:t xml:space="preserve">(1) </w:t>
      </w:r>
      <w:r>
        <w:rPr>
          <w:rFonts w:hint="eastAsia"/>
        </w:rPr>
        <w:t>《关于推动以企业为主体产学研协同创新的实施意见》</w:t>
      </w:r>
      <w:r>
        <w:tab/>
      </w:r>
      <w:r>
        <w:fldChar w:fldCharType="begin"/>
      </w:r>
      <w:r>
        <w:instrText xml:space="preserve"> PAGEREF _Toc13800 \h </w:instrText>
      </w:r>
      <w:r>
        <w:fldChar w:fldCharType="separate"/>
      </w:r>
      <w:r>
        <w:t>3</w:t>
      </w:r>
      <w:r>
        <w:fldChar w:fldCharType="end"/>
      </w:r>
      <w:r>
        <w:rPr>
          <w:rFonts w:ascii="微软雅黑" w:hAnsi="微软雅黑" w:eastAsia="微软雅黑"/>
          <w:szCs w:val="28"/>
        </w:rPr>
        <w:fldChar w:fldCharType="end"/>
      </w:r>
    </w:p>
    <w:p w14:paraId="31951444">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_Toc12844 </w:instrText>
      </w:r>
      <w:r>
        <w:rPr>
          <w:rFonts w:ascii="微软雅黑" w:hAnsi="微软雅黑" w:eastAsia="微软雅黑"/>
          <w:szCs w:val="28"/>
        </w:rPr>
        <w:fldChar w:fldCharType="separate"/>
      </w:r>
      <w:r>
        <w:rPr>
          <w:rFonts w:hint="default"/>
        </w:rPr>
        <w:t xml:space="preserve">(2) </w:t>
      </w:r>
      <w:r>
        <w:rPr>
          <w:rFonts w:hint="eastAsia"/>
        </w:rPr>
        <w:t>《湖北省优势商标名录管理办法》</w:t>
      </w:r>
      <w:r>
        <w:tab/>
      </w:r>
      <w:r>
        <w:fldChar w:fldCharType="begin"/>
      </w:r>
      <w:r>
        <w:instrText xml:space="preserve"> PAGEREF _Toc12844 \h </w:instrText>
      </w:r>
      <w:r>
        <w:fldChar w:fldCharType="separate"/>
      </w:r>
      <w:r>
        <w:t>3</w:t>
      </w:r>
      <w:r>
        <w:fldChar w:fldCharType="end"/>
      </w:r>
      <w:r>
        <w:rPr>
          <w:rFonts w:ascii="微软雅黑" w:hAnsi="微软雅黑" w:eastAsia="微软雅黑"/>
          <w:szCs w:val="28"/>
        </w:rPr>
        <w:fldChar w:fldCharType="end"/>
      </w:r>
    </w:p>
    <w:p w14:paraId="19E651B1">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_Toc29351 </w:instrText>
      </w:r>
      <w:r>
        <w:rPr>
          <w:rFonts w:ascii="微软雅黑" w:hAnsi="微软雅黑" w:eastAsia="微软雅黑"/>
          <w:szCs w:val="28"/>
        </w:rPr>
        <w:fldChar w:fldCharType="separate"/>
      </w:r>
      <w:r>
        <w:rPr>
          <w:rFonts w:hint="default"/>
        </w:rPr>
        <w:t xml:space="preserve">(3) </w:t>
      </w:r>
      <w:r>
        <w:rPr>
          <w:rFonts w:hint="eastAsia"/>
        </w:rPr>
        <w:t>《高水平推进武汉科技金融中心建设工作方案》</w:t>
      </w:r>
      <w:r>
        <w:tab/>
      </w:r>
      <w:r>
        <w:fldChar w:fldCharType="begin"/>
      </w:r>
      <w:r>
        <w:instrText xml:space="preserve"> PAGEREF _Toc29351 \h </w:instrText>
      </w:r>
      <w:r>
        <w:fldChar w:fldCharType="separate"/>
      </w:r>
      <w:r>
        <w:t>4</w:t>
      </w:r>
      <w:r>
        <w:fldChar w:fldCharType="end"/>
      </w:r>
      <w:r>
        <w:rPr>
          <w:rFonts w:ascii="微软雅黑" w:hAnsi="微软雅黑" w:eastAsia="微软雅黑"/>
          <w:szCs w:val="28"/>
        </w:rPr>
        <w:fldChar w:fldCharType="end"/>
      </w:r>
    </w:p>
    <w:p w14:paraId="22AAB833">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_Toc9294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_Toc9294 \h </w:instrText>
      </w:r>
      <w:r>
        <w:fldChar w:fldCharType="separate"/>
      </w:r>
      <w:r>
        <w:t>4</w:t>
      </w:r>
      <w:r>
        <w:fldChar w:fldCharType="end"/>
      </w:r>
      <w:r>
        <w:rPr>
          <w:rFonts w:ascii="微软雅黑" w:hAnsi="微软雅黑" w:eastAsia="微软雅黑"/>
          <w:szCs w:val="28"/>
        </w:rPr>
        <w:fldChar w:fldCharType="end"/>
      </w:r>
    </w:p>
    <w:p w14:paraId="32663DC3">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_Toc15681 </w:instrText>
      </w:r>
      <w:r>
        <w:rPr>
          <w:rFonts w:ascii="微软雅黑" w:hAnsi="微软雅黑" w:eastAsia="微软雅黑"/>
          <w:szCs w:val="28"/>
        </w:rPr>
        <w:fldChar w:fldCharType="separate"/>
      </w:r>
      <w:r>
        <w:rPr>
          <w:rFonts w:hint="default"/>
        </w:rPr>
        <w:t xml:space="preserve">(1) </w:t>
      </w:r>
      <w:r>
        <w:rPr>
          <w:rFonts w:hint="eastAsia"/>
        </w:rPr>
        <w:t>第一批高质量数据集方向</w:t>
      </w:r>
      <w:r>
        <w:rPr>
          <w:rFonts w:hint="eastAsia"/>
          <w:lang w:eastAsia="zh-CN"/>
        </w:rPr>
        <w:t>、可信数据空间</w:t>
      </w:r>
      <w:r>
        <w:rPr>
          <w:rFonts w:hint="eastAsia"/>
        </w:rPr>
        <w:t>标准/技术文件验证试点典型单位及相关技术文件发布</w:t>
      </w:r>
      <w:r>
        <w:tab/>
      </w:r>
      <w:r>
        <w:fldChar w:fldCharType="begin"/>
      </w:r>
      <w:r>
        <w:instrText xml:space="preserve"> PAGEREF _Toc15681 \h </w:instrText>
      </w:r>
      <w:r>
        <w:fldChar w:fldCharType="separate"/>
      </w:r>
      <w:r>
        <w:t>4</w:t>
      </w:r>
      <w:r>
        <w:fldChar w:fldCharType="end"/>
      </w:r>
      <w:r>
        <w:rPr>
          <w:rFonts w:ascii="微软雅黑" w:hAnsi="微软雅黑" w:eastAsia="微软雅黑"/>
          <w:szCs w:val="28"/>
        </w:rPr>
        <w:fldChar w:fldCharType="end"/>
      </w:r>
    </w:p>
    <w:p w14:paraId="7EA65261">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_Toc4899 </w:instrText>
      </w:r>
      <w:r>
        <w:rPr>
          <w:rFonts w:ascii="微软雅黑" w:hAnsi="微软雅黑" w:eastAsia="微软雅黑"/>
          <w:szCs w:val="28"/>
        </w:rPr>
        <w:fldChar w:fldCharType="separate"/>
      </w:r>
      <w:r>
        <w:rPr>
          <w:rFonts w:hint="default"/>
        </w:rPr>
        <w:t xml:space="preserve">(2) </w:t>
      </w:r>
      <w:r>
        <w:rPr>
          <w:rFonts w:hint="eastAsia"/>
        </w:rPr>
        <w:t>数据基础设施互联互通成果正式发布</w:t>
      </w:r>
      <w:r>
        <w:rPr>
          <w:rFonts w:hint="eastAsia"/>
          <w:lang w:eastAsia="zh-CN"/>
        </w:rPr>
        <w:t>，</w:t>
      </w:r>
      <w:r>
        <w:rPr>
          <w:rFonts w:hint="eastAsia"/>
          <w:lang w:val="en-US" w:eastAsia="zh-CN"/>
        </w:rPr>
        <w:t>湖北</w:t>
      </w:r>
      <w:r>
        <w:rPr>
          <w:rFonts w:hint="eastAsia"/>
          <w:lang w:eastAsia="zh-CN"/>
        </w:rPr>
        <w:t>多项项目入选国家名单</w:t>
      </w:r>
      <w:r>
        <w:tab/>
      </w:r>
      <w:r>
        <w:fldChar w:fldCharType="begin"/>
      </w:r>
      <w:r>
        <w:instrText xml:space="preserve"> PAGEREF _Toc4899 \h </w:instrText>
      </w:r>
      <w:r>
        <w:fldChar w:fldCharType="separate"/>
      </w:r>
      <w:r>
        <w:t>4</w:t>
      </w:r>
      <w:r>
        <w:fldChar w:fldCharType="end"/>
      </w:r>
      <w:r>
        <w:rPr>
          <w:rFonts w:ascii="微软雅黑" w:hAnsi="微软雅黑" w:eastAsia="微软雅黑"/>
          <w:szCs w:val="28"/>
        </w:rPr>
        <w:fldChar w:fldCharType="end"/>
      </w:r>
    </w:p>
    <w:p w14:paraId="4A80D604">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_Toc28675 </w:instrText>
      </w:r>
      <w:r>
        <w:rPr>
          <w:rFonts w:ascii="微软雅黑" w:hAnsi="微软雅黑" w:eastAsia="微软雅黑"/>
          <w:szCs w:val="28"/>
        </w:rPr>
        <w:fldChar w:fldCharType="separate"/>
      </w:r>
      <w:r>
        <w:rPr>
          <w:rFonts w:hint="default"/>
        </w:rPr>
        <w:t xml:space="preserve">(3) </w:t>
      </w:r>
      <w:r>
        <w:rPr>
          <w:rFonts w:hint="eastAsia"/>
        </w:rPr>
        <w:t>王忠林主持研究以武汉都市圈为中心推进长江中游城市群联动发展</w:t>
      </w:r>
      <w:r>
        <w:tab/>
      </w:r>
      <w:r>
        <w:fldChar w:fldCharType="begin"/>
      </w:r>
      <w:r>
        <w:instrText xml:space="preserve"> PAGEREF _Toc28675 \h </w:instrText>
      </w:r>
      <w:r>
        <w:fldChar w:fldCharType="separate"/>
      </w:r>
      <w:r>
        <w:t>5</w:t>
      </w:r>
      <w:r>
        <w:fldChar w:fldCharType="end"/>
      </w:r>
      <w:r>
        <w:rPr>
          <w:rFonts w:ascii="微软雅黑" w:hAnsi="微软雅黑" w:eastAsia="微软雅黑"/>
          <w:szCs w:val="28"/>
        </w:rPr>
        <w:fldChar w:fldCharType="end"/>
      </w:r>
    </w:p>
    <w:p w14:paraId="5A5C0659">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_Toc15294 </w:instrText>
      </w:r>
      <w:r>
        <w:rPr>
          <w:rFonts w:ascii="微软雅黑" w:hAnsi="微软雅黑" w:eastAsia="微软雅黑"/>
          <w:szCs w:val="28"/>
        </w:rPr>
        <w:fldChar w:fldCharType="separate"/>
      </w:r>
      <w:r>
        <w:rPr>
          <w:rFonts w:hint="default"/>
        </w:rPr>
        <w:t xml:space="preserve">(4) </w:t>
      </w:r>
      <w:r>
        <w:rPr>
          <w:rFonts w:hint="eastAsia"/>
        </w:rPr>
        <w:t>王忠林主持研究推进全省民营经济高质量发展</w:t>
      </w:r>
      <w:r>
        <w:tab/>
      </w:r>
      <w:r>
        <w:fldChar w:fldCharType="begin"/>
      </w:r>
      <w:r>
        <w:instrText xml:space="preserve"> PAGEREF _Toc15294 \h </w:instrText>
      </w:r>
      <w:r>
        <w:fldChar w:fldCharType="separate"/>
      </w:r>
      <w:r>
        <w:t>5</w:t>
      </w:r>
      <w:r>
        <w:fldChar w:fldCharType="end"/>
      </w:r>
      <w:r>
        <w:rPr>
          <w:rFonts w:ascii="微软雅黑" w:hAnsi="微软雅黑" w:eastAsia="微软雅黑"/>
          <w:szCs w:val="28"/>
        </w:rPr>
        <w:fldChar w:fldCharType="end"/>
      </w:r>
    </w:p>
    <w:p w14:paraId="1C0A0989">
      <w:pPr>
        <w:snapToGrid w:val="0"/>
        <w:spacing w:line="360" w:lineRule="auto"/>
        <w:jc w:val="both"/>
      </w:pPr>
      <w:r>
        <w:rPr>
          <w:rFonts w:ascii="微软雅黑" w:hAnsi="微软雅黑" w:eastAsia="微软雅黑"/>
          <w:szCs w:val="28"/>
        </w:rPr>
        <w:fldChar w:fldCharType="end"/>
      </w:r>
    </w:p>
    <w:p w14:paraId="187ABEAE">
      <w:pPr>
        <w:snapToGrid w:val="0"/>
        <w:spacing w:line="360" w:lineRule="auto"/>
        <w:jc w:val="both"/>
        <w:rPr>
          <w:rFonts w:ascii="方正小标宋简体" w:hAnsi="方正小标宋简体" w:eastAsia="方正小标宋简体" w:cs="方正小标宋简体"/>
          <w:b/>
          <w:kern w:val="44"/>
          <w:sz w:val="32"/>
          <w:szCs w:val="32"/>
        </w:rPr>
      </w:pPr>
      <w:r>
        <w:br w:type="page"/>
      </w:r>
      <w:bookmarkStart w:id="16" w:name="_GoBack"/>
      <w:bookmarkEnd w:id="16"/>
    </w:p>
    <w:p w14:paraId="596FFC90">
      <w:pPr>
        <w:pStyle w:val="32"/>
        <w:jc w:val="both"/>
      </w:pPr>
    </w:p>
    <w:p w14:paraId="393FEC4A">
      <w:pPr>
        <w:pStyle w:val="2"/>
        <w:rPr>
          <w:rFonts w:hint="eastAsia"/>
        </w:rPr>
      </w:pPr>
      <w:bookmarkStart w:id="1" w:name="_Toc6614"/>
      <w:r>
        <w:rPr>
          <w:rFonts w:hint="eastAsia"/>
        </w:rPr>
        <w:t>重点.关注</w:t>
      </w:r>
      <w:bookmarkEnd w:id="1"/>
    </w:p>
    <w:p w14:paraId="00A07D48"/>
    <w:p w14:paraId="097D5D27">
      <w:pPr>
        <w:pStyle w:val="4"/>
        <w:bidi w:val="0"/>
        <w:rPr>
          <w:rFonts w:hint="eastAsia"/>
        </w:rPr>
      </w:pPr>
      <w:bookmarkStart w:id="2" w:name="_Toc1034"/>
      <w:r>
        <w:rPr>
          <w:rFonts w:hint="eastAsia"/>
        </w:rPr>
        <w:t>习近平主持“上海合作组织+”会议并发表重要讲话</w:t>
      </w:r>
      <w:bookmarkEnd w:id="2"/>
    </w:p>
    <w:p w14:paraId="24E74E45">
      <w:pPr>
        <w:rPr>
          <w:rFonts w:hint="eastAsia"/>
        </w:rPr>
      </w:pPr>
    </w:p>
    <w:p w14:paraId="6B46072A">
      <w:pPr>
        <w:rPr>
          <w:rFonts w:hint="eastAsia"/>
        </w:rPr>
      </w:pPr>
      <w:r>
        <w:rPr>
          <w:rFonts w:hint="eastAsia"/>
        </w:rPr>
        <w:t>9月1日下午，“上海合作组织+”会议在天津举行，习近平主席主持会议并发表重要讲话</w:t>
      </w:r>
      <w:r>
        <w:rPr>
          <w:rFonts w:hint="eastAsia"/>
          <w:lang w:eastAsia="zh-CN"/>
        </w:rPr>
        <w:t>，</w:t>
      </w:r>
      <w:r>
        <w:rPr>
          <w:rFonts w:hint="eastAsia"/>
        </w:rPr>
        <w:t>会议上宣布成立中国—上海合作组织能源、绿色产业、数字经济三大合作平台。9月2日，国家发展改革委、国家能源局、国家数据局分别举办三大合作平台揭牌仪式。中国—上海合作组织能源、绿色产业、数字经济合作平台将进一步凝聚合作共识，拓展合作空间，深化多层次多维度对话交流，推动务实合作，提升区域能源治理能力，共同推进绿色、高质量、可持续发展，携手上合组织国家强化数智赋能、实现产业升级，为推动全球开放合作贡献积极力量。 此外，上海合作组织天津峰会还发表了上海合作组织成员国元首理事会关于能源可持续发展、绿色产业合作、加强数字经济发展、进一步深化人工智能国际合作的四份声明。</w:t>
      </w:r>
    </w:p>
    <w:p w14:paraId="6542ECBB">
      <w:pPr>
        <w:rPr>
          <w:rFonts w:hint="eastAsia"/>
        </w:rPr>
      </w:pPr>
    </w:p>
    <w:p w14:paraId="2C363C14">
      <w:pPr>
        <w:rPr>
          <w:rFonts w:hint="eastAsia"/>
        </w:rPr>
      </w:pPr>
      <w:r>
        <w:rPr>
          <w:rFonts w:hint="eastAsia"/>
        </w:rPr>
        <w:t>发文日期：2025年9月1日</w:t>
      </w:r>
    </w:p>
    <w:p w14:paraId="22251972">
      <w:pPr>
        <w:rPr>
          <w:rFonts w:hint="eastAsia" w:eastAsia="宋体"/>
          <w:lang w:val="en-US" w:eastAsia="zh-CN"/>
        </w:rPr>
      </w:pPr>
      <w:r>
        <w:rPr>
          <w:rFonts w:hint="eastAsia"/>
        </w:rPr>
        <w:t>发文单位：</w:t>
      </w:r>
      <w:r>
        <w:rPr>
          <w:rFonts w:hint="eastAsia"/>
          <w:lang w:val="en-US" w:eastAsia="zh-CN"/>
        </w:rPr>
        <w:t>人民日报</w:t>
      </w:r>
    </w:p>
    <w:p w14:paraId="1EFC02A0">
      <w:pPr>
        <w:rPr>
          <w:rFonts w:hint="eastAsia"/>
        </w:rPr>
      </w:pPr>
      <w:r>
        <w:rPr>
          <w:rFonts w:hint="eastAsia"/>
        </w:rPr>
        <w:t>原文链接：https://mp.weixin.qq.com/s/v9k9J_85hNKIP3koX5vmqw</w:t>
      </w:r>
    </w:p>
    <w:p w14:paraId="193E0DE6">
      <w:pPr>
        <w:rPr>
          <w:rFonts w:hint="eastAsia"/>
        </w:rPr>
      </w:pPr>
    </w:p>
    <w:p w14:paraId="44FD0766"/>
    <w:p w14:paraId="49D1BEB6">
      <w:pPr>
        <w:pStyle w:val="2"/>
      </w:pPr>
      <w:bookmarkStart w:id="3" w:name="_Toc29314"/>
      <w:r>
        <w:rPr>
          <w:rFonts w:hint="eastAsia"/>
        </w:rPr>
        <w:t>政策.速递</w:t>
      </w:r>
      <w:bookmarkEnd w:id="3"/>
    </w:p>
    <w:p w14:paraId="43840AF2">
      <w:pPr>
        <w:pStyle w:val="3"/>
      </w:pPr>
      <w:bookmarkStart w:id="4" w:name="_Toc14605"/>
      <w:r>
        <w:rPr>
          <w:rFonts w:hint="eastAsia"/>
        </w:rPr>
        <w:t>中央</w:t>
      </w:r>
      <w:bookmarkEnd w:id="4"/>
      <w:r>
        <w:rPr>
          <w:rFonts w:hint="eastAsia"/>
        </w:rPr>
        <w:t xml:space="preserve"> </w:t>
      </w:r>
    </w:p>
    <w:p w14:paraId="28CEEA8D"/>
    <w:p w14:paraId="35C8ED9F">
      <w:pPr>
        <w:pStyle w:val="4"/>
        <w:numPr>
          <w:ilvl w:val="0"/>
          <w:numId w:val="2"/>
        </w:numPr>
        <w:bidi w:val="0"/>
        <w:rPr>
          <w:rFonts w:hint="eastAsia"/>
        </w:rPr>
      </w:pPr>
      <w:bookmarkStart w:id="5" w:name="_Toc9221"/>
      <w:r>
        <w:rPr>
          <w:rFonts w:hint="eastAsia"/>
        </w:rPr>
        <w:t>《关于推进“宽带林草”建设的通知》</w:t>
      </w:r>
      <w:bookmarkEnd w:id="5"/>
    </w:p>
    <w:p w14:paraId="3A3145BD">
      <w:pPr>
        <w:rPr>
          <w:rFonts w:hint="eastAsia"/>
        </w:rPr>
      </w:pPr>
    </w:p>
    <w:p w14:paraId="55FF8C41">
      <w:pPr>
        <w:rPr>
          <w:rFonts w:hint="eastAsia"/>
        </w:rPr>
      </w:pPr>
      <w:r>
        <w:rPr>
          <w:rFonts w:hint="eastAsia"/>
        </w:rPr>
        <w:t>近日，工业和信息化部、国家林业和草原局联合印发《关于推进“宽带林草”建设的通知》并进行解读。《通知》出台是因工业和信息化部虽推进林区和草原通信基础设施建设取得成效，但部分地方仍面临建设难题。其发布有利于加强部门协同、解决建设难点、发挥通信网络支撑作用。总体要求是以习近平新时代中国特色社会主义思想为指导，到2027年底实现多项网络覆盖目标。《通知》聚焦4方面部署9项任务，包括深化重要点位网络覆盖、加强重点区域网络建设等。为保障实施，提出建立协调机制、分类组织实施等5方面保障措施。</w:t>
      </w:r>
    </w:p>
    <w:p w14:paraId="34C4E20E">
      <w:pPr>
        <w:rPr>
          <w:rFonts w:hint="eastAsia"/>
        </w:rPr>
      </w:pPr>
    </w:p>
    <w:p w14:paraId="1498ABFE">
      <w:pPr>
        <w:rPr>
          <w:rFonts w:hint="eastAsia"/>
        </w:rPr>
      </w:pPr>
      <w:r>
        <w:rPr>
          <w:rFonts w:hint="eastAsia"/>
        </w:rPr>
        <w:t>发文日期：2025年9月2日</w:t>
      </w:r>
    </w:p>
    <w:p w14:paraId="500A6653">
      <w:pPr>
        <w:rPr>
          <w:rFonts w:hint="eastAsia"/>
        </w:rPr>
      </w:pPr>
      <w:r>
        <w:rPr>
          <w:rFonts w:hint="eastAsia"/>
        </w:rPr>
        <w:t>发文单位：工业和信息化部、国家林业和草原局</w:t>
      </w:r>
    </w:p>
    <w:p w14:paraId="350E5305">
      <w:pPr>
        <w:rPr>
          <w:rFonts w:hint="eastAsia"/>
        </w:rPr>
      </w:pPr>
      <w:r>
        <w:rPr>
          <w:rFonts w:hint="eastAsia"/>
        </w:rPr>
        <w:t>原文链接：https://mp.weixin.qq.com/s/Nz3CjT_aLs-iie5rbr3GOg</w:t>
      </w:r>
    </w:p>
    <w:p w14:paraId="430B3D19">
      <w:pPr>
        <w:rPr>
          <w:rFonts w:hint="eastAsia"/>
        </w:rPr>
      </w:pPr>
    </w:p>
    <w:p w14:paraId="6E1C03B4">
      <w:pPr>
        <w:pStyle w:val="4"/>
        <w:bidi w:val="0"/>
        <w:rPr>
          <w:rFonts w:hint="eastAsia"/>
          <w:lang w:val="en-US" w:eastAsia="zh-CN"/>
        </w:rPr>
      </w:pPr>
      <w:bookmarkStart w:id="6" w:name="_Toc2563"/>
      <w:r>
        <w:rPr>
          <w:rFonts w:hint="eastAsia"/>
          <w:lang w:val="en-US" w:eastAsia="zh-CN"/>
        </w:rPr>
        <w:t>《关于释放体育消费潜力进一步推进体育产业高质量发展的意见》</w:t>
      </w:r>
      <w:bookmarkEnd w:id="6"/>
    </w:p>
    <w:p w14:paraId="171A9E63">
      <w:pPr>
        <w:rPr>
          <w:rFonts w:hint="eastAsia"/>
          <w:lang w:val="en-US" w:eastAsia="zh-CN"/>
        </w:rPr>
      </w:pPr>
    </w:p>
    <w:p w14:paraId="7DABF244">
      <w:pPr>
        <w:rPr>
          <w:rFonts w:hint="eastAsia"/>
          <w:lang w:val="en-US" w:eastAsia="zh-CN"/>
        </w:rPr>
      </w:pPr>
      <w:r>
        <w:rPr>
          <w:rFonts w:hint="eastAsia"/>
          <w:lang w:val="en-US" w:eastAsia="zh-CN"/>
        </w:rPr>
        <w:t>近日，国务院办公厅印发《关于释放体育消费潜力进一步推进体育产业高质量发展的意见》，为体育产业未来发展锚定新方向、注入新动力。《意见》完整准确全面贯彻新发展理念，加快构建现代体育产业体系，不断提振体育消费，增强体育产业整体实力和竞争力。提出到2030年，培育一批具有世界影响力的体育企业和赛事，推动体育产业总规模超7万亿元，在构建新发展格局中发挥重要作用。为实现这一目标，《意见》提出6项20条重点举措，全方位推动体育产业升级。</w:t>
      </w:r>
    </w:p>
    <w:p w14:paraId="5D514DCA">
      <w:pPr>
        <w:rPr>
          <w:rFonts w:hint="eastAsia"/>
          <w:lang w:val="en-US" w:eastAsia="zh-CN"/>
        </w:rPr>
      </w:pPr>
    </w:p>
    <w:p w14:paraId="182F00A2">
      <w:pPr>
        <w:rPr>
          <w:rFonts w:hint="eastAsia"/>
          <w:lang w:val="en-US" w:eastAsia="zh-CN"/>
        </w:rPr>
      </w:pPr>
      <w:r>
        <w:rPr>
          <w:rFonts w:hint="eastAsia"/>
          <w:lang w:val="en-US" w:eastAsia="zh-CN"/>
        </w:rPr>
        <w:t>发文日期：2025年9月4日</w:t>
      </w:r>
    </w:p>
    <w:p w14:paraId="77C80CA8">
      <w:pPr>
        <w:rPr>
          <w:rFonts w:hint="eastAsia"/>
          <w:lang w:val="en-US" w:eastAsia="zh-CN"/>
        </w:rPr>
      </w:pPr>
      <w:r>
        <w:rPr>
          <w:rFonts w:hint="eastAsia"/>
          <w:lang w:val="en-US" w:eastAsia="zh-CN"/>
        </w:rPr>
        <w:t>发文单位：国务院</w:t>
      </w:r>
    </w:p>
    <w:p w14:paraId="546E7204">
      <w:pPr>
        <w:rPr>
          <w:rFonts w:hint="eastAsia"/>
          <w:lang w:val="en-US" w:eastAsia="zh-CN"/>
        </w:rPr>
      </w:pPr>
      <w:r>
        <w:rPr>
          <w:rFonts w:hint="eastAsia"/>
          <w:lang w:val="en-US" w:eastAsia="zh-CN"/>
        </w:rPr>
        <w:t>原文链接：https://mp.weixin.qq.com/s/Yeb5GraHaiWVSCOXnhOtAw</w:t>
      </w:r>
    </w:p>
    <w:p w14:paraId="6ED8360A">
      <w:pPr>
        <w:rPr>
          <w:rFonts w:hint="eastAsia"/>
        </w:rPr>
      </w:pPr>
    </w:p>
    <w:p w14:paraId="7F27F86D">
      <w:pPr>
        <w:pStyle w:val="3"/>
      </w:pPr>
      <w:bookmarkStart w:id="7" w:name="_Toc31560"/>
      <w:r>
        <w:rPr>
          <w:rFonts w:hint="eastAsia"/>
        </w:rPr>
        <w:t>湖北省</w:t>
      </w:r>
      <w:bookmarkEnd w:id="7"/>
    </w:p>
    <w:p w14:paraId="4DB36E46">
      <w:pPr>
        <w:rPr>
          <w:rFonts w:hint="eastAsia"/>
        </w:rPr>
      </w:pPr>
    </w:p>
    <w:p w14:paraId="10B9B095">
      <w:pPr>
        <w:pStyle w:val="4"/>
        <w:numPr>
          <w:ilvl w:val="0"/>
          <w:numId w:val="3"/>
        </w:numPr>
        <w:bidi w:val="0"/>
        <w:rPr>
          <w:rFonts w:hint="eastAsia"/>
        </w:rPr>
      </w:pPr>
      <w:bookmarkStart w:id="8" w:name="_Toc13800"/>
      <w:r>
        <w:rPr>
          <w:rFonts w:hint="eastAsia"/>
        </w:rPr>
        <w:t>《关于推动以企业为主体产学研协同创新的实施意见》</w:t>
      </w:r>
      <w:bookmarkEnd w:id="8"/>
    </w:p>
    <w:p w14:paraId="0B0443CC">
      <w:pPr>
        <w:rPr>
          <w:rFonts w:hint="eastAsia"/>
        </w:rPr>
      </w:pPr>
    </w:p>
    <w:p w14:paraId="78F15E4F">
      <w:pPr>
        <w:rPr>
          <w:rFonts w:hint="eastAsia"/>
        </w:rPr>
      </w:pPr>
      <w:r>
        <w:rPr>
          <w:rFonts w:hint="eastAsia"/>
        </w:rPr>
        <w:t>近日，为解决产学研协同不足问题，推动以企业为主体的产学研协同创新，省委科技委出台《关于推动以企业为主体产学研协同创新的实施意见》。《实施意见》坚持“三导向”，从8个方面提出26条措施。包括重塑协同创新平台体系、建强用好产学研协同创新联盟、探索产业生态合作机制、推进科技创新资源共享、完善创新导航、强化协同创新金融支撑、推动协同创新人才共用、推进科技管理体制改革。《实施意见》提出，力争到2027年，初步形成以企业为主体的产学研协同创新体系，在培训技术经理人、实施重点技术攻关项目、促成重大科技成果转化、提升科技型中小企业贷款余额增速等方面取得目标成果。</w:t>
      </w:r>
    </w:p>
    <w:p w14:paraId="5DD54F7E">
      <w:pPr>
        <w:rPr>
          <w:rFonts w:hint="eastAsia"/>
        </w:rPr>
      </w:pPr>
    </w:p>
    <w:p w14:paraId="2E6AD354">
      <w:pPr>
        <w:rPr>
          <w:rFonts w:hint="eastAsia"/>
        </w:rPr>
      </w:pPr>
      <w:r>
        <w:rPr>
          <w:rFonts w:hint="eastAsia"/>
        </w:rPr>
        <w:t>发文日期：2025年9月1日</w:t>
      </w:r>
    </w:p>
    <w:p w14:paraId="796AB998">
      <w:pPr>
        <w:rPr>
          <w:rFonts w:hint="eastAsia"/>
        </w:rPr>
      </w:pPr>
      <w:r>
        <w:rPr>
          <w:rFonts w:hint="eastAsia"/>
        </w:rPr>
        <w:t>发文单位：</w:t>
      </w:r>
      <w:r>
        <w:rPr>
          <w:rFonts w:hint="eastAsia"/>
          <w:lang w:val="en-US" w:eastAsia="zh-CN"/>
        </w:rPr>
        <w:t>湖北</w:t>
      </w:r>
      <w:r>
        <w:rPr>
          <w:rFonts w:hint="eastAsia"/>
        </w:rPr>
        <w:t>省委科技委</w:t>
      </w:r>
    </w:p>
    <w:p w14:paraId="7EC4B5BC">
      <w:pPr>
        <w:rPr>
          <w:rFonts w:hint="eastAsia"/>
        </w:rPr>
      </w:pPr>
      <w:r>
        <w:rPr>
          <w:rFonts w:hint="eastAsia"/>
        </w:rPr>
        <w:t>原文链接：https://mp.weixin.qq.com/s/uiJhqFWMj5r7nKt8Os0CLw</w:t>
      </w:r>
    </w:p>
    <w:p w14:paraId="1515C773">
      <w:pPr>
        <w:rPr>
          <w:rFonts w:hint="eastAsia"/>
        </w:rPr>
      </w:pPr>
    </w:p>
    <w:p w14:paraId="3761E0F0">
      <w:pPr>
        <w:pStyle w:val="4"/>
        <w:numPr>
          <w:ilvl w:val="0"/>
          <w:numId w:val="3"/>
        </w:numPr>
        <w:bidi w:val="0"/>
        <w:rPr>
          <w:rFonts w:hint="eastAsia"/>
        </w:rPr>
      </w:pPr>
      <w:bookmarkStart w:id="9" w:name="_Toc12844"/>
      <w:r>
        <w:rPr>
          <w:rFonts w:hint="eastAsia"/>
        </w:rPr>
        <w:t>《湖北省优势商标名录管理办法》</w:t>
      </w:r>
      <w:bookmarkEnd w:id="9"/>
    </w:p>
    <w:p w14:paraId="7158D0EA">
      <w:pPr>
        <w:rPr>
          <w:rFonts w:hint="eastAsia"/>
        </w:rPr>
      </w:pPr>
    </w:p>
    <w:p w14:paraId="469F89C1">
      <w:pPr>
        <w:rPr>
          <w:rFonts w:hint="eastAsia"/>
        </w:rPr>
      </w:pPr>
      <w:r>
        <w:rPr>
          <w:rFonts w:hint="eastAsia"/>
        </w:rPr>
        <w:t>为贯彻落实《湖北省知识产权促进和保护工作条例》，建立健全本省优势商标名录制度，省知识产权局制定《湖北省优势商标名录管理办法》。《办法》明确，优势商标指在湖北省有较高知晓度、较大市场影响力、易被假冒侵权的注册商标，实行名录管理，省知识产权局负责制定和管理，各级知识产权管理部门协助。符合条件的注册商标可通过主动、申请、推荐三种方式纳入名录，也规定了应移出名录的情形。省知识产权局对名录实行动态管理，及时告知相关权利人并公告，抄送行政管理部门。各级知识产权管理部门要对优势商标协同保护和指导服务，健全培育机制。本办法自印发之日起施行，由省知识产权局负责解释。</w:t>
      </w:r>
    </w:p>
    <w:p w14:paraId="0EFDBA61">
      <w:pPr>
        <w:rPr>
          <w:rFonts w:hint="eastAsia"/>
        </w:rPr>
      </w:pPr>
    </w:p>
    <w:p w14:paraId="09AAD56F">
      <w:pPr>
        <w:rPr>
          <w:rFonts w:hint="eastAsia"/>
        </w:rPr>
      </w:pPr>
      <w:r>
        <w:rPr>
          <w:rFonts w:hint="eastAsia"/>
        </w:rPr>
        <w:t>发文日期：2025年</w:t>
      </w:r>
      <w:r>
        <w:rPr>
          <w:rFonts w:hint="eastAsia"/>
          <w:lang w:val="en-US" w:eastAsia="zh-CN"/>
        </w:rPr>
        <w:t>9</w:t>
      </w:r>
      <w:r>
        <w:rPr>
          <w:rFonts w:hint="eastAsia"/>
        </w:rPr>
        <w:t>月</w:t>
      </w:r>
      <w:r>
        <w:rPr>
          <w:rFonts w:hint="eastAsia"/>
          <w:lang w:val="en-US" w:eastAsia="zh-CN"/>
        </w:rPr>
        <w:t>1</w:t>
      </w:r>
      <w:r>
        <w:rPr>
          <w:rFonts w:hint="eastAsia"/>
        </w:rPr>
        <w:t>日</w:t>
      </w:r>
    </w:p>
    <w:p w14:paraId="7AC97F69">
      <w:pPr>
        <w:rPr>
          <w:rFonts w:hint="eastAsia"/>
        </w:rPr>
      </w:pPr>
      <w:r>
        <w:rPr>
          <w:rFonts w:hint="eastAsia"/>
        </w:rPr>
        <w:t>发文单位：湖北省知识产权局</w:t>
      </w:r>
    </w:p>
    <w:p w14:paraId="13988F94">
      <w:pPr>
        <w:rPr>
          <w:rFonts w:hint="eastAsia"/>
        </w:rPr>
      </w:pPr>
      <w:r>
        <w:rPr>
          <w:rFonts w:hint="eastAsia"/>
        </w:rPr>
        <w:t>原文链接：https://mp.weixin.qq.com/s/_LtEsGqYrW0o3LnnOrRL8Q</w:t>
      </w:r>
    </w:p>
    <w:p w14:paraId="0E38451B">
      <w:pPr>
        <w:rPr>
          <w:rFonts w:hint="eastAsia"/>
        </w:rPr>
      </w:pPr>
    </w:p>
    <w:p w14:paraId="6D1967E3">
      <w:pPr>
        <w:pStyle w:val="4"/>
        <w:numPr>
          <w:ilvl w:val="0"/>
          <w:numId w:val="3"/>
        </w:numPr>
        <w:bidi w:val="0"/>
        <w:rPr>
          <w:rFonts w:hint="eastAsia"/>
        </w:rPr>
      </w:pPr>
      <w:bookmarkStart w:id="10" w:name="_Toc29351"/>
      <w:r>
        <w:rPr>
          <w:rFonts w:hint="eastAsia"/>
        </w:rPr>
        <w:t>《高水平推进武汉科技金融中心建设工作方案》</w:t>
      </w:r>
      <w:bookmarkEnd w:id="10"/>
    </w:p>
    <w:p w14:paraId="6677A1EC">
      <w:pPr>
        <w:rPr>
          <w:rFonts w:hint="eastAsia"/>
        </w:rPr>
      </w:pPr>
    </w:p>
    <w:p w14:paraId="40EE28AB">
      <w:pPr>
        <w:rPr>
          <w:rFonts w:hint="eastAsia"/>
        </w:rPr>
      </w:pPr>
      <w:r>
        <w:rPr>
          <w:rFonts w:hint="eastAsia"/>
          <w:lang w:val="en-US" w:eastAsia="zh-CN"/>
        </w:rPr>
        <w:t>近日</w:t>
      </w:r>
      <w:r>
        <w:rPr>
          <w:rFonts w:hint="eastAsia"/>
        </w:rPr>
        <w:t>，湖北省政府新闻办召开新闻发布会</w:t>
      </w:r>
      <w:r>
        <w:rPr>
          <w:rFonts w:hint="eastAsia"/>
          <w:lang w:val="en-US" w:eastAsia="zh-CN"/>
        </w:rPr>
        <w:t>发布</w:t>
      </w:r>
      <w:r>
        <w:rPr>
          <w:rFonts w:hint="eastAsia"/>
        </w:rPr>
        <w:t>《高水平推进武汉科技金融中心建设工作方案》。《工作方案》聚焦5个方面，推出25条具体措施，包括打造两大综合服务平台、建设东湖科技保险创新示范区、优化金融产品、推广线上信用快贷模式等，为科创企业提供全流程金融服务。武汉将实施五大行动，推进“依托武汉、立足湖北、辐射中部、面向全国、链接海外”的科技金融中心建设。上半年，武汉新增15只创投基金，私募股权基金投资项目同比大增。省级层面将优化科技企业信用评价体系，推动设立各类基金。相关负责人表示，将招引金融机构和中介服务机构，形成金融支持链条，打造科技金融服务体系。</w:t>
      </w:r>
    </w:p>
    <w:p w14:paraId="227777F3">
      <w:pPr>
        <w:rPr>
          <w:rFonts w:hint="eastAsia"/>
        </w:rPr>
      </w:pPr>
    </w:p>
    <w:p w14:paraId="295654A3">
      <w:pPr>
        <w:rPr>
          <w:rFonts w:hint="eastAsia"/>
        </w:rPr>
      </w:pPr>
      <w:r>
        <w:rPr>
          <w:rFonts w:hint="eastAsia"/>
        </w:rPr>
        <w:t>发文日期：2025年9月2日</w:t>
      </w:r>
    </w:p>
    <w:p w14:paraId="6F51278B">
      <w:pPr>
        <w:rPr>
          <w:rFonts w:hint="eastAsia"/>
        </w:rPr>
      </w:pPr>
      <w:r>
        <w:rPr>
          <w:rFonts w:hint="eastAsia"/>
        </w:rPr>
        <w:t>发文单位：</w:t>
      </w:r>
      <w:r>
        <w:rPr>
          <w:rFonts w:hint="eastAsia"/>
          <w:lang w:val="en-US" w:eastAsia="zh-CN"/>
        </w:rPr>
        <w:t>湖北</w:t>
      </w:r>
      <w:r>
        <w:rPr>
          <w:rFonts w:hint="eastAsia"/>
        </w:rPr>
        <w:t>省委金融办、省科技厅、人行湖北省分行、湖北金融监管局、湖北证监局、省发改委、省财政厅、省政府国资委</w:t>
      </w:r>
    </w:p>
    <w:p w14:paraId="2A982114">
      <w:pPr>
        <w:rPr>
          <w:rFonts w:hint="eastAsia"/>
        </w:rPr>
      </w:pPr>
      <w:r>
        <w:rPr>
          <w:rFonts w:hint="eastAsia"/>
        </w:rPr>
        <w:t>原文链接：https://mp.weixin.qq.com/s/64KuBndsa_19iyZb-pHtfQ</w:t>
      </w:r>
    </w:p>
    <w:p w14:paraId="138F2A6B">
      <w:pPr>
        <w:rPr>
          <w:rFonts w:hint="eastAsia"/>
        </w:rPr>
      </w:pPr>
    </w:p>
    <w:p w14:paraId="04C4D324">
      <w:pPr>
        <w:pStyle w:val="2"/>
        <w:rPr>
          <w:rFonts w:hint="eastAsia"/>
        </w:rPr>
      </w:pPr>
      <w:bookmarkStart w:id="11" w:name="_Toc9294"/>
      <w:r>
        <w:rPr>
          <w:rFonts w:hint="eastAsia"/>
        </w:rPr>
        <w:t>热点.资讯</w:t>
      </w:r>
      <w:bookmarkEnd w:id="11"/>
    </w:p>
    <w:p w14:paraId="6CBDA824">
      <w:pPr>
        <w:pStyle w:val="4"/>
        <w:numPr>
          <w:ilvl w:val="0"/>
          <w:numId w:val="4"/>
        </w:numPr>
        <w:bidi w:val="0"/>
        <w:rPr>
          <w:rFonts w:hint="eastAsia"/>
        </w:rPr>
      </w:pPr>
      <w:bookmarkStart w:id="12" w:name="_Toc15681"/>
      <w:r>
        <w:rPr>
          <w:rFonts w:hint="eastAsia"/>
        </w:rPr>
        <w:t>第一批高质量数据集方向</w:t>
      </w:r>
      <w:r>
        <w:rPr>
          <w:rFonts w:hint="eastAsia"/>
          <w:lang w:eastAsia="zh-CN"/>
        </w:rPr>
        <w:t>、可信数据空间</w:t>
      </w:r>
      <w:r>
        <w:rPr>
          <w:rFonts w:hint="eastAsia"/>
        </w:rPr>
        <w:t>标准/技术文件验证试点典型单位及相关技术文件发布</w:t>
      </w:r>
      <w:bookmarkEnd w:id="12"/>
    </w:p>
    <w:p w14:paraId="0F32B33A">
      <w:pPr>
        <w:rPr>
          <w:rFonts w:hint="eastAsia"/>
        </w:rPr>
      </w:pPr>
    </w:p>
    <w:p w14:paraId="2429C528">
      <w:pPr>
        <w:rPr>
          <w:rFonts w:hint="eastAsia"/>
        </w:rPr>
      </w:pPr>
      <w:r>
        <w:rPr>
          <w:rFonts w:hint="eastAsia"/>
        </w:rPr>
        <w:t>8月29日上午，在2025年中国国际大数据产业博览会“数据标准化”主题交流活动上，第一批高质量数据集方向标准/技术文件验证试点典型单位及4项技术文件正式发布。经形式审查等过程，遴选出140家典型单位，覆盖多个重点行业和领域。</w:t>
      </w:r>
      <w:r>
        <w:rPr>
          <w:rFonts w:hint="eastAsia"/>
          <w:lang w:val="en-US" w:eastAsia="zh-CN"/>
        </w:rPr>
        <w:t>同时，</w:t>
      </w:r>
      <w:r>
        <w:rPr>
          <w:rFonts w:hint="eastAsia"/>
        </w:rPr>
        <w:t>第一批可信数据空间方向标准/技术文件验证试点典型单位及3项技术文件正式发布。经多环节遴选，48家典型单位脱颖而出，覆盖多个重点行业和领域。下一步，国家数据局将继续推动系列标准研制，拓宽试点领域，深化行业应用，为构建全国统一数据要素市场提供技术支撑。</w:t>
      </w:r>
    </w:p>
    <w:p w14:paraId="2BF2F018">
      <w:pPr>
        <w:rPr>
          <w:rFonts w:hint="eastAsia"/>
        </w:rPr>
      </w:pPr>
    </w:p>
    <w:p w14:paraId="7BA5F8C7">
      <w:pPr>
        <w:rPr>
          <w:rFonts w:hint="eastAsia"/>
        </w:rPr>
      </w:pPr>
      <w:r>
        <w:rPr>
          <w:rFonts w:hint="eastAsia"/>
        </w:rPr>
        <w:t>发文日期：2025年8月31日</w:t>
      </w:r>
    </w:p>
    <w:p w14:paraId="5DAFFFB7">
      <w:pPr>
        <w:rPr>
          <w:rFonts w:hint="eastAsia"/>
        </w:rPr>
      </w:pPr>
      <w:r>
        <w:rPr>
          <w:rFonts w:hint="eastAsia"/>
        </w:rPr>
        <w:t>发文单位：国家数据局</w:t>
      </w:r>
    </w:p>
    <w:p w14:paraId="690BA85F">
      <w:pPr>
        <w:rPr>
          <w:rFonts w:hint="eastAsia"/>
        </w:rPr>
      </w:pPr>
      <w:r>
        <w:rPr>
          <w:rFonts w:hint="eastAsia"/>
        </w:rPr>
        <w:t>原文链接：https://mp.weixin.qq.com/s/ZfLtuyCapfbzmDnill3CgQ</w:t>
      </w:r>
    </w:p>
    <w:p w14:paraId="1F8A7C46">
      <w:pPr>
        <w:rPr>
          <w:rFonts w:hint="eastAsia"/>
        </w:rPr>
      </w:pPr>
    </w:p>
    <w:p w14:paraId="379AC7CB">
      <w:pPr>
        <w:pStyle w:val="4"/>
        <w:numPr>
          <w:ilvl w:val="0"/>
          <w:numId w:val="4"/>
        </w:numPr>
        <w:bidi w:val="0"/>
        <w:rPr>
          <w:rFonts w:hint="eastAsia"/>
        </w:rPr>
      </w:pPr>
      <w:bookmarkStart w:id="13" w:name="_Toc4899"/>
      <w:r>
        <w:rPr>
          <w:rFonts w:hint="eastAsia"/>
        </w:rPr>
        <w:t>数据基础设施互联互通成果正式发布</w:t>
      </w:r>
      <w:r>
        <w:rPr>
          <w:rFonts w:hint="eastAsia"/>
          <w:lang w:eastAsia="zh-CN"/>
        </w:rPr>
        <w:t>，</w:t>
      </w:r>
      <w:r>
        <w:rPr>
          <w:rFonts w:hint="eastAsia"/>
          <w:lang w:val="en-US" w:eastAsia="zh-CN"/>
        </w:rPr>
        <w:t>湖北</w:t>
      </w:r>
      <w:r>
        <w:rPr>
          <w:rFonts w:hint="eastAsia"/>
          <w:lang w:eastAsia="zh-CN"/>
        </w:rPr>
        <w:t>多项项目入选国家名单</w:t>
      </w:r>
      <w:bookmarkEnd w:id="13"/>
    </w:p>
    <w:p w14:paraId="3E9E5BAB">
      <w:pPr>
        <w:rPr>
          <w:rFonts w:hint="eastAsia"/>
        </w:rPr>
      </w:pPr>
    </w:p>
    <w:p w14:paraId="34D12893">
      <w:pPr>
        <w:rPr>
          <w:rFonts w:hint="eastAsia"/>
        </w:rPr>
      </w:pPr>
      <w:r>
        <w:rPr>
          <w:rFonts w:hint="eastAsia"/>
        </w:rPr>
        <w:t>8月28日，国家数据局在2025中国国际大数据产业博览会“数据基础设施交流活动”上发布国家数据基础设施互联互通工作成果。湖北省共有1个省级数据基础设施节点、3个城市数据基础设施节点完成互联互通验证，4个项目入选先行先试试点，5个项目获评典型案例。 本次公布的完成数据基础设施互联互通验证的节点中，有6个省级节点，湖北占其中之一，28个城市级节点，湖北武汉、宜昌、襄阳均在其中，是此次完成互联互通验证节点最多的省份。在34个地方数据基础设施先行先试名单中，武汉市“汉数通”数据基础设施建设、宜昌市数据基础设施建设成功入选。</w:t>
      </w:r>
    </w:p>
    <w:p w14:paraId="60645D5D">
      <w:pPr>
        <w:rPr>
          <w:rFonts w:hint="eastAsia"/>
        </w:rPr>
      </w:pPr>
    </w:p>
    <w:p w14:paraId="0B79A0D3">
      <w:pPr>
        <w:rPr>
          <w:rFonts w:hint="eastAsia"/>
        </w:rPr>
      </w:pPr>
      <w:r>
        <w:rPr>
          <w:rFonts w:hint="eastAsia"/>
        </w:rPr>
        <w:t>发文日期：2025年8月30日</w:t>
      </w:r>
    </w:p>
    <w:p w14:paraId="70477A78">
      <w:pPr>
        <w:rPr>
          <w:rFonts w:hint="eastAsia" w:eastAsia="宋体"/>
          <w:lang w:eastAsia="zh-CN"/>
        </w:rPr>
      </w:pPr>
      <w:r>
        <w:rPr>
          <w:rFonts w:hint="eastAsia"/>
        </w:rPr>
        <w:t>发文单位：湖北省数据局</w:t>
      </w:r>
    </w:p>
    <w:p w14:paraId="3BA95E24">
      <w:pPr>
        <w:rPr>
          <w:rFonts w:hint="eastAsia"/>
        </w:rPr>
      </w:pPr>
      <w:r>
        <w:rPr>
          <w:rFonts w:hint="eastAsia"/>
        </w:rPr>
        <w:t>原文链接：https://mp.weixin.qq.com/s/RgdZ9wHSKSN3X2EYMhsu2A</w:t>
      </w:r>
    </w:p>
    <w:p w14:paraId="71405F28"/>
    <w:p w14:paraId="2F6EF0D5"/>
    <w:p w14:paraId="184BEBBB">
      <w:pPr>
        <w:pStyle w:val="4"/>
        <w:numPr>
          <w:ilvl w:val="0"/>
          <w:numId w:val="4"/>
        </w:numPr>
        <w:bidi w:val="0"/>
        <w:rPr>
          <w:rFonts w:hint="eastAsia"/>
          <w:lang w:eastAsia="zh-CN"/>
        </w:rPr>
      </w:pPr>
      <w:bookmarkStart w:id="14" w:name="_Toc28675"/>
      <w:r>
        <w:rPr>
          <w:rFonts w:hint="eastAsia"/>
        </w:rPr>
        <w:t>王忠林主持研究以武汉都市圈为中心推进长江中游城市群联动发展</w:t>
      </w:r>
      <w:bookmarkEnd w:id="14"/>
      <w:r>
        <w:rPr>
          <w:rFonts w:hint="eastAsia"/>
        </w:rPr>
        <w:t xml:space="preserve"> </w:t>
      </w:r>
      <w:r>
        <w:rPr>
          <w:rFonts w:hint="eastAsia"/>
          <w:lang w:val="en-US" w:eastAsia="zh-CN"/>
        </w:rPr>
        <w:t xml:space="preserve"> </w:t>
      </w:r>
    </w:p>
    <w:p w14:paraId="0CBEF672">
      <w:pPr>
        <w:rPr>
          <w:rFonts w:hint="eastAsia" w:eastAsia="宋体"/>
          <w:lang w:eastAsia="zh-CN"/>
        </w:rPr>
      </w:pPr>
      <w:r>
        <w:rPr>
          <w:rFonts w:hint="eastAsia"/>
          <w:lang w:val="en-US" w:eastAsia="zh-CN"/>
        </w:rPr>
        <w:t xml:space="preserve"> </w:t>
      </w:r>
    </w:p>
    <w:p w14:paraId="709B6219">
      <w:pPr>
        <w:rPr>
          <w:rFonts w:hint="eastAsia"/>
        </w:rPr>
      </w:pPr>
      <w:r>
        <w:rPr>
          <w:rFonts w:hint="eastAsia"/>
        </w:rPr>
        <w:t>9月2日下午，湖北省委书记、省人大常委会主任王忠林主持会议，研究以武汉都市圈为中心推进长江中游城市群联动发展工作。他强调要贯彻落实习近平总书记考察湖北重要讲话精神，加快推进相关工作，打造全国高质量发展重要增长极。王忠林指出，总书记的要求饱含对湖北等地的重大期许，推进长江中游城市群建设是湖北重大政治责任。他强调要做大做强武汉都市圈，增强其影响力和辐射力，包括做强武汉龙头及武汉都市圈整体。要探索路径撬动城市群协同，建立协商机制推动协同发展，压紧压实责任推进各项工作，争取国家支持确保实效。省委副书记诸葛宇杰及多位省领导出席会议。</w:t>
      </w:r>
    </w:p>
    <w:p w14:paraId="7FD33D62">
      <w:pPr>
        <w:rPr>
          <w:rFonts w:hint="eastAsia"/>
        </w:rPr>
      </w:pPr>
    </w:p>
    <w:p w14:paraId="6DEC2C7E">
      <w:pPr>
        <w:rPr>
          <w:rFonts w:hint="eastAsia"/>
        </w:rPr>
      </w:pPr>
      <w:r>
        <w:rPr>
          <w:rFonts w:hint="eastAsia"/>
        </w:rPr>
        <w:t>发文日期：2025年9月2日</w:t>
      </w:r>
    </w:p>
    <w:p w14:paraId="2529E83F">
      <w:pPr>
        <w:rPr>
          <w:rFonts w:hint="eastAsia"/>
        </w:rPr>
      </w:pPr>
      <w:r>
        <w:rPr>
          <w:rFonts w:hint="eastAsia"/>
        </w:rPr>
        <w:t>发文单位：湖北发布</w:t>
      </w:r>
    </w:p>
    <w:p w14:paraId="31CD77BA">
      <w:pPr>
        <w:rPr>
          <w:rFonts w:hint="eastAsia"/>
        </w:rPr>
      </w:pPr>
      <w:r>
        <w:rPr>
          <w:rFonts w:hint="eastAsia"/>
        </w:rPr>
        <w:t>原文链接：https://mp.weixin.qq.com/s/oN0SQx4-lU_5PJ2CJ0TBDA</w:t>
      </w:r>
    </w:p>
    <w:p w14:paraId="56088416">
      <w:pPr>
        <w:rPr>
          <w:rFonts w:hint="eastAsia"/>
        </w:rPr>
      </w:pPr>
    </w:p>
    <w:p w14:paraId="1CF8B865">
      <w:pPr>
        <w:pStyle w:val="4"/>
        <w:bidi w:val="0"/>
        <w:rPr>
          <w:rFonts w:hint="eastAsia"/>
        </w:rPr>
      </w:pPr>
      <w:bookmarkStart w:id="15" w:name="_Toc15294"/>
      <w:r>
        <w:rPr>
          <w:rFonts w:hint="eastAsia"/>
        </w:rPr>
        <w:t>王忠林主持研究推进全省民营经济高质量发展</w:t>
      </w:r>
      <w:bookmarkEnd w:id="15"/>
    </w:p>
    <w:p w14:paraId="461E81AD">
      <w:pPr>
        <w:rPr>
          <w:rFonts w:hint="eastAsia"/>
        </w:rPr>
      </w:pPr>
    </w:p>
    <w:p w14:paraId="46134E20">
      <w:pPr>
        <w:rPr>
          <w:rFonts w:hint="eastAsia" w:eastAsia="宋体"/>
          <w:lang w:eastAsia="zh-CN"/>
        </w:rPr>
      </w:pPr>
      <w:r>
        <w:rPr>
          <w:rFonts w:hint="eastAsia"/>
        </w:rPr>
        <w:t>9月4日上午，省委书记、省人大常委会主任王忠林主持研究推进全省民营经济高质量发展工作。他强调，要深入贯彻习近平总书记关于民营经济发展的重要论述，认真学习宣传贯彻《民营经济促进法》。要强化纾困解难，积极主动解决民营企业发展中遇到的困难和问题。要强化政策落地，积极主动精准支持民营企业健康发展</w:t>
      </w:r>
      <w:r>
        <w:rPr>
          <w:rFonts w:hint="eastAsia"/>
          <w:lang w:eastAsia="zh-CN"/>
        </w:rPr>
        <w:t>。要强化能级提升，积极主动支持民营企业做大做强。要强化环境建设，积极主动为民营企业提供优质服务。</w:t>
      </w:r>
    </w:p>
    <w:p w14:paraId="38D3BD0D">
      <w:pPr>
        <w:rPr>
          <w:rFonts w:hint="eastAsia"/>
        </w:rPr>
      </w:pPr>
    </w:p>
    <w:p w14:paraId="6A6FAE68">
      <w:pPr>
        <w:rPr>
          <w:rFonts w:hint="eastAsia"/>
        </w:rPr>
      </w:pPr>
      <w:r>
        <w:rPr>
          <w:rFonts w:hint="eastAsia"/>
        </w:rPr>
        <w:t>发文日期：2025年9月2日</w:t>
      </w:r>
    </w:p>
    <w:p w14:paraId="4520F83E">
      <w:pPr>
        <w:rPr>
          <w:rFonts w:hint="eastAsia"/>
        </w:rPr>
      </w:pPr>
      <w:r>
        <w:rPr>
          <w:rFonts w:hint="eastAsia"/>
        </w:rPr>
        <w:t>发文单位：湖北日报</w:t>
      </w:r>
    </w:p>
    <w:p w14:paraId="3D552F9E">
      <w:pPr>
        <w:rPr>
          <w:rFonts w:hint="eastAsia"/>
        </w:rPr>
      </w:pPr>
      <w:r>
        <w:rPr>
          <w:rFonts w:hint="eastAsia"/>
        </w:rPr>
        <w:t>原文链接：https://mp.weixin.qq.com/s/YO9iZGdVG1OwwCfB0Y6DDw</w:t>
      </w:r>
    </w:p>
    <w:p w14:paraId="57F77CE0">
      <w:pPr>
        <w:rPr>
          <w:rFonts w:hint="eastAsia"/>
        </w:rPr>
      </w:pPr>
    </w:p>
    <w:p w14:paraId="0723D620">
      <w:pPr>
        <w:rPr>
          <w:rFonts w:hint="eastAsia"/>
          <w:lang w:val="en-US" w:eastAsia="zh-CN"/>
        </w:rPr>
      </w:pP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3CB5">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2796F">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5F2796F">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hideSpellingErrors/>
  <w:hideGrammaticalErrors/>
  <w:documentProtection w:enforcement="0"/>
  <w:defaultTabStop w:val="36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D29B2"/>
    <w:rsid w:val="03181066"/>
    <w:rsid w:val="03634626"/>
    <w:rsid w:val="03D352ED"/>
    <w:rsid w:val="03FD584A"/>
    <w:rsid w:val="04772A4B"/>
    <w:rsid w:val="0582467D"/>
    <w:rsid w:val="05926AFC"/>
    <w:rsid w:val="05D77E4F"/>
    <w:rsid w:val="05D84CA5"/>
    <w:rsid w:val="05E0200A"/>
    <w:rsid w:val="061B1990"/>
    <w:rsid w:val="064550D0"/>
    <w:rsid w:val="066A47CE"/>
    <w:rsid w:val="06B141BC"/>
    <w:rsid w:val="07031442"/>
    <w:rsid w:val="07A34B98"/>
    <w:rsid w:val="07AC7C25"/>
    <w:rsid w:val="07BD5E3D"/>
    <w:rsid w:val="081F17B3"/>
    <w:rsid w:val="087D09B3"/>
    <w:rsid w:val="088A7506"/>
    <w:rsid w:val="08944458"/>
    <w:rsid w:val="08D556E5"/>
    <w:rsid w:val="08DE1DFC"/>
    <w:rsid w:val="09063232"/>
    <w:rsid w:val="09362972"/>
    <w:rsid w:val="09434829"/>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901E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650426"/>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8B4401"/>
    <w:rsid w:val="1FFF5FBA"/>
    <w:rsid w:val="21082BD0"/>
    <w:rsid w:val="21554059"/>
    <w:rsid w:val="216B2E85"/>
    <w:rsid w:val="218872DA"/>
    <w:rsid w:val="218F2E30"/>
    <w:rsid w:val="21BF16DB"/>
    <w:rsid w:val="21C443C4"/>
    <w:rsid w:val="223C67F4"/>
    <w:rsid w:val="224A458F"/>
    <w:rsid w:val="22942040"/>
    <w:rsid w:val="22DA671D"/>
    <w:rsid w:val="23050835"/>
    <w:rsid w:val="231A7D53"/>
    <w:rsid w:val="23887B38"/>
    <w:rsid w:val="238B1360"/>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21EB7"/>
    <w:rsid w:val="2A48356C"/>
    <w:rsid w:val="2ABC75C8"/>
    <w:rsid w:val="2B12230A"/>
    <w:rsid w:val="2B7E1510"/>
    <w:rsid w:val="2B8051DB"/>
    <w:rsid w:val="2BAA31B3"/>
    <w:rsid w:val="2BC63FD4"/>
    <w:rsid w:val="2C0D4F8D"/>
    <w:rsid w:val="2C376A9B"/>
    <w:rsid w:val="2C3A1B18"/>
    <w:rsid w:val="2C3F0EDD"/>
    <w:rsid w:val="2C4C4F3B"/>
    <w:rsid w:val="2C5C6AD6"/>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54E9C"/>
    <w:rsid w:val="3784633D"/>
    <w:rsid w:val="38213B8C"/>
    <w:rsid w:val="382373DA"/>
    <w:rsid w:val="383B0B04"/>
    <w:rsid w:val="38591578"/>
    <w:rsid w:val="38AC16A8"/>
    <w:rsid w:val="38CF7D58"/>
    <w:rsid w:val="38F0269B"/>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D0D46DF"/>
    <w:rsid w:val="3D254A9A"/>
    <w:rsid w:val="3D3C5A02"/>
    <w:rsid w:val="3D430E91"/>
    <w:rsid w:val="3D723C25"/>
    <w:rsid w:val="3D8F5CCA"/>
    <w:rsid w:val="3D910454"/>
    <w:rsid w:val="3D964F1B"/>
    <w:rsid w:val="3E0C2560"/>
    <w:rsid w:val="3EB02237"/>
    <w:rsid w:val="3EB80B41"/>
    <w:rsid w:val="3EE65C63"/>
    <w:rsid w:val="3FCF6608"/>
    <w:rsid w:val="40272103"/>
    <w:rsid w:val="40476BB4"/>
    <w:rsid w:val="4092377C"/>
    <w:rsid w:val="40AA78B9"/>
    <w:rsid w:val="411E6EBB"/>
    <w:rsid w:val="41B079AE"/>
    <w:rsid w:val="41FF0A9A"/>
    <w:rsid w:val="42417218"/>
    <w:rsid w:val="43B55C44"/>
    <w:rsid w:val="44A633D7"/>
    <w:rsid w:val="450B6BAA"/>
    <w:rsid w:val="45531639"/>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816CDB"/>
    <w:rsid w:val="4EC5185F"/>
    <w:rsid w:val="4F0516BA"/>
    <w:rsid w:val="4F7A2315"/>
    <w:rsid w:val="4F9273F2"/>
    <w:rsid w:val="4FB31056"/>
    <w:rsid w:val="501D04C6"/>
    <w:rsid w:val="50224539"/>
    <w:rsid w:val="50675167"/>
    <w:rsid w:val="509B115C"/>
    <w:rsid w:val="50E705D7"/>
    <w:rsid w:val="50F773EF"/>
    <w:rsid w:val="50FA6AF3"/>
    <w:rsid w:val="51040E29"/>
    <w:rsid w:val="51AC2CF6"/>
    <w:rsid w:val="51CF2789"/>
    <w:rsid w:val="51EE696A"/>
    <w:rsid w:val="52E60BBD"/>
    <w:rsid w:val="53537FC2"/>
    <w:rsid w:val="537A576C"/>
    <w:rsid w:val="538D6EF1"/>
    <w:rsid w:val="53E24E79"/>
    <w:rsid w:val="54051CBA"/>
    <w:rsid w:val="54627517"/>
    <w:rsid w:val="54C301E3"/>
    <w:rsid w:val="54CD3E95"/>
    <w:rsid w:val="54FE1085"/>
    <w:rsid w:val="5507618C"/>
    <w:rsid w:val="555313D1"/>
    <w:rsid w:val="555465EE"/>
    <w:rsid w:val="5630606F"/>
    <w:rsid w:val="56431446"/>
    <w:rsid w:val="564D2F1F"/>
    <w:rsid w:val="56601D30"/>
    <w:rsid w:val="56864980"/>
    <w:rsid w:val="56BD287A"/>
    <w:rsid w:val="57617D64"/>
    <w:rsid w:val="579023A5"/>
    <w:rsid w:val="579D2991"/>
    <w:rsid w:val="57EF105C"/>
    <w:rsid w:val="58831FCD"/>
    <w:rsid w:val="58A81A34"/>
    <w:rsid w:val="597D4298"/>
    <w:rsid w:val="59CC3500"/>
    <w:rsid w:val="5A17089F"/>
    <w:rsid w:val="5A2B78A9"/>
    <w:rsid w:val="5A4A42F9"/>
    <w:rsid w:val="5AC204A2"/>
    <w:rsid w:val="5ADE079F"/>
    <w:rsid w:val="5ADF2CEC"/>
    <w:rsid w:val="5B74302C"/>
    <w:rsid w:val="5B93792A"/>
    <w:rsid w:val="5B9F4190"/>
    <w:rsid w:val="5BBE44A1"/>
    <w:rsid w:val="5C0F2120"/>
    <w:rsid w:val="5CC2508E"/>
    <w:rsid w:val="5CC95CE6"/>
    <w:rsid w:val="5CF04714"/>
    <w:rsid w:val="5CF641B7"/>
    <w:rsid w:val="5CFA7B5F"/>
    <w:rsid w:val="5CFD12BC"/>
    <w:rsid w:val="5D872105"/>
    <w:rsid w:val="5DCE519B"/>
    <w:rsid w:val="5DDC2951"/>
    <w:rsid w:val="5E042794"/>
    <w:rsid w:val="5E8E75A3"/>
    <w:rsid w:val="5E9860A7"/>
    <w:rsid w:val="5EBC232F"/>
    <w:rsid w:val="5EC0678A"/>
    <w:rsid w:val="5ED877D8"/>
    <w:rsid w:val="5EE240B6"/>
    <w:rsid w:val="5EF10D14"/>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C6121CE"/>
    <w:rsid w:val="6C7822A9"/>
    <w:rsid w:val="6C9B0687"/>
    <w:rsid w:val="6CCD0C34"/>
    <w:rsid w:val="6D2B360C"/>
    <w:rsid w:val="6DD94EB7"/>
    <w:rsid w:val="6ED65668"/>
    <w:rsid w:val="6F5F3C10"/>
    <w:rsid w:val="6F7D619A"/>
    <w:rsid w:val="6F9F35B4"/>
    <w:rsid w:val="6FCA71E0"/>
    <w:rsid w:val="6FD827A7"/>
    <w:rsid w:val="703145D9"/>
    <w:rsid w:val="706C1141"/>
    <w:rsid w:val="706E7C9E"/>
    <w:rsid w:val="707324D0"/>
    <w:rsid w:val="70CF5032"/>
    <w:rsid w:val="71856DEF"/>
    <w:rsid w:val="71A130D0"/>
    <w:rsid w:val="71DA004A"/>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B354EE"/>
    <w:rsid w:val="75BC3DFE"/>
    <w:rsid w:val="76A06528"/>
    <w:rsid w:val="76DB2792"/>
    <w:rsid w:val="77091498"/>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6</Pages>
  <Words>3442</Words>
  <Characters>4002</Characters>
  <Lines>55</Lines>
  <Paragraphs>15</Paragraphs>
  <TotalTime>0</TotalTime>
  <ScaleCrop>false</ScaleCrop>
  <LinksUpToDate>false</LinksUpToDate>
  <CharactersWithSpaces>4035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2025-09-05T05:38:36Z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