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0334C">
      <w:pPr>
        <w:snapToGrid w:val="0"/>
        <w:spacing w:line="360" w:lineRule="auto"/>
        <w:ind w:firstLine="897"/>
        <w:jc w:val="both"/>
        <w:rPr>
          <w:rFonts w:ascii="黑体" w:hAnsi="黑体" w:eastAsia="黑体" w:cs="黑体"/>
          <w:b/>
          <w:bCs/>
          <w:sz w:val="44"/>
          <w:szCs w:val="52"/>
        </w:rPr>
      </w:pPr>
    </w:p>
    <w:p w14:paraId="1D726450">
      <w:pPr>
        <w:snapToGrid w:val="0"/>
        <w:spacing w:line="360" w:lineRule="auto"/>
        <w:ind w:firstLine="897"/>
        <w:jc w:val="both"/>
        <w:rPr>
          <w:rFonts w:ascii="黑体" w:hAnsi="黑体" w:eastAsia="黑体" w:cs="黑体"/>
          <w:b/>
          <w:bCs/>
          <w:sz w:val="44"/>
          <w:szCs w:val="52"/>
        </w:rPr>
      </w:pPr>
    </w:p>
    <w:p w14:paraId="189DC712">
      <w:pPr>
        <w:snapToGrid w:val="0"/>
        <w:spacing w:line="360" w:lineRule="auto"/>
        <w:ind w:firstLine="897"/>
        <w:jc w:val="both"/>
        <w:rPr>
          <w:rFonts w:ascii="黑体" w:hAnsi="黑体" w:eastAsia="黑体" w:cs="黑体"/>
          <w:b/>
          <w:bCs/>
          <w:sz w:val="44"/>
          <w:szCs w:val="52"/>
        </w:rPr>
      </w:pPr>
    </w:p>
    <w:p w14:paraId="3FC599BD">
      <w:pPr>
        <w:snapToGrid w:val="0"/>
        <w:spacing w:line="360" w:lineRule="auto"/>
        <w:ind w:firstLine="897"/>
        <w:jc w:val="both"/>
        <w:rPr>
          <w:rFonts w:ascii="黑体" w:hAnsi="黑体" w:eastAsia="黑体" w:cs="黑体"/>
          <w:b/>
          <w:bCs/>
          <w:sz w:val="44"/>
          <w:szCs w:val="52"/>
        </w:rPr>
      </w:pPr>
    </w:p>
    <w:p w14:paraId="00278D5D">
      <w:pPr>
        <w:snapToGrid w:val="0"/>
        <w:spacing w:line="360" w:lineRule="auto"/>
        <w:ind w:firstLine="897"/>
        <w:jc w:val="both"/>
        <w:rPr>
          <w:rFonts w:ascii="黑体" w:hAnsi="黑体" w:eastAsia="黑体" w:cs="黑体"/>
          <w:b/>
          <w:bCs/>
          <w:sz w:val="44"/>
          <w:szCs w:val="52"/>
        </w:rPr>
      </w:pPr>
    </w:p>
    <w:p w14:paraId="5D9F7C82">
      <w:pPr>
        <w:snapToGrid w:val="0"/>
        <w:spacing w:line="360" w:lineRule="auto"/>
        <w:ind w:firstLine="897"/>
        <w:jc w:val="both"/>
        <w:rPr>
          <w:rFonts w:ascii="黑体" w:hAnsi="黑体" w:eastAsia="黑体" w:cs="黑体"/>
          <w:b/>
          <w:bCs/>
          <w:sz w:val="44"/>
          <w:szCs w:val="52"/>
        </w:rPr>
      </w:pPr>
    </w:p>
    <w:p w14:paraId="6002290B">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 xml:space="preserve"> 每周政策速递</w:t>
      </w:r>
    </w:p>
    <w:p w14:paraId="49B54A9F">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w:t>
      </w:r>
      <w:r>
        <w:rPr>
          <w:rFonts w:hint="eastAsia" w:ascii="黑体" w:hAnsi="黑体" w:eastAsia="黑体" w:cs="黑体"/>
          <w:b/>
          <w:bCs/>
          <w:sz w:val="44"/>
          <w:szCs w:val="52"/>
          <w:lang w:val="en-US" w:eastAsia="zh-CN"/>
        </w:rPr>
        <w:t>9</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26</w:t>
      </w:r>
      <w:r>
        <w:rPr>
          <w:rFonts w:hint="eastAsia" w:ascii="黑体" w:hAnsi="黑体" w:eastAsia="黑体" w:cs="黑体"/>
          <w:b/>
          <w:bCs/>
          <w:sz w:val="44"/>
          <w:szCs w:val="52"/>
        </w:rPr>
        <w:t>日-</w:t>
      </w:r>
      <w:r>
        <w:rPr>
          <w:rFonts w:hint="eastAsia" w:ascii="黑体" w:hAnsi="黑体" w:eastAsia="黑体" w:cs="黑体"/>
          <w:b/>
          <w:bCs/>
          <w:sz w:val="44"/>
          <w:szCs w:val="52"/>
          <w:lang w:val="en-US" w:eastAsia="zh-CN"/>
        </w:rPr>
        <w:t>10</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10</w:t>
      </w:r>
      <w:r>
        <w:rPr>
          <w:rFonts w:hint="eastAsia" w:ascii="黑体" w:hAnsi="黑体" w:eastAsia="黑体" w:cs="黑体"/>
          <w:b/>
          <w:bCs/>
          <w:sz w:val="44"/>
          <w:szCs w:val="52"/>
        </w:rPr>
        <w:t>日）</w:t>
      </w:r>
    </w:p>
    <w:p w14:paraId="555F551E">
      <w:pPr>
        <w:snapToGrid w:val="0"/>
        <w:spacing w:line="360" w:lineRule="auto"/>
        <w:ind w:firstLine="720"/>
        <w:jc w:val="center"/>
        <w:rPr>
          <w:sz w:val="36"/>
          <w:szCs w:val="44"/>
        </w:rPr>
      </w:pPr>
    </w:p>
    <w:p w14:paraId="1BBA3328">
      <w:pPr>
        <w:snapToGrid w:val="0"/>
        <w:spacing w:line="360" w:lineRule="auto"/>
        <w:ind w:firstLine="720"/>
        <w:jc w:val="center"/>
        <w:rPr>
          <w:sz w:val="36"/>
          <w:szCs w:val="44"/>
        </w:rPr>
      </w:pPr>
    </w:p>
    <w:p w14:paraId="47ECA664">
      <w:pPr>
        <w:snapToGrid w:val="0"/>
        <w:spacing w:line="360" w:lineRule="auto"/>
        <w:ind w:firstLine="720"/>
        <w:jc w:val="center"/>
        <w:rPr>
          <w:sz w:val="36"/>
          <w:szCs w:val="44"/>
        </w:rPr>
      </w:pPr>
    </w:p>
    <w:p w14:paraId="621928D3">
      <w:pPr>
        <w:snapToGrid w:val="0"/>
        <w:spacing w:line="360" w:lineRule="auto"/>
        <w:ind w:firstLine="720"/>
        <w:jc w:val="center"/>
        <w:rPr>
          <w:sz w:val="36"/>
          <w:szCs w:val="44"/>
        </w:rPr>
      </w:pPr>
    </w:p>
    <w:p w14:paraId="172DDBCD">
      <w:pPr>
        <w:snapToGrid w:val="0"/>
        <w:spacing w:line="360" w:lineRule="auto"/>
        <w:jc w:val="center"/>
        <w:rPr>
          <w:sz w:val="28"/>
          <w:szCs w:val="36"/>
        </w:rPr>
      </w:pPr>
    </w:p>
    <w:p w14:paraId="4F7F58AE">
      <w:pPr>
        <w:snapToGrid w:val="0"/>
        <w:spacing w:line="360" w:lineRule="auto"/>
        <w:jc w:val="center"/>
        <w:rPr>
          <w:sz w:val="28"/>
          <w:szCs w:val="36"/>
        </w:rPr>
      </w:pPr>
    </w:p>
    <w:p w14:paraId="0B76DE71">
      <w:pPr>
        <w:snapToGrid w:val="0"/>
        <w:spacing w:line="360" w:lineRule="auto"/>
        <w:jc w:val="center"/>
        <w:rPr>
          <w:sz w:val="28"/>
          <w:szCs w:val="36"/>
        </w:rPr>
      </w:pPr>
    </w:p>
    <w:p w14:paraId="24C487AA">
      <w:pPr>
        <w:snapToGrid w:val="0"/>
        <w:spacing w:line="360" w:lineRule="auto"/>
        <w:jc w:val="center"/>
        <w:rPr>
          <w:sz w:val="28"/>
          <w:szCs w:val="36"/>
        </w:rPr>
      </w:pPr>
    </w:p>
    <w:p w14:paraId="012ECE2B">
      <w:pPr>
        <w:snapToGrid w:val="0"/>
        <w:spacing w:line="360" w:lineRule="auto"/>
        <w:jc w:val="center"/>
        <w:rPr>
          <w:sz w:val="28"/>
          <w:szCs w:val="36"/>
        </w:rPr>
      </w:pPr>
    </w:p>
    <w:p w14:paraId="50B34A26">
      <w:pPr>
        <w:snapToGrid w:val="0"/>
        <w:spacing w:line="360" w:lineRule="auto"/>
        <w:jc w:val="center"/>
        <w:rPr>
          <w:sz w:val="28"/>
          <w:szCs w:val="36"/>
        </w:rPr>
      </w:pPr>
    </w:p>
    <w:p w14:paraId="5125022F">
      <w:pPr>
        <w:snapToGrid w:val="0"/>
        <w:spacing w:line="360" w:lineRule="auto"/>
        <w:jc w:val="center"/>
        <w:rPr>
          <w:sz w:val="28"/>
          <w:szCs w:val="36"/>
        </w:rPr>
      </w:pPr>
    </w:p>
    <w:p w14:paraId="41EA7610">
      <w:pPr>
        <w:snapToGrid w:val="0"/>
        <w:spacing w:line="360" w:lineRule="auto"/>
        <w:ind w:firstLine="560"/>
        <w:jc w:val="both"/>
      </w:pPr>
    </w:p>
    <w:p w14:paraId="7E4363B5">
      <w:pPr>
        <w:pStyle w:val="2"/>
        <w:jc w:val="both"/>
        <w:sectPr>
          <w:pgSz w:w="11906" w:h="16838"/>
          <w:pgMar w:top="1440" w:right="1800" w:bottom="1440" w:left="1800" w:header="851" w:footer="992" w:gutter="0"/>
          <w:cols w:space="425" w:num="1"/>
          <w:docGrid w:type="lines" w:linePitch="312" w:charSpace="0"/>
        </w:sectPr>
      </w:pPr>
    </w:p>
    <w:p w14:paraId="043E20BD">
      <w:pPr>
        <w:pStyle w:val="2"/>
        <w:jc w:val="both"/>
      </w:pPr>
      <w:bookmarkStart w:id="0" w:name="_Toc5212"/>
      <w:r>
        <w:rPr>
          <w:rFonts w:hint="eastAsia"/>
        </w:rPr>
        <w:t>目录</w:t>
      </w:r>
      <w:bookmarkEnd w:id="0"/>
    </w:p>
    <w:p w14:paraId="6268CBDC">
      <w:pPr>
        <w:pStyle w:val="14"/>
        <w:tabs>
          <w:tab w:val="right" w:leader="dot" w:pos="8306"/>
          <w:tab w:val="clear" w:pos="8296"/>
        </w:tabs>
      </w:pPr>
      <w:r>
        <w:rPr>
          <w:rFonts w:ascii="微软雅黑" w:hAnsi="微软雅黑" w:eastAsia="微软雅黑"/>
          <w:sz w:val="21"/>
          <w:szCs w:val="21"/>
        </w:rPr>
        <w:fldChar w:fldCharType="begin"/>
      </w:r>
      <w:r>
        <w:rPr>
          <w:rFonts w:ascii="微软雅黑" w:hAnsi="微软雅黑" w:eastAsia="微软雅黑"/>
          <w:sz w:val="21"/>
          <w:szCs w:val="21"/>
        </w:rPr>
        <w:instrText xml:space="preserve"> TOC \o "1-3" \h \z \u </w:instrText>
      </w:r>
      <w:r>
        <w:rPr>
          <w:rFonts w:ascii="微软雅黑" w:hAnsi="微软雅黑" w:eastAsia="微软雅黑"/>
          <w:sz w:val="21"/>
          <w:szCs w:val="21"/>
        </w:rPr>
        <w:fldChar w:fldCharType="separate"/>
      </w:r>
      <w:r>
        <w:rPr>
          <w:rFonts w:ascii="微软雅黑" w:hAnsi="微软雅黑" w:eastAsia="微软雅黑"/>
          <w:szCs w:val="21"/>
        </w:rPr>
        <w:fldChar w:fldCharType="begin"/>
      </w:r>
      <w:r>
        <w:rPr>
          <w:rFonts w:ascii="微软雅黑" w:hAnsi="微软雅黑" w:eastAsia="微软雅黑"/>
          <w:szCs w:val="21"/>
        </w:rPr>
        <w:instrText xml:space="preserve"> HYPERLINK \l _Toc5212 </w:instrText>
      </w:r>
      <w:r>
        <w:rPr>
          <w:rFonts w:ascii="微软雅黑" w:hAnsi="微软雅黑" w:eastAsia="微软雅黑"/>
          <w:szCs w:val="21"/>
        </w:rPr>
        <w:fldChar w:fldCharType="separate"/>
      </w:r>
      <w:r>
        <w:rPr>
          <w:rFonts w:hint="eastAsia"/>
        </w:rPr>
        <w:t>目录</w:t>
      </w:r>
      <w:r>
        <w:tab/>
      </w:r>
      <w:r>
        <w:fldChar w:fldCharType="begin"/>
      </w:r>
      <w:r>
        <w:instrText xml:space="preserve"> PAGEREF _Toc5212 \h </w:instrText>
      </w:r>
      <w:r>
        <w:fldChar w:fldCharType="separate"/>
      </w:r>
      <w:r>
        <w:t>1</w:t>
      </w:r>
      <w:r>
        <w:fldChar w:fldCharType="end"/>
      </w:r>
      <w:r>
        <w:rPr>
          <w:rFonts w:ascii="微软雅黑" w:hAnsi="微软雅黑" w:eastAsia="微软雅黑"/>
          <w:szCs w:val="21"/>
        </w:rPr>
        <w:fldChar w:fldCharType="end"/>
      </w:r>
    </w:p>
    <w:p w14:paraId="50F0C4CE">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_Toc3203 </w:instrText>
      </w:r>
      <w:r>
        <w:rPr>
          <w:rFonts w:ascii="微软雅黑" w:hAnsi="微软雅黑" w:eastAsia="微软雅黑"/>
          <w:szCs w:val="28"/>
        </w:rPr>
        <w:fldChar w:fldCharType="separate"/>
      </w:r>
      <w:r>
        <w:rPr>
          <w:rFonts w:hint="eastAsia"/>
        </w:rPr>
        <w:t>重点.关注</w:t>
      </w:r>
      <w:r>
        <w:tab/>
      </w:r>
      <w:r>
        <w:fldChar w:fldCharType="begin"/>
      </w:r>
      <w:r>
        <w:instrText xml:space="preserve"> PAGEREF _Toc3203 \h </w:instrText>
      </w:r>
      <w:r>
        <w:fldChar w:fldCharType="separate"/>
      </w:r>
      <w:r>
        <w:t>2</w:t>
      </w:r>
      <w:r>
        <w:fldChar w:fldCharType="end"/>
      </w:r>
      <w:r>
        <w:rPr>
          <w:rFonts w:ascii="微软雅黑" w:hAnsi="微软雅黑" w:eastAsia="微软雅黑"/>
          <w:szCs w:val="28"/>
        </w:rPr>
        <w:fldChar w:fldCharType="end"/>
      </w:r>
    </w:p>
    <w:p w14:paraId="1B3F906B">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_Toc25114 </w:instrText>
      </w:r>
      <w:r>
        <w:rPr>
          <w:rFonts w:ascii="微软雅黑" w:hAnsi="微软雅黑" w:eastAsia="微软雅黑"/>
          <w:szCs w:val="28"/>
        </w:rPr>
        <w:fldChar w:fldCharType="separate"/>
      </w:r>
      <w:r>
        <w:rPr>
          <w:rFonts w:hint="default"/>
        </w:rPr>
        <w:t xml:space="preserve">(1) </w:t>
      </w:r>
      <w:r>
        <w:rPr>
          <w:rFonts w:hint="eastAsia"/>
        </w:rPr>
        <w:t>新型政策性金融工具规模5000亿元</w:t>
      </w:r>
      <w:r>
        <w:rPr>
          <w:rFonts w:hint="eastAsia"/>
          <w:lang w:eastAsia="zh-CN"/>
        </w:rPr>
        <w:t>，赋能千行百业</w:t>
      </w:r>
      <w:r>
        <w:tab/>
      </w:r>
      <w:r>
        <w:fldChar w:fldCharType="begin"/>
      </w:r>
      <w:r>
        <w:instrText xml:space="preserve"> PAGEREF _Toc25114 \h </w:instrText>
      </w:r>
      <w:r>
        <w:fldChar w:fldCharType="separate"/>
      </w:r>
      <w:r>
        <w:t>2</w:t>
      </w:r>
      <w:r>
        <w:fldChar w:fldCharType="end"/>
      </w:r>
      <w:r>
        <w:rPr>
          <w:rFonts w:ascii="微软雅黑" w:hAnsi="微软雅黑" w:eastAsia="微软雅黑"/>
          <w:szCs w:val="28"/>
        </w:rPr>
        <w:fldChar w:fldCharType="end"/>
      </w:r>
    </w:p>
    <w:p w14:paraId="6821D9F1">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_Toc31709 </w:instrText>
      </w:r>
      <w:r>
        <w:rPr>
          <w:rFonts w:ascii="微软雅黑" w:hAnsi="微软雅黑" w:eastAsia="微软雅黑"/>
          <w:szCs w:val="28"/>
        </w:rPr>
        <w:fldChar w:fldCharType="separate"/>
      </w:r>
      <w:r>
        <w:rPr>
          <w:rFonts w:hint="eastAsia"/>
        </w:rPr>
        <w:t>政策.速递</w:t>
      </w:r>
      <w:r>
        <w:tab/>
      </w:r>
      <w:r>
        <w:fldChar w:fldCharType="begin"/>
      </w:r>
      <w:r>
        <w:instrText xml:space="preserve"> PAGEREF _Toc31709 \h </w:instrText>
      </w:r>
      <w:r>
        <w:fldChar w:fldCharType="separate"/>
      </w:r>
      <w:r>
        <w:t>2</w:t>
      </w:r>
      <w:r>
        <w:fldChar w:fldCharType="end"/>
      </w:r>
      <w:r>
        <w:rPr>
          <w:rFonts w:ascii="微软雅黑" w:hAnsi="微软雅黑" w:eastAsia="微软雅黑"/>
          <w:szCs w:val="28"/>
        </w:rPr>
        <w:fldChar w:fldCharType="end"/>
      </w:r>
    </w:p>
    <w:p w14:paraId="0264F3CB">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_Toc8431 </w:instrText>
      </w:r>
      <w:r>
        <w:rPr>
          <w:rFonts w:ascii="微软雅黑" w:hAnsi="微软雅黑" w:eastAsia="微软雅黑"/>
          <w:szCs w:val="28"/>
        </w:rPr>
        <w:fldChar w:fldCharType="separate"/>
      </w:r>
      <w:r>
        <w:rPr>
          <w:rFonts w:hint="eastAsia"/>
        </w:rPr>
        <w:t>中央</w:t>
      </w:r>
      <w:r>
        <w:tab/>
      </w:r>
      <w:r>
        <w:fldChar w:fldCharType="begin"/>
      </w:r>
      <w:r>
        <w:instrText xml:space="preserve"> PAGEREF _Toc8431 \h </w:instrText>
      </w:r>
      <w:r>
        <w:fldChar w:fldCharType="separate"/>
      </w:r>
      <w:r>
        <w:t>2</w:t>
      </w:r>
      <w:r>
        <w:fldChar w:fldCharType="end"/>
      </w:r>
      <w:r>
        <w:rPr>
          <w:rFonts w:ascii="微软雅黑" w:hAnsi="微软雅黑" w:eastAsia="微软雅黑"/>
          <w:szCs w:val="28"/>
        </w:rPr>
        <w:fldChar w:fldCharType="end"/>
      </w:r>
    </w:p>
    <w:p w14:paraId="2D1E79A4">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_Toc21726 </w:instrText>
      </w:r>
      <w:r>
        <w:rPr>
          <w:rFonts w:ascii="微软雅黑" w:hAnsi="微软雅黑" w:eastAsia="微软雅黑"/>
          <w:szCs w:val="28"/>
        </w:rPr>
        <w:fldChar w:fldCharType="separate"/>
      </w:r>
      <w:r>
        <w:rPr>
          <w:rFonts w:hint="default"/>
        </w:rPr>
        <w:t xml:space="preserve">(1) </w:t>
      </w:r>
      <w:r>
        <w:rPr>
          <w:rFonts w:hint="eastAsia"/>
        </w:rPr>
        <w:t>《关于在政府采购中实施本国产品标准及相关政策的通知》</w:t>
      </w:r>
      <w:r>
        <w:tab/>
      </w:r>
      <w:r>
        <w:fldChar w:fldCharType="begin"/>
      </w:r>
      <w:r>
        <w:instrText xml:space="preserve"> PAGEREF _Toc21726 \h </w:instrText>
      </w:r>
      <w:r>
        <w:fldChar w:fldCharType="separate"/>
      </w:r>
      <w:r>
        <w:t>2</w:t>
      </w:r>
      <w:r>
        <w:fldChar w:fldCharType="end"/>
      </w:r>
      <w:r>
        <w:rPr>
          <w:rFonts w:ascii="微软雅黑" w:hAnsi="微软雅黑" w:eastAsia="微软雅黑"/>
          <w:szCs w:val="28"/>
        </w:rPr>
        <w:fldChar w:fldCharType="end"/>
      </w:r>
    </w:p>
    <w:p w14:paraId="22B60761">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_Toc8462 </w:instrText>
      </w:r>
      <w:r>
        <w:rPr>
          <w:rFonts w:ascii="微软雅黑" w:hAnsi="微软雅黑" w:eastAsia="微软雅黑"/>
          <w:szCs w:val="28"/>
        </w:rPr>
        <w:fldChar w:fldCharType="separate"/>
      </w:r>
      <w:r>
        <w:rPr>
          <w:rFonts w:hint="default"/>
        </w:rPr>
        <w:t xml:space="preserve">(2) </w:t>
      </w:r>
      <w:r>
        <w:rPr>
          <w:rFonts w:hint="eastAsia"/>
        </w:rPr>
        <w:t>《关于“人工智能+交通运输”的实施意见》</w:t>
      </w:r>
      <w:r>
        <w:tab/>
      </w:r>
      <w:r>
        <w:fldChar w:fldCharType="begin"/>
      </w:r>
      <w:r>
        <w:instrText xml:space="preserve"> PAGEREF _Toc8462 \h </w:instrText>
      </w:r>
      <w:r>
        <w:fldChar w:fldCharType="separate"/>
      </w:r>
      <w:r>
        <w:t>2</w:t>
      </w:r>
      <w:r>
        <w:fldChar w:fldCharType="end"/>
      </w:r>
      <w:r>
        <w:rPr>
          <w:rFonts w:ascii="微软雅黑" w:hAnsi="微软雅黑" w:eastAsia="微软雅黑"/>
          <w:szCs w:val="28"/>
        </w:rPr>
        <w:fldChar w:fldCharType="end"/>
      </w:r>
    </w:p>
    <w:p w14:paraId="4CA7F8DA">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_Toc20529 </w:instrText>
      </w:r>
      <w:r>
        <w:rPr>
          <w:rFonts w:ascii="微软雅黑" w:hAnsi="微软雅黑" w:eastAsia="微软雅黑"/>
          <w:szCs w:val="28"/>
        </w:rPr>
        <w:fldChar w:fldCharType="separate"/>
      </w:r>
      <w:r>
        <w:rPr>
          <w:rFonts w:hint="default"/>
        </w:rPr>
        <w:t xml:space="preserve">(3) </w:t>
      </w:r>
      <w:r>
        <w:rPr>
          <w:rFonts w:hint="eastAsia"/>
        </w:rPr>
        <w:t>《云计算综合标准化体系建设指南（2025版）》</w:t>
      </w:r>
      <w:r>
        <w:tab/>
      </w:r>
      <w:r>
        <w:fldChar w:fldCharType="begin"/>
      </w:r>
      <w:r>
        <w:instrText xml:space="preserve"> PAGEREF _Toc20529 \h </w:instrText>
      </w:r>
      <w:r>
        <w:fldChar w:fldCharType="separate"/>
      </w:r>
      <w:r>
        <w:t>3</w:t>
      </w:r>
      <w:r>
        <w:fldChar w:fldCharType="end"/>
      </w:r>
      <w:r>
        <w:rPr>
          <w:rFonts w:ascii="微软雅黑" w:hAnsi="微软雅黑" w:eastAsia="微软雅黑"/>
          <w:szCs w:val="28"/>
        </w:rPr>
        <w:fldChar w:fldCharType="end"/>
      </w:r>
    </w:p>
    <w:p w14:paraId="0E4A4822">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_Toc25762 </w:instrText>
      </w:r>
      <w:r>
        <w:rPr>
          <w:rFonts w:ascii="微软雅黑" w:hAnsi="微软雅黑" w:eastAsia="微软雅黑"/>
          <w:szCs w:val="28"/>
        </w:rPr>
        <w:fldChar w:fldCharType="separate"/>
      </w:r>
      <w:r>
        <w:rPr>
          <w:rFonts w:hint="default"/>
        </w:rPr>
        <w:t xml:space="preserve">(4) </w:t>
      </w:r>
      <w:r>
        <w:rPr>
          <w:rFonts w:hint="eastAsia"/>
        </w:rPr>
        <w:t>《机械行业稳增长工作方案（2025—2026年）》</w:t>
      </w:r>
      <w:r>
        <w:tab/>
      </w:r>
      <w:r>
        <w:fldChar w:fldCharType="begin"/>
      </w:r>
      <w:r>
        <w:instrText xml:space="preserve"> PAGEREF _Toc25762 \h </w:instrText>
      </w:r>
      <w:r>
        <w:fldChar w:fldCharType="separate"/>
      </w:r>
      <w:r>
        <w:t>3</w:t>
      </w:r>
      <w:r>
        <w:fldChar w:fldCharType="end"/>
      </w:r>
      <w:r>
        <w:rPr>
          <w:rFonts w:ascii="微软雅黑" w:hAnsi="微软雅黑" w:eastAsia="微软雅黑"/>
          <w:szCs w:val="28"/>
        </w:rPr>
        <w:fldChar w:fldCharType="end"/>
      </w:r>
    </w:p>
    <w:p w14:paraId="7DF56D06">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_Toc27382 </w:instrText>
      </w:r>
      <w:r>
        <w:rPr>
          <w:rFonts w:ascii="微软雅黑" w:hAnsi="微软雅黑" w:eastAsia="微软雅黑"/>
          <w:szCs w:val="28"/>
        </w:rPr>
        <w:fldChar w:fldCharType="separate"/>
      </w:r>
      <w:r>
        <w:rPr>
          <w:rFonts w:hint="default"/>
        </w:rPr>
        <w:t xml:space="preserve">(5) </w:t>
      </w:r>
      <w:r>
        <w:rPr>
          <w:rFonts w:hint="eastAsia"/>
        </w:rPr>
        <w:t>《有色金属行业稳增长工作方案（2025—2026年）》</w:t>
      </w:r>
      <w:r>
        <w:tab/>
      </w:r>
      <w:r>
        <w:fldChar w:fldCharType="begin"/>
      </w:r>
      <w:r>
        <w:instrText xml:space="preserve"> PAGEREF _Toc27382 \h </w:instrText>
      </w:r>
      <w:r>
        <w:fldChar w:fldCharType="separate"/>
      </w:r>
      <w:r>
        <w:t>4</w:t>
      </w:r>
      <w:r>
        <w:fldChar w:fldCharType="end"/>
      </w:r>
      <w:r>
        <w:rPr>
          <w:rFonts w:ascii="微软雅黑" w:hAnsi="微软雅黑" w:eastAsia="微软雅黑"/>
          <w:szCs w:val="28"/>
        </w:rPr>
        <w:fldChar w:fldCharType="end"/>
      </w:r>
    </w:p>
    <w:p w14:paraId="3E1AA20D">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_Toc20853 </w:instrText>
      </w:r>
      <w:r>
        <w:rPr>
          <w:rFonts w:ascii="微软雅黑" w:hAnsi="微软雅黑" w:eastAsia="微软雅黑"/>
          <w:szCs w:val="28"/>
        </w:rPr>
        <w:fldChar w:fldCharType="separate"/>
      </w:r>
      <w:r>
        <w:rPr>
          <w:rFonts w:hint="default"/>
        </w:rPr>
        <w:t xml:space="preserve">(6) </w:t>
      </w:r>
      <w:r>
        <w:rPr>
          <w:rFonts w:hint="eastAsia"/>
        </w:rPr>
        <w:t>《石化化工行业稳增长工作方案（2025-2026年）》</w:t>
      </w:r>
      <w:r>
        <w:tab/>
      </w:r>
      <w:r>
        <w:fldChar w:fldCharType="begin"/>
      </w:r>
      <w:r>
        <w:instrText xml:space="preserve"> PAGEREF _Toc20853 \h </w:instrText>
      </w:r>
      <w:r>
        <w:fldChar w:fldCharType="separate"/>
      </w:r>
      <w:r>
        <w:t>4</w:t>
      </w:r>
      <w:r>
        <w:fldChar w:fldCharType="end"/>
      </w:r>
      <w:r>
        <w:rPr>
          <w:rFonts w:ascii="微软雅黑" w:hAnsi="微软雅黑" w:eastAsia="微软雅黑"/>
          <w:szCs w:val="28"/>
        </w:rPr>
        <w:fldChar w:fldCharType="end"/>
      </w:r>
    </w:p>
    <w:p w14:paraId="0346A3E0">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_Toc9264 </w:instrText>
      </w:r>
      <w:r>
        <w:rPr>
          <w:rFonts w:ascii="微软雅黑" w:hAnsi="微软雅黑" w:eastAsia="微软雅黑"/>
          <w:szCs w:val="28"/>
        </w:rPr>
        <w:fldChar w:fldCharType="separate"/>
      </w:r>
      <w:r>
        <w:rPr>
          <w:rFonts w:hint="default"/>
        </w:rPr>
        <w:t xml:space="preserve">(7) </w:t>
      </w:r>
      <w:r>
        <w:rPr>
          <w:rFonts w:hint="eastAsia"/>
        </w:rPr>
        <w:t>《纺织服装创意设计领航集聚区建设指引》</w:t>
      </w:r>
      <w:r>
        <w:tab/>
      </w:r>
      <w:r>
        <w:fldChar w:fldCharType="begin"/>
      </w:r>
      <w:r>
        <w:instrText xml:space="preserve"> PAGEREF _Toc9264 \h </w:instrText>
      </w:r>
      <w:r>
        <w:fldChar w:fldCharType="separate"/>
      </w:r>
      <w:r>
        <w:t>4</w:t>
      </w:r>
      <w:r>
        <w:fldChar w:fldCharType="end"/>
      </w:r>
      <w:r>
        <w:rPr>
          <w:rFonts w:ascii="微软雅黑" w:hAnsi="微软雅黑" w:eastAsia="微软雅黑"/>
          <w:szCs w:val="28"/>
        </w:rPr>
        <w:fldChar w:fldCharType="end"/>
      </w:r>
    </w:p>
    <w:p w14:paraId="4D08217F">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_Toc324 </w:instrText>
      </w:r>
      <w:r>
        <w:rPr>
          <w:rFonts w:ascii="微软雅黑" w:hAnsi="微软雅黑" w:eastAsia="微软雅黑"/>
          <w:szCs w:val="28"/>
        </w:rPr>
        <w:fldChar w:fldCharType="separate"/>
      </w:r>
      <w:r>
        <w:rPr>
          <w:rFonts w:hint="default"/>
        </w:rPr>
        <w:t xml:space="preserve">(8) </w:t>
      </w:r>
      <w:r>
        <w:rPr>
          <w:rFonts w:hint="eastAsia"/>
        </w:rPr>
        <w:t>《关于加强数字经济创新型企业培育的若干措施》</w:t>
      </w:r>
      <w:r>
        <w:tab/>
      </w:r>
      <w:r>
        <w:fldChar w:fldCharType="begin"/>
      </w:r>
      <w:r>
        <w:instrText xml:space="preserve"> PAGEREF _Toc324 \h </w:instrText>
      </w:r>
      <w:r>
        <w:fldChar w:fldCharType="separate"/>
      </w:r>
      <w:r>
        <w:t>5</w:t>
      </w:r>
      <w:r>
        <w:fldChar w:fldCharType="end"/>
      </w:r>
      <w:r>
        <w:rPr>
          <w:rFonts w:ascii="微软雅黑" w:hAnsi="微软雅黑" w:eastAsia="微软雅黑"/>
          <w:szCs w:val="28"/>
        </w:rPr>
        <w:fldChar w:fldCharType="end"/>
      </w:r>
    </w:p>
    <w:p w14:paraId="316CD1B2">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_Toc29293 </w:instrText>
      </w:r>
      <w:r>
        <w:rPr>
          <w:rFonts w:ascii="微软雅黑" w:hAnsi="微软雅黑" w:eastAsia="微软雅黑"/>
          <w:szCs w:val="28"/>
        </w:rPr>
        <w:fldChar w:fldCharType="separate"/>
      </w:r>
      <w:r>
        <w:rPr>
          <w:rFonts w:hint="default"/>
        </w:rPr>
        <w:t xml:space="preserve">(9) </w:t>
      </w:r>
      <w:r>
        <w:rPr>
          <w:rFonts w:hint="eastAsia"/>
        </w:rPr>
        <w:t>《关于开展消费新业态新模式新场景试点工作的通知》</w:t>
      </w:r>
      <w:r>
        <w:tab/>
      </w:r>
      <w:r>
        <w:fldChar w:fldCharType="begin"/>
      </w:r>
      <w:r>
        <w:instrText xml:space="preserve"> PAGEREF _Toc29293 \h </w:instrText>
      </w:r>
      <w:r>
        <w:fldChar w:fldCharType="separate"/>
      </w:r>
      <w:r>
        <w:t>5</w:t>
      </w:r>
      <w:r>
        <w:fldChar w:fldCharType="end"/>
      </w:r>
      <w:r>
        <w:rPr>
          <w:rFonts w:ascii="微软雅黑" w:hAnsi="微软雅黑" w:eastAsia="微软雅黑"/>
          <w:szCs w:val="28"/>
        </w:rPr>
        <w:fldChar w:fldCharType="end"/>
      </w:r>
    </w:p>
    <w:p w14:paraId="69CA2BB5">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_Toc11575 </w:instrText>
      </w:r>
      <w:r>
        <w:rPr>
          <w:rFonts w:ascii="微软雅黑" w:hAnsi="微软雅黑" w:eastAsia="微软雅黑"/>
          <w:szCs w:val="28"/>
        </w:rPr>
        <w:fldChar w:fldCharType="separate"/>
      </w:r>
      <w:r>
        <w:rPr>
          <w:rFonts w:hint="default"/>
        </w:rPr>
        <w:t xml:space="preserve">(10) </w:t>
      </w:r>
      <w:r>
        <w:rPr>
          <w:rFonts w:hint="eastAsia"/>
        </w:rPr>
        <w:t>《关于大力发展数字消费共创数字时代美好生活的指导意见》</w:t>
      </w:r>
      <w:r>
        <w:tab/>
      </w:r>
      <w:r>
        <w:fldChar w:fldCharType="begin"/>
      </w:r>
      <w:r>
        <w:instrText xml:space="preserve"> PAGEREF _Toc11575 \h </w:instrText>
      </w:r>
      <w:r>
        <w:fldChar w:fldCharType="separate"/>
      </w:r>
      <w:r>
        <w:t>5</w:t>
      </w:r>
      <w:r>
        <w:fldChar w:fldCharType="end"/>
      </w:r>
      <w:r>
        <w:rPr>
          <w:rFonts w:ascii="微软雅黑" w:hAnsi="微软雅黑" w:eastAsia="微软雅黑"/>
          <w:szCs w:val="28"/>
        </w:rPr>
        <w:fldChar w:fldCharType="end"/>
      </w:r>
    </w:p>
    <w:p w14:paraId="5AB0A2E4">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_Toc7094 </w:instrText>
      </w:r>
      <w:r>
        <w:rPr>
          <w:rFonts w:ascii="微软雅黑" w:hAnsi="微软雅黑" w:eastAsia="微软雅黑"/>
          <w:szCs w:val="28"/>
        </w:rPr>
        <w:fldChar w:fldCharType="separate"/>
      </w:r>
      <w:r>
        <w:rPr>
          <w:rFonts w:hint="default"/>
        </w:rPr>
        <w:t xml:space="preserve">(11) </w:t>
      </w:r>
      <w:r>
        <w:rPr>
          <w:rFonts w:hint="eastAsia"/>
        </w:rPr>
        <w:t>《促进农产品消费实施方案》</w:t>
      </w:r>
      <w:r>
        <w:tab/>
      </w:r>
      <w:r>
        <w:fldChar w:fldCharType="begin"/>
      </w:r>
      <w:r>
        <w:instrText xml:space="preserve"> PAGEREF _Toc7094 \h </w:instrText>
      </w:r>
      <w:r>
        <w:fldChar w:fldCharType="separate"/>
      </w:r>
      <w:r>
        <w:t>6</w:t>
      </w:r>
      <w:r>
        <w:fldChar w:fldCharType="end"/>
      </w:r>
      <w:r>
        <w:rPr>
          <w:rFonts w:ascii="微软雅黑" w:hAnsi="微软雅黑" w:eastAsia="微软雅黑"/>
          <w:szCs w:val="28"/>
        </w:rPr>
        <w:fldChar w:fldCharType="end"/>
      </w:r>
    </w:p>
    <w:p w14:paraId="52DDD9EB">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_Toc22165 </w:instrText>
      </w:r>
      <w:r>
        <w:rPr>
          <w:rFonts w:ascii="微软雅黑" w:hAnsi="微软雅黑" w:eastAsia="微软雅黑"/>
          <w:szCs w:val="28"/>
        </w:rPr>
        <w:fldChar w:fldCharType="separate"/>
      </w:r>
      <w:r>
        <w:rPr>
          <w:rFonts w:hint="eastAsia"/>
        </w:rPr>
        <w:t>湖北省</w:t>
      </w:r>
      <w:r>
        <w:tab/>
      </w:r>
      <w:r>
        <w:fldChar w:fldCharType="begin"/>
      </w:r>
      <w:r>
        <w:instrText xml:space="preserve"> PAGEREF _Toc22165 \h </w:instrText>
      </w:r>
      <w:r>
        <w:fldChar w:fldCharType="separate"/>
      </w:r>
      <w:r>
        <w:t>6</w:t>
      </w:r>
      <w:r>
        <w:fldChar w:fldCharType="end"/>
      </w:r>
      <w:r>
        <w:rPr>
          <w:rFonts w:ascii="微软雅黑" w:hAnsi="微软雅黑" w:eastAsia="微软雅黑"/>
          <w:szCs w:val="28"/>
        </w:rPr>
        <w:fldChar w:fldCharType="end"/>
      </w:r>
    </w:p>
    <w:p w14:paraId="186FE33C">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_Toc10771 </w:instrText>
      </w:r>
      <w:r>
        <w:rPr>
          <w:rFonts w:ascii="微软雅黑" w:hAnsi="微软雅黑" w:eastAsia="微软雅黑"/>
          <w:szCs w:val="28"/>
        </w:rPr>
        <w:fldChar w:fldCharType="separate"/>
      </w:r>
      <w:r>
        <w:rPr>
          <w:rFonts w:hint="default"/>
        </w:rPr>
        <w:t xml:space="preserve">(1) </w:t>
      </w:r>
      <w:r>
        <w:rPr>
          <w:rFonts w:hint="eastAsia"/>
        </w:rPr>
        <w:t>《〈湖北省数据条例〉贯彻实施工作方案》</w:t>
      </w:r>
      <w:r>
        <w:tab/>
      </w:r>
      <w:r>
        <w:fldChar w:fldCharType="begin"/>
      </w:r>
      <w:r>
        <w:instrText xml:space="preserve"> PAGEREF _Toc10771 \h </w:instrText>
      </w:r>
      <w:r>
        <w:fldChar w:fldCharType="separate"/>
      </w:r>
      <w:r>
        <w:t>6</w:t>
      </w:r>
      <w:r>
        <w:fldChar w:fldCharType="end"/>
      </w:r>
      <w:r>
        <w:rPr>
          <w:rFonts w:ascii="微软雅黑" w:hAnsi="微软雅黑" w:eastAsia="微软雅黑"/>
          <w:szCs w:val="28"/>
        </w:rPr>
        <w:fldChar w:fldCharType="end"/>
      </w:r>
    </w:p>
    <w:p w14:paraId="1F2A64F4">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_Toc7605 </w:instrText>
      </w:r>
      <w:r>
        <w:rPr>
          <w:rFonts w:ascii="微软雅黑" w:hAnsi="微软雅黑" w:eastAsia="微软雅黑"/>
          <w:szCs w:val="28"/>
        </w:rPr>
        <w:fldChar w:fldCharType="separate"/>
      </w:r>
      <w:r>
        <w:rPr>
          <w:rFonts w:hint="default"/>
        </w:rPr>
        <w:t xml:space="preserve">(2) </w:t>
      </w:r>
      <w:r>
        <w:rPr>
          <w:rFonts w:hint="eastAsia"/>
        </w:rPr>
        <w:t>《关于引导支持和服务保障企业开展产品技术创新、商业模式创新、经营管理创新的工作方案》</w:t>
      </w:r>
      <w:r>
        <w:tab/>
      </w:r>
      <w:r>
        <w:fldChar w:fldCharType="begin"/>
      </w:r>
      <w:r>
        <w:instrText xml:space="preserve"> PAGEREF _Toc7605 \h </w:instrText>
      </w:r>
      <w:r>
        <w:fldChar w:fldCharType="separate"/>
      </w:r>
      <w:r>
        <w:t>6</w:t>
      </w:r>
      <w:r>
        <w:fldChar w:fldCharType="end"/>
      </w:r>
      <w:r>
        <w:rPr>
          <w:rFonts w:ascii="微软雅黑" w:hAnsi="微软雅黑" w:eastAsia="微软雅黑"/>
          <w:szCs w:val="28"/>
        </w:rPr>
        <w:fldChar w:fldCharType="end"/>
      </w:r>
    </w:p>
    <w:p w14:paraId="15CA778B">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_Toc18730 </w:instrText>
      </w:r>
      <w:r>
        <w:rPr>
          <w:rFonts w:ascii="微软雅黑" w:hAnsi="微软雅黑" w:eastAsia="微软雅黑"/>
          <w:szCs w:val="28"/>
        </w:rPr>
        <w:fldChar w:fldCharType="separate"/>
      </w:r>
      <w:r>
        <w:rPr>
          <w:rFonts w:hint="default"/>
        </w:rPr>
        <w:t xml:space="preserve">(3) </w:t>
      </w:r>
      <w:r>
        <w:rPr>
          <w:rFonts w:hint="eastAsia"/>
        </w:rPr>
        <w:t>《关于支持脑机接口产业创新发展的若干措施》</w:t>
      </w:r>
      <w:r>
        <w:tab/>
      </w:r>
      <w:r>
        <w:fldChar w:fldCharType="begin"/>
      </w:r>
      <w:r>
        <w:instrText xml:space="preserve"> PAGEREF _Toc18730 \h </w:instrText>
      </w:r>
      <w:r>
        <w:fldChar w:fldCharType="separate"/>
      </w:r>
      <w:r>
        <w:t>7</w:t>
      </w:r>
      <w:r>
        <w:fldChar w:fldCharType="end"/>
      </w:r>
      <w:r>
        <w:rPr>
          <w:rFonts w:ascii="微软雅黑" w:hAnsi="微软雅黑" w:eastAsia="微软雅黑"/>
          <w:szCs w:val="28"/>
        </w:rPr>
        <w:fldChar w:fldCharType="end"/>
      </w:r>
    </w:p>
    <w:p w14:paraId="5124252C">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_Toc428 </w:instrText>
      </w:r>
      <w:r>
        <w:rPr>
          <w:rFonts w:ascii="微软雅黑" w:hAnsi="微软雅黑" w:eastAsia="微软雅黑"/>
          <w:szCs w:val="28"/>
        </w:rPr>
        <w:fldChar w:fldCharType="separate"/>
      </w:r>
      <w:r>
        <w:rPr>
          <w:rFonts w:hint="eastAsia"/>
        </w:rPr>
        <w:t>热点.资讯</w:t>
      </w:r>
      <w:r>
        <w:tab/>
      </w:r>
      <w:r>
        <w:fldChar w:fldCharType="begin"/>
      </w:r>
      <w:r>
        <w:instrText xml:space="preserve"> PAGEREF _Toc428 \h </w:instrText>
      </w:r>
      <w:r>
        <w:fldChar w:fldCharType="separate"/>
      </w:r>
      <w:r>
        <w:t>7</w:t>
      </w:r>
      <w:r>
        <w:fldChar w:fldCharType="end"/>
      </w:r>
      <w:r>
        <w:rPr>
          <w:rFonts w:ascii="微软雅黑" w:hAnsi="微软雅黑" w:eastAsia="微软雅黑"/>
          <w:szCs w:val="28"/>
        </w:rPr>
        <w:fldChar w:fldCharType="end"/>
      </w:r>
    </w:p>
    <w:p w14:paraId="5B31978B">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_Toc32183 </w:instrText>
      </w:r>
      <w:r>
        <w:rPr>
          <w:rFonts w:ascii="微软雅黑" w:hAnsi="微软雅黑" w:eastAsia="微软雅黑"/>
          <w:szCs w:val="28"/>
        </w:rPr>
        <w:fldChar w:fldCharType="separate"/>
      </w:r>
      <w:r>
        <w:rPr>
          <w:rFonts w:hint="default"/>
        </w:rPr>
        <w:t xml:space="preserve">(1) </w:t>
      </w:r>
      <w:r>
        <w:rPr>
          <w:rFonts w:hint="eastAsia"/>
        </w:rPr>
        <w:t>工信部向中国移动颁发卫星移动通信业务经营许可</w:t>
      </w:r>
      <w:r>
        <w:tab/>
      </w:r>
      <w:r>
        <w:fldChar w:fldCharType="begin"/>
      </w:r>
      <w:r>
        <w:instrText xml:space="preserve"> PAGEREF _Toc32183 \h </w:instrText>
      </w:r>
      <w:r>
        <w:fldChar w:fldCharType="separate"/>
      </w:r>
      <w:r>
        <w:t>7</w:t>
      </w:r>
      <w:r>
        <w:fldChar w:fldCharType="end"/>
      </w:r>
      <w:r>
        <w:rPr>
          <w:rFonts w:ascii="微软雅黑" w:hAnsi="微软雅黑" w:eastAsia="微软雅黑"/>
          <w:szCs w:val="28"/>
        </w:rPr>
        <w:fldChar w:fldCharType="end"/>
      </w:r>
    </w:p>
    <w:p w14:paraId="0A6BA3E6">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_Toc22098 </w:instrText>
      </w:r>
      <w:r>
        <w:rPr>
          <w:rFonts w:ascii="微软雅黑" w:hAnsi="微软雅黑" w:eastAsia="微软雅黑"/>
          <w:szCs w:val="28"/>
        </w:rPr>
        <w:fldChar w:fldCharType="separate"/>
      </w:r>
      <w:r>
        <w:rPr>
          <w:rFonts w:hint="default"/>
        </w:rPr>
        <w:t xml:space="preserve">(2) </w:t>
      </w:r>
      <w:r>
        <w:rPr>
          <w:rFonts w:hint="eastAsia"/>
        </w:rPr>
        <w:t>首批制造业数字化转型促进中心建设主体名单公布</w:t>
      </w:r>
      <w:r>
        <w:rPr>
          <w:rFonts w:hint="eastAsia"/>
          <w:lang w:eastAsia="zh-CN"/>
        </w:rPr>
        <w:t>，</w:t>
      </w:r>
      <w:r>
        <w:rPr>
          <w:rFonts w:hint="eastAsia"/>
        </w:rPr>
        <w:t>湖北3个上榜！</w:t>
      </w:r>
      <w:r>
        <w:tab/>
      </w:r>
      <w:r>
        <w:fldChar w:fldCharType="begin"/>
      </w:r>
      <w:r>
        <w:instrText xml:space="preserve"> PAGEREF _Toc22098 \h </w:instrText>
      </w:r>
      <w:r>
        <w:fldChar w:fldCharType="separate"/>
      </w:r>
      <w:r>
        <w:t>8</w:t>
      </w:r>
      <w:r>
        <w:fldChar w:fldCharType="end"/>
      </w:r>
      <w:r>
        <w:rPr>
          <w:rFonts w:ascii="微软雅黑" w:hAnsi="微软雅黑" w:eastAsia="微软雅黑"/>
          <w:szCs w:val="28"/>
        </w:rPr>
        <w:fldChar w:fldCharType="end"/>
      </w:r>
    </w:p>
    <w:p w14:paraId="17754CD2">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_Toc28152 </w:instrText>
      </w:r>
      <w:r>
        <w:rPr>
          <w:rFonts w:ascii="微软雅黑" w:hAnsi="微软雅黑" w:eastAsia="微软雅黑"/>
          <w:szCs w:val="28"/>
        </w:rPr>
        <w:fldChar w:fldCharType="separate"/>
      </w:r>
      <w:r>
        <w:rPr>
          <w:rFonts w:hint="default"/>
        </w:rPr>
        <w:t xml:space="preserve">(3) </w:t>
      </w:r>
      <w:r>
        <w:rPr>
          <w:rFonts w:hint="eastAsia"/>
        </w:rPr>
        <w:t>王忠林出席2025年四季度全省重大项目建设推进会</w:t>
      </w:r>
      <w:r>
        <w:tab/>
      </w:r>
      <w:r>
        <w:fldChar w:fldCharType="begin"/>
      </w:r>
      <w:r>
        <w:instrText xml:space="preserve"> PAGEREF _Toc28152 \h </w:instrText>
      </w:r>
      <w:r>
        <w:fldChar w:fldCharType="separate"/>
      </w:r>
      <w:r>
        <w:t>8</w:t>
      </w:r>
      <w:r>
        <w:fldChar w:fldCharType="end"/>
      </w:r>
      <w:r>
        <w:rPr>
          <w:rFonts w:ascii="微软雅黑" w:hAnsi="微软雅黑" w:eastAsia="微软雅黑"/>
          <w:szCs w:val="28"/>
        </w:rPr>
        <w:fldChar w:fldCharType="end"/>
      </w:r>
    </w:p>
    <w:p w14:paraId="1C0A0989">
      <w:pPr>
        <w:snapToGrid w:val="0"/>
        <w:spacing w:line="360" w:lineRule="auto"/>
        <w:jc w:val="both"/>
      </w:pPr>
      <w:r>
        <w:rPr>
          <w:rFonts w:ascii="微软雅黑" w:hAnsi="微软雅黑" w:eastAsia="微软雅黑"/>
          <w:szCs w:val="28"/>
        </w:rPr>
        <w:fldChar w:fldCharType="end"/>
      </w:r>
    </w:p>
    <w:p w14:paraId="187ABEAE">
      <w:pPr>
        <w:snapToGrid w:val="0"/>
        <w:spacing w:line="360" w:lineRule="auto"/>
        <w:jc w:val="both"/>
        <w:rPr>
          <w:rFonts w:ascii="方正小标宋简体" w:hAnsi="方正小标宋简体" w:eastAsia="方正小标宋简体" w:cs="方正小标宋简体"/>
          <w:b/>
          <w:kern w:val="44"/>
          <w:sz w:val="32"/>
          <w:szCs w:val="32"/>
        </w:rPr>
      </w:pPr>
      <w:r>
        <w:br w:type="page"/>
      </w:r>
    </w:p>
    <w:p w14:paraId="596FFC90">
      <w:pPr>
        <w:pStyle w:val="32"/>
        <w:jc w:val="both"/>
      </w:pPr>
    </w:p>
    <w:p w14:paraId="393FEC4A">
      <w:pPr>
        <w:pStyle w:val="2"/>
        <w:rPr>
          <w:rFonts w:hint="eastAsia"/>
        </w:rPr>
      </w:pPr>
      <w:bookmarkStart w:id="1" w:name="_Toc3203"/>
      <w:r>
        <w:rPr>
          <w:rFonts w:hint="eastAsia"/>
        </w:rPr>
        <w:t>重点.关注</w:t>
      </w:r>
      <w:bookmarkEnd w:id="1"/>
    </w:p>
    <w:p w14:paraId="467AA496">
      <w:pPr>
        <w:pStyle w:val="4"/>
        <w:bidi w:val="0"/>
        <w:rPr>
          <w:rFonts w:hint="eastAsia"/>
        </w:rPr>
      </w:pPr>
      <w:bookmarkStart w:id="2" w:name="_Toc25114"/>
      <w:r>
        <w:rPr>
          <w:rFonts w:hint="eastAsia"/>
        </w:rPr>
        <w:t>新型政策性金融工具规模5000亿元</w:t>
      </w:r>
      <w:r>
        <w:rPr>
          <w:rFonts w:hint="eastAsia"/>
          <w:lang w:eastAsia="zh-CN"/>
        </w:rPr>
        <w:t>，赋能千行百业</w:t>
      </w:r>
      <w:bookmarkEnd w:id="2"/>
    </w:p>
    <w:p w14:paraId="0F2D5045">
      <w:pPr>
        <w:rPr>
          <w:rFonts w:hint="eastAsia"/>
        </w:rPr>
      </w:pPr>
    </w:p>
    <w:p w14:paraId="258B5F86">
      <w:pPr>
        <w:rPr>
          <w:rFonts w:hint="eastAsia"/>
        </w:rPr>
      </w:pPr>
    </w:p>
    <w:p w14:paraId="63E7716E">
      <w:pPr>
        <w:rPr>
          <w:rFonts w:hint="eastAsia"/>
        </w:rPr>
      </w:pPr>
      <w:r>
        <w:rPr>
          <w:rFonts w:hint="eastAsia"/>
        </w:rPr>
        <w:t>9月29日，国家发展改革委表示，为贯彻落实党中央、国务院决策部署，促进金融更好服务实体经济，推动扩大有效投资，国家发展改革委会同有关方面积极推进新型政策性金融工具有关工作。针对新型政策性金融工具，发布会明确其规模共5000亿元，全部用于补充项目资本金。国家发改委正会同有关方面推动资金投放至具体项目，后续将督促地方加快项目开工建设，尽快形成实物工作量，推动扩大有效投资。在推动新一代智能终端与智能体应用普及方面，国家发改委将从三方面发力：一是构建导向明确、规范发展的政策环境，加快标准研究与评估体系建设；二是协同推进技术攻关和开源共享，支持企业与行业龙头协同创新，打造开源平台推动资源共建共享；三是供需两端同步发力，供给侧支持企业开展试点示范，需求侧创新消费补贴方式，推动智能终端赋能千行百业。</w:t>
      </w:r>
    </w:p>
    <w:p w14:paraId="267F8D62">
      <w:pPr>
        <w:rPr>
          <w:rFonts w:hint="eastAsia"/>
        </w:rPr>
      </w:pPr>
    </w:p>
    <w:p w14:paraId="6C783048">
      <w:pPr>
        <w:rPr>
          <w:rFonts w:hint="eastAsia"/>
        </w:rPr>
      </w:pPr>
      <w:r>
        <w:rPr>
          <w:rFonts w:hint="eastAsia"/>
        </w:rPr>
        <w:t>发文日期:2025年9月29日</w:t>
      </w:r>
    </w:p>
    <w:p w14:paraId="02F8C632">
      <w:pPr>
        <w:rPr>
          <w:rFonts w:hint="eastAsia"/>
        </w:rPr>
      </w:pPr>
      <w:r>
        <w:rPr>
          <w:rFonts w:hint="eastAsia"/>
        </w:rPr>
        <w:t>发文单位:国家发展改革委</w:t>
      </w:r>
    </w:p>
    <w:p w14:paraId="44FD0766">
      <w:pPr>
        <w:rPr>
          <w:rFonts w:hint="eastAsia"/>
        </w:rPr>
      </w:pPr>
      <w:r>
        <w:rPr>
          <w:rFonts w:hint="eastAsia"/>
        </w:rPr>
        <w:t>原文链接:https://mp.weixin.qq.com/s/zNc3xI1ZE7C0hd6_tVvUbQ</w:t>
      </w:r>
    </w:p>
    <w:p w14:paraId="005D3335">
      <w:pPr>
        <w:rPr>
          <w:rFonts w:hint="eastAsia"/>
        </w:rPr>
      </w:pPr>
    </w:p>
    <w:p w14:paraId="49D1BEB6">
      <w:pPr>
        <w:pStyle w:val="2"/>
      </w:pPr>
      <w:bookmarkStart w:id="3" w:name="_Toc31709"/>
      <w:r>
        <w:rPr>
          <w:rFonts w:hint="eastAsia"/>
        </w:rPr>
        <w:t>政策.速递</w:t>
      </w:r>
      <w:bookmarkEnd w:id="3"/>
    </w:p>
    <w:p w14:paraId="43840AF2">
      <w:pPr>
        <w:pStyle w:val="3"/>
        <w:rPr>
          <w:rFonts w:hint="eastAsia"/>
        </w:rPr>
      </w:pPr>
      <w:bookmarkStart w:id="4" w:name="_Toc8431"/>
      <w:r>
        <w:rPr>
          <w:rFonts w:hint="eastAsia"/>
        </w:rPr>
        <w:t>中央</w:t>
      </w:r>
      <w:bookmarkEnd w:id="4"/>
      <w:r>
        <w:rPr>
          <w:rFonts w:hint="eastAsia"/>
        </w:rPr>
        <w:t xml:space="preserve"> </w:t>
      </w:r>
    </w:p>
    <w:p w14:paraId="0BADAAC9">
      <w:pPr>
        <w:rPr>
          <w:rFonts w:hint="eastAsia"/>
        </w:rPr>
      </w:pPr>
    </w:p>
    <w:p w14:paraId="600B5CC0">
      <w:pPr>
        <w:pStyle w:val="4"/>
        <w:numPr>
          <w:numId w:val="2"/>
        </w:numPr>
        <w:bidi w:val="0"/>
        <w:rPr>
          <w:rFonts w:hint="eastAsia"/>
        </w:rPr>
      </w:pPr>
      <w:bookmarkStart w:id="5" w:name="_Toc21726"/>
      <w:r>
        <w:rPr>
          <w:rFonts w:hint="eastAsia"/>
        </w:rPr>
        <w:t>《关于在政府采购中实施本国产品标准及相关政策的通知》</w:t>
      </w:r>
      <w:bookmarkEnd w:id="5"/>
    </w:p>
    <w:p w14:paraId="4AC6AED0">
      <w:pPr>
        <w:rPr>
          <w:rFonts w:hint="eastAsia"/>
        </w:rPr>
      </w:pPr>
    </w:p>
    <w:p w14:paraId="31CE864C">
      <w:pPr>
        <w:rPr>
          <w:rFonts w:hint="eastAsia"/>
        </w:rPr>
      </w:pPr>
      <w:r>
        <w:rPr>
          <w:rFonts w:hint="eastAsia"/>
        </w:rPr>
        <w:t>日前，国务院办公厅印发《关于在政府采购中实施本国产品标准及相关政策的通知》，自2026年1月1日起施行。《通知》旨在构建统一开放、竞争有序的政府采购市场体系，完善政府采购制度，保障各类经营主体平等参与。《通知》明确了本国产品标准，即产品在中国境内生产、组件成本占比达规定比例，特定产品关键组件和工序在中国境内完成。该标准适用于政府采购货物项目和服务项目涉及的货物。在支持政策上，给予本国产品20%价格评审优惠。对于多种产品的采购项目，符合标准产品成本占比达80%以上，对全部产品给予优惠。</w:t>
      </w:r>
    </w:p>
    <w:p w14:paraId="21A25D2C">
      <w:pPr>
        <w:rPr>
          <w:rFonts w:hint="eastAsia"/>
        </w:rPr>
      </w:pPr>
    </w:p>
    <w:p w14:paraId="351F31FA">
      <w:pPr>
        <w:rPr>
          <w:rFonts w:hint="eastAsia"/>
        </w:rPr>
      </w:pPr>
      <w:r>
        <w:rPr>
          <w:rFonts w:hint="eastAsia"/>
        </w:rPr>
        <w:t>发文日期：2025年9月</w:t>
      </w:r>
      <w:r>
        <w:rPr>
          <w:rFonts w:hint="eastAsia"/>
          <w:lang w:val="en-US" w:eastAsia="zh-CN"/>
        </w:rPr>
        <w:t>30</w:t>
      </w:r>
      <w:r>
        <w:rPr>
          <w:rFonts w:hint="eastAsia"/>
        </w:rPr>
        <w:t>日</w:t>
      </w:r>
    </w:p>
    <w:p w14:paraId="11A8B334">
      <w:pPr>
        <w:rPr>
          <w:rFonts w:hint="eastAsia"/>
        </w:rPr>
      </w:pPr>
      <w:r>
        <w:rPr>
          <w:rFonts w:hint="eastAsia"/>
        </w:rPr>
        <w:t>发文单位：国务院办公厅</w:t>
      </w:r>
    </w:p>
    <w:p w14:paraId="440FF1A0">
      <w:pPr>
        <w:rPr>
          <w:rFonts w:hint="eastAsia"/>
        </w:rPr>
      </w:pPr>
      <w:r>
        <w:rPr>
          <w:rFonts w:hint="eastAsia"/>
        </w:rPr>
        <w:t>原文链接：https://mp.weixin.qq.com/s/igrJ_kMlZ0xmL09fTwVpzQ</w:t>
      </w:r>
    </w:p>
    <w:p w14:paraId="6BA8DF05">
      <w:pPr>
        <w:rPr>
          <w:rFonts w:hint="eastAsia"/>
        </w:rPr>
      </w:pPr>
    </w:p>
    <w:p w14:paraId="210D61AB">
      <w:pPr>
        <w:pStyle w:val="4"/>
        <w:numPr>
          <w:numId w:val="2"/>
        </w:numPr>
        <w:bidi w:val="0"/>
        <w:rPr>
          <w:rFonts w:hint="eastAsia"/>
        </w:rPr>
      </w:pPr>
      <w:bookmarkStart w:id="6" w:name="_Toc8462"/>
      <w:r>
        <w:rPr>
          <w:rFonts w:hint="eastAsia"/>
        </w:rPr>
        <w:t>《关于“人工智能+交通运输”的实施意见》</w:t>
      </w:r>
      <w:bookmarkEnd w:id="6"/>
    </w:p>
    <w:p w14:paraId="3B2BD80E">
      <w:pPr>
        <w:rPr>
          <w:rFonts w:hint="eastAsia"/>
        </w:rPr>
      </w:pPr>
    </w:p>
    <w:p w14:paraId="7D1E4E6E">
      <w:pPr>
        <w:rPr>
          <w:rFonts w:hint="eastAsia"/>
        </w:rPr>
      </w:pPr>
      <w:r>
        <w:rPr>
          <w:rFonts w:hint="eastAsia"/>
        </w:rPr>
        <w:t>近日，交通运输部等七部门联合发布《关于“人工智能+交通运输”的实施意见》，部署16项具体任务以推动人工智能在交通运输领域规模化创新应用。《意见》明确总体目标，到2027年，人工智能在行业典型场景广泛应用，综合交通运输大模型体系落地；到2030年，人工智能深度融入，智能综合立体交通网全面推进，关键核心技术自主可控。在关键技术供给上，要开展应用技术攻关、加快智能产品创新等。《意见》聚焦七大领域推进示范与建设，还提出构建交通运输大数据资源体系，打造交通数据传输网络，为人工智能应用提供支撑。</w:t>
      </w:r>
    </w:p>
    <w:p w14:paraId="672B5B10">
      <w:pPr>
        <w:rPr>
          <w:rFonts w:hint="eastAsia"/>
        </w:rPr>
      </w:pPr>
    </w:p>
    <w:p w14:paraId="2B424351">
      <w:pPr>
        <w:rPr>
          <w:rFonts w:hint="eastAsia"/>
        </w:rPr>
      </w:pPr>
      <w:r>
        <w:rPr>
          <w:rFonts w:hint="eastAsia"/>
        </w:rPr>
        <w:t>发文日期：2025年9月27日</w:t>
      </w:r>
    </w:p>
    <w:p w14:paraId="7B0643AE">
      <w:pPr>
        <w:rPr>
          <w:rFonts w:hint="eastAsia"/>
        </w:rPr>
      </w:pPr>
      <w:r>
        <w:rPr>
          <w:rFonts w:hint="eastAsia"/>
        </w:rPr>
        <w:t>发文单位：交通运输部、国家发展改革委、工业和信息化部、国家数据局、国家铁路局、中国民用航空局、国家邮政局</w:t>
      </w:r>
    </w:p>
    <w:p w14:paraId="0CBB8368">
      <w:pPr>
        <w:rPr>
          <w:rFonts w:hint="eastAsia"/>
        </w:rPr>
      </w:pPr>
      <w:r>
        <w:rPr>
          <w:rFonts w:hint="eastAsia"/>
        </w:rPr>
        <w:t>原文链接：https://mp.weixin.qq.com/s/iEKXgn15HQmHVfGo_8oiOw</w:t>
      </w:r>
    </w:p>
    <w:p w14:paraId="38488C78">
      <w:pPr>
        <w:rPr>
          <w:rFonts w:hint="eastAsia"/>
        </w:rPr>
      </w:pPr>
    </w:p>
    <w:p w14:paraId="0E81FBA6">
      <w:pPr>
        <w:pStyle w:val="4"/>
        <w:numPr>
          <w:numId w:val="2"/>
        </w:numPr>
        <w:bidi w:val="0"/>
        <w:rPr>
          <w:rFonts w:hint="eastAsia"/>
        </w:rPr>
      </w:pPr>
      <w:bookmarkStart w:id="7" w:name="_Toc20529"/>
      <w:r>
        <w:rPr>
          <w:rFonts w:hint="eastAsia"/>
        </w:rPr>
        <w:t>《云计算综合标准化体系建设指南（2025版）》</w:t>
      </w:r>
      <w:bookmarkEnd w:id="7"/>
    </w:p>
    <w:p w14:paraId="22E1ECB5">
      <w:pPr>
        <w:rPr>
          <w:rFonts w:hint="eastAsia"/>
        </w:rPr>
      </w:pPr>
    </w:p>
    <w:p w14:paraId="257E8DC8">
      <w:pPr>
        <w:rPr>
          <w:rFonts w:hint="eastAsia"/>
        </w:rPr>
      </w:pPr>
      <w:r>
        <w:rPr>
          <w:rFonts w:hint="eastAsia"/>
        </w:rPr>
        <w:t>工信部官网发布消息，为贯彻落实《新产业标准化领航工程实施方案（2023—2035年）》，切实发挥标准对推动云计算产业创新发展的支撑和引领作用，近日工业和信息化部与国家标准委联合印发《云计算综合标准化体系建设指南（2025版）》。2025版《标准体系》聚焦三大核心方向，着力构建高质量发展支撑体系：一是持续强化智算云供给能力</w:t>
      </w:r>
      <w:r>
        <w:rPr>
          <w:rFonts w:hint="eastAsia"/>
          <w:lang w:eastAsia="zh-CN"/>
        </w:rPr>
        <w:t>，</w:t>
      </w:r>
      <w:r>
        <w:rPr>
          <w:rFonts w:hint="eastAsia"/>
        </w:rPr>
        <w:t>二是大力推进自主创新协同发展</w:t>
      </w:r>
      <w:r>
        <w:rPr>
          <w:rFonts w:hint="eastAsia"/>
          <w:lang w:eastAsia="zh-CN"/>
        </w:rPr>
        <w:t>，</w:t>
      </w:r>
      <w:r>
        <w:rPr>
          <w:rFonts w:hint="eastAsia"/>
        </w:rPr>
        <w:t>三是全面赋能实体经济高质量发展。</w:t>
      </w:r>
    </w:p>
    <w:p w14:paraId="3F030D8B">
      <w:pPr>
        <w:rPr>
          <w:rFonts w:hint="eastAsia"/>
        </w:rPr>
      </w:pPr>
    </w:p>
    <w:p w14:paraId="47418637">
      <w:pPr>
        <w:rPr>
          <w:rFonts w:hint="eastAsia"/>
        </w:rPr>
      </w:pPr>
      <w:r>
        <w:rPr>
          <w:rFonts w:hint="eastAsia"/>
        </w:rPr>
        <w:t>发文日期：2025年</w:t>
      </w:r>
      <w:r>
        <w:rPr>
          <w:rFonts w:hint="eastAsia"/>
          <w:lang w:val="en-US" w:eastAsia="zh-CN"/>
        </w:rPr>
        <w:t>10</w:t>
      </w:r>
      <w:r>
        <w:rPr>
          <w:rFonts w:hint="eastAsia"/>
        </w:rPr>
        <w:t>月</w:t>
      </w:r>
      <w:r>
        <w:rPr>
          <w:rFonts w:hint="eastAsia"/>
          <w:lang w:val="en-US" w:eastAsia="zh-CN"/>
        </w:rPr>
        <w:t>9</w:t>
      </w:r>
      <w:r>
        <w:rPr>
          <w:rFonts w:hint="eastAsia"/>
        </w:rPr>
        <w:t>日</w:t>
      </w:r>
    </w:p>
    <w:p w14:paraId="4E45888C">
      <w:pPr>
        <w:rPr>
          <w:rFonts w:hint="eastAsia"/>
        </w:rPr>
      </w:pPr>
      <w:r>
        <w:rPr>
          <w:rFonts w:hint="eastAsia"/>
        </w:rPr>
        <w:t>发文单位：工业和信息化部</w:t>
      </w:r>
      <w:r>
        <w:rPr>
          <w:rFonts w:hint="eastAsia"/>
          <w:lang w:eastAsia="zh-CN"/>
        </w:rPr>
        <w:t>、</w:t>
      </w:r>
      <w:r>
        <w:rPr>
          <w:rFonts w:hint="eastAsia"/>
        </w:rPr>
        <w:t>国家标准化管理委员会</w:t>
      </w:r>
    </w:p>
    <w:p w14:paraId="11CE2064">
      <w:pPr>
        <w:rPr>
          <w:rFonts w:hint="eastAsia"/>
        </w:rPr>
      </w:pPr>
      <w:r>
        <w:rPr>
          <w:rFonts w:hint="eastAsia"/>
        </w:rPr>
        <w:t>原文链接：https://mp.weixin.qq.com/s/M072bYAWtbR6FFoCgQRFng</w:t>
      </w:r>
    </w:p>
    <w:p w14:paraId="28CEEA8D"/>
    <w:p w14:paraId="492F5AD3">
      <w:pPr>
        <w:pStyle w:val="4"/>
        <w:numPr>
          <w:numId w:val="2"/>
        </w:numPr>
        <w:bidi w:val="0"/>
        <w:rPr>
          <w:rFonts w:hint="eastAsia"/>
        </w:rPr>
      </w:pPr>
      <w:bookmarkStart w:id="8" w:name="_Toc25762"/>
      <w:r>
        <w:rPr>
          <w:rFonts w:hint="eastAsia"/>
        </w:rPr>
        <w:t>《机械行业稳增长工作方案（2025—2026年）》</w:t>
      </w:r>
      <w:bookmarkEnd w:id="8"/>
    </w:p>
    <w:p w14:paraId="3FB360FC">
      <w:pPr>
        <w:rPr>
          <w:rFonts w:hint="eastAsia"/>
        </w:rPr>
      </w:pPr>
    </w:p>
    <w:p w14:paraId="039D9642">
      <w:pPr>
        <w:rPr>
          <w:rFonts w:hint="eastAsia"/>
        </w:rPr>
      </w:pPr>
      <w:r>
        <w:rPr>
          <w:rFonts w:hint="eastAsia"/>
        </w:rPr>
        <w:t>近日，工业和信息化部等六部门联合印发《机械行业稳增长工作方案（2025—2026年）》，明确2025—2026年机械行业营业收入平均增速力争达3.5%左右，2026年突破10万亿元，并培育一批竞争力中小企业特色产业集群及国际竞争力产业集群。《工作方案》聚焦供需两侧协同发力，部署3方面14项重点任务。在扩大装备有效需求方面，提出激活存量需求、培育新需求、扩大有效投资，推动绿色转型与产业数字化智能化升级，稳定外贸基本盘。提升优质装备供给能力方面，加快科技创新与产业创新融合，发展新质生产力，提高重点产业链供应链韧性和安全水平，发展智能装备和智慧服务，提升质量与品牌影响力。激发行业增长活力方面，完善产业生态，优化空间布局，提升企业服务水平，培育世界一流装备企业，推动中小企业专精特新发展。</w:t>
      </w:r>
    </w:p>
    <w:p w14:paraId="45AE8F6D">
      <w:pPr>
        <w:rPr>
          <w:rFonts w:hint="eastAsia"/>
        </w:rPr>
      </w:pPr>
    </w:p>
    <w:p w14:paraId="51891EED">
      <w:pPr>
        <w:rPr>
          <w:rFonts w:hint="eastAsia"/>
        </w:rPr>
      </w:pPr>
      <w:r>
        <w:rPr>
          <w:rFonts w:hint="eastAsia"/>
        </w:rPr>
        <w:t>发文日期:2025年9月29日</w:t>
      </w:r>
    </w:p>
    <w:p w14:paraId="151E71B8">
      <w:pPr>
        <w:rPr>
          <w:rFonts w:hint="eastAsia"/>
        </w:rPr>
      </w:pPr>
      <w:r>
        <w:rPr>
          <w:rFonts w:hint="eastAsia"/>
        </w:rPr>
        <w:t>发文单位:工业和信息化部、农业农村部、商务部、中国人民银行、海关总署、市场监管总局</w:t>
      </w:r>
    </w:p>
    <w:p w14:paraId="53C1A594">
      <w:pPr>
        <w:rPr>
          <w:rFonts w:hint="eastAsia"/>
        </w:rPr>
      </w:pPr>
      <w:r>
        <w:rPr>
          <w:rFonts w:hint="eastAsia"/>
        </w:rPr>
        <w:t>原文链接:https://mp.weixin.qq.com/s/UWAktCXv9CNjLIDNvn3jJw</w:t>
      </w:r>
    </w:p>
    <w:p w14:paraId="0F729598">
      <w:pPr>
        <w:rPr>
          <w:rFonts w:hint="eastAsia"/>
        </w:rPr>
      </w:pPr>
    </w:p>
    <w:p w14:paraId="24EED03B">
      <w:pPr>
        <w:pStyle w:val="4"/>
        <w:numPr>
          <w:numId w:val="2"/>
        </w:numPr>
        <w:bidi w:val="0"/>
        <w:rPr>
          <w:rFonts w:hint="eastAsia"/>
        </w:rPr>
      </w:pPr>
      <w:bookmarkStart w:id="9" w:name="_Toc27382"/>
      <w:r>
        <w:rPr>
          <w:rFonts w:hint="eastAsia"/>
        </w:rPr>
        <w:t>《有色金属行业稳增长工作方案（2025—2026年）》</w:t>
      </w:r>
      <w:bookmarkEnd w:id="9"/>
    </w:p>
    <w:p w14:paraId="281CC25C">
      <w:pPr>
        <w:rPr>
          <w:rFonts w:hint="eastAsia"/>
        </w:rPr>
      </w:pPr>
    </w:p>
    <w:p w14:paraId="16CDC0C1">
      <w:pPr>
        <w:rPr>
          <w:rFonts w:hint="eastAsia"/>
        </w:rPr>
      </w:pPr>
      <w:r>
        <w:rPr>
          <w:rFonts w:hint="eastAsia"/>
        </w:rPr>
        <w:t>近日，工业和信息化部等8部门联合印发《有色金属行业稳增长工作方案（2025—2026年）》。《工作方案》以习近平新时代中国特色社会主义思想为指导，坚持稳中求进，强化政策协同与系统思维，突出创新引领。目标为2025—2026年行业增加值年均增长5%左右，十种有色金属产量年均增长1.5%左右，再生金属产量突破2000万吨，提升绿色低碳与数字化水平。围绕保资源、优供给等5方面提出10项举措：加强铜、锂等资源勘探与回收利用，攻关超高纯金属等高端材料，加快矿产开发项目审批与节能降碳改造，拓展高端铝材等应用场景，深化国际合作应对贸易限制并推动境外项目建设。同时从组织保障、政策支持和监测调度三方面推进落实。</w:t>
      </w:r>
    </w:p>
    <w:p w14:paraId="2F1080C6">
      <w:pPr>
        <w:rPr>
          <w:rFonts w:hint="eastAsia"/>
        </w:rPr>
      </w:pPr>
    </w:p>
    <w:p w14:paraId="360576ED">
      <w:pPr>
        <w:rPr>
          <w:rFonts w:hint="eastAsia"/>
        </w:rPr>
      </w:pPr>
      <w:r>
        <w:rPr>
          <w:rFonts w:hint="eastAsia"/>
        </w:rPr>
        <w:t>发文日期:2025年9月28日</w:t>
      </w:r>
    </w:p>
    <w:p w14:paraId="17E69A40">
      <w:pPr>
        <w:rPr>
          <w:rFonts w:hint="eastAsia"/>
        </w:rPr>
      </w:pPr>
      <w:r>
        <w:rPr>
          <w:rFonts w:hint="eastAsia"/>
        </w:rPr>
        <w:t>发文单位:工业和信息化部</w:t>
      </w:r>
      <w:r>
        <w:rPr>
          <w:rFonts w:hint="eastAsia"/>
          <w:lang w:eastAsia="zh-CN"/>
        </w:rPr>
        <w:t>、</w:t>
      </w:r>
      <w:r>
        <w:rPr>
          <w:rFonts w:hint="eastAsia"/>
        </w:rPr>
        <w:t>自然资源部</w:t>
      </w:r>
      <w:r>
        <w:rPr>
          <w:rFonts w:hint="eastAsia"/>
          <w:lang w:eastAsia="zh-CN"/>
        </w:rPr>
        <w:t>、</w:t>
      </w:r>
      <w:r>
        <w:rPr>
          <w:rFonts w:hint="eastAsia"/>
        </w:rPr>
        <w:t>商务部</w:t>
      </w:r>
      <w:r>
        <w:rPr>
          <w:rFonts w:hint="eastAsia"/>
          <w:lang w:eastAsia="zh-CN"/>
        </w:rPr>
        <w:t>、</w:t>
      </w:r>
      <w:r>
        <w:rPr>
          <w:rFonts w:hint="eastAsia"/>
        </w:rPr>
        <w:t>中国人民银行</w:t>
      </w:r>
      <w:r>
        <w:rPr>
          <w:rFonts w:hint="eastAsia"/>
          <w:lang w:eastAsia="zh-CN"/>
        </w:rPr>
        <w:t>、</w:t>
      </w:r>
      <w:r>
        <w:rPr>
          <w:rFonts w:hint="eastAsia"/>
        </w:rPr>
        <w:t>国务院国资委</w:t>
      </w:r>
      <w:r>
        <w:rPr>
          <w:rFonts w:hint="eastAsia"/>
          <w:lang w:eastAsia="zh-CN"/>
        </w:rPr>
        <w:t>、</w:t>
      </w:r>
      <w:r>
        <w:rPr>
          <w:rFonts w:hint="eastAsia"/>
        </w:rPr>
        <w:t>海关总署</w:t>
      </w:r>
      <w:r>
        <w:rPr>
          <w:rFonts w:hint="eastAsia"/>
          <w:lang w:eastAsia="zh-CN"/>
        </w:rPr>
        <w:t>、</w:t>
      </w:r>
      <w:r>
        <w:rPr>
          <w:rFonts w:hint="eastAsia"/>
        </w:rPr>
        <w:t>中国证监会</w:t>
      </w:r>
      <w:r>
        <w:rPr>
          <w:rFonts w:hint="eastAsia"/>
          <w:lang w:eastAsia="zh-CN"/>
        </w:rPr>
        <w:t>、</w:t>
      </w:r>
      <w:r>
        <w:rPr>
          <w:rFonts w:hint="eastAsia"/>
        </w:rPr>
        <w:t>国家粮食和储备局</w:t>
      </w:r>
    </w:p>
    <w:p w14:paraId="5A9C03C9">
      <w:pPr>
        <w:rPr>
          <w:rFonts w:hint="eastAsia"/>
        </w:rPr>
      </w:pPr>
      <w:r>
        <w:rPr>
          <w:rFonts w:hint="eastAsia"/>
        </w:rPr>
        <w:t>原文链接:https://mp.weixin.qq.com/s/MWFSUhh3jHa4QYyAkf7h1g</w:t>
      </w:r>
    </w:p>
    <w:p w14:paraId="78AC0D18">
      <w:pPr>
        <w:rPr>
          <w:rFonts w:hint="eastAsia"/>
        </w:rPr>
      </w:pPr>
    </w:p>
    <w:p w14:paraId="1D12E044">
      <w:pPr>
        <w:pStyle w:val="4"/>
        <w:numPr>
          <w:numId w:val="2"/>
        </w:numPr>
        <w:bidi w:val="0"/>
        <w:rPr>
          <w:rFonts w:hint="eastAsia"/>
        </w:rPr>
      </w:pPr>
      <w:bookmarkStart w:id="10" w:name="_Toc20853"/>
      <w:r>
        <w:rPr>
          <w:rFonts w:hint="eastAsia"/>
        </w:rPr>
        <w:t>《石化化工行业稳增长工作方案（2025-2026年）》</w:t>
      </w:r>
      <w:bookmarkEnd w:id="10"/>
    </w:p>
    <w:p w14:paraId="7B61FAD8">
      <w:pPr>
        <w:rPr>
          <w:rFonts w:hint="eastAsia"/>
        </w:rPr>
      </w:pPr>
    </w:p>
    <w:p w14:paraId="15992C2C">
      <w:pPr>
        <w:rPr>
          <w:rFonts w:hint="eastAsia"/>
        </w:rPr>
      </w:pPr>
      <w:r>
        <w:rPr>
          <w:rFonts w:hint="eastAsia"/>
        </w:rPr>
        <w:t>近日，工业和信息化部等7部门联合印发《石化化工行业稳增长工作方案（2025—2026年）》。《工作方案》明确了石化化工行业稳增长总体要求、主要目标、工作举措和保障措施。总体上从“优供给、促转型、扩消费、强载体、拓合作”五个维度为石化化工行业稳增长“保驾护航”。聚焦石化化工行业发展面临的新形势、新挑战，围绕强创新、提效益、拓需求、优载体、促合作等5方面部署了多项重点任务。</w:t>
      </w:r>
    </w:p>
    <w:p w14:paraId="7B0B443A">
      <w:pPr>
        <w:rPr>
          <w:rFonts w:hint="eastAsia"/>
        </w:rPr>
      </w:pPr>
    </w:p>
    <w:p w14:paraId="5EBC5327">
      <w:pPr>
        <w:rPr>
          <w:rFonts w:hint="eastAsia"/>
        </w:rPr>
      </w:pPr>
      <w:r>
        <w:rPr>
          <w:rFonts w:hint="eastAsia"/>
        </w:rPr>
        <w:t>发文日期：2025年9月2</w:t>
      </w:r>
      <w:r>
        <w:rPr>
          <w:rFonts w:hint="eastAsia"/>
          <w:lang w:val="en-US" w:eastAsia="zh-CN"/>
        </w:rPr>
        <w:t>6</w:t>
      </w:r>
      <w:r>
        <w:rPr>
          <w:rFonts w:hint="eastAsia"/>
        </w:rPr>
        <w:t>日</w:t>
      </w:r>
    </w:p>
    <w:p w14:paraId="7CFB18E5">
      <w:pPr>
        <w:rPr>
          <w:rFonts w:hint="eastAsia"/>
        </w:rPr>
      </w:pPr>
      <w:r>
        <w:rPr>
          <w:rFonts w:hint="eastAsia"/>
        </w:rPr>
        <w:t>发文单位：工业和信息化部、生态环境部、应急管理部、中国人民银行、市场监管总局、金融监管总局、供销合作总社</w:t>
      </w:r>
    </w:p>
    <w:p w14:paraId="64E0FAF1">
      <w:pPr>
        <w:rPr>
          <w:rFonts w:hint="eastAsia"/>
        </w:rPr>
      </w:pPr>
      <w:r>
        <w:rPr>
          <w:rFonts w:hint="eastAsia"/>
        </w:rPr>
        <w:t>原文链接：https://mp.weixin.qq.com/s/E_dHKflZ5lKhylWbEnJaNg</w:t>
      </w:r>
    </w:p>
    <w:p w14:paraId="27406F8F">
      <w:pPr>
        <w:rPr>
          <w:rFonts w:hint="eastAsia"/>
        </w:rPr>
      </w:pPr>
    </w:p>
    <w:p w14:paraId="424277E6">
      <w:pPr>
        <w:pStyle w:val="4"/>
        <w:numPr>
          <w:numId w:val="2"/>
        </w:numPr>
        <w:bidi w:val="0"/>
        <w:rPr>
          <w:rFonts w:hint="eastAsia"/>
        </w:rPr>
      </w:pPr>
      <w:bookmarkStart w:id="11" w:name="_Toc9264"/>
      <w:r>
        <w:rPr>
          <w:rFonts w:hint="eastAsia"/>
        </w:rPr>
        <w:t>《纺织服装创意设计领航集聚区建设指引》</w:t>
      </w:r>
      <w:bookmarkEnd w:id="11"/>
    </w:p>
    <w:p w14:paraId="1B07C4A8">
      <w:pPr>
        <w:rPr>
          <w:rFonts w:hint="eastAsia"/>
        </w:rPr>
      </w:pPr>
    </w:p>
    <w:p w14:paraId="7B1663CE">
      <w:pPr>
        <w:rPr>
          <w:rFonts w:hint="eastAsia"/>
        </w:rPr>
      </w:pPr>
      <w:r>
        <w:rPr>
          <w:rFonts w:hint="eastAsia"/>
        </w:rPr>
        <w:t>日前，工业和信息化部印发《纺织服装创意设计领航集聚区建设指引》，提出到2027年，形成一批特色鲜明的“纺织服装创意设计领航集聚区”，创意设计要素赋能产品创新和品牌成长的作用更加突出，探索形成以创意设计赋能我国纺织服装产业高质量发展的关键路径。到2030年，围绕“纺织服装创意设计领航集聚区”初步建成具有全球竞争力的创意设计体系、引领国际消费市场趋势的产品体系和掌握国际市场话语权的品牌体系，拥有一批具备自主知识产权的优势品牌企业。</w:t>
      </w:r>
    </w:p>
    <w:p w14:paraId="57CC0D75">
      <w:pPr>
        <w:rPr>
          <w:rFonts w:hint="eastAsia"/>
        </w:rPr>
      </w:pPr>
    </w:p>
    <w:p w14:paraId="756DA3E6">
      <w:pPr>
        <w:rPr>
          <w:rFonts w:hint="eastAsia"/>
        </w:rPr>
      </w:pPr>
      <w:r>
        <w:rPr>
          <w:rFonts w:hint="eastAsia"/>
        </w:rPr>
        <w:t>发文日期：2025年9月2</w:t>
      </w:r>
      <w:r>
        <w:rPr>
          <w:rFonts w:hint="eastAsia"/>
          <w:lang w:val="en-US" w:eastAsia="zh-CN"/>
        </w:rPr>
        <w:t>8</w:t>
      </w:r>
      <w:r>
        <w:rPr>
          <w:rFonts w:hint="eastAsia"/>
        </w:rPr>
        <w:t>日</w:t>
      </w:r>
    </w:p>
    <w:p w14:paraId="698F6BBE">
      <w:pPr>
        <w:rPr>
          <w:rFonts w:hint="eastAsia" w:eastAsia="宋体"/>
          <w:lang w:eastAsia="zh-CN"/>
        </w:rPr>
      </w:pPr>
      <w:r>
        <w:rPr>
          <w:rFonts w:hint="eastAsia"/>
        </w:rPr>
        <w:t>发文单位：工业和信息化部</w:t>
      </w:r>
      <w:r>
        <w:rPr>
          <w:rFonts w:hint="eastAsia"/>
          <w:lang w:val="en-US" w:eastAsia="zh-CN"/>
        </w:rPr>
        <w:t xml:space="preserve"> </w:t>
      </w:r>
    </w:p>
    <w:p w14:paraId="75AAC08B">
      <w:pPr>
        <w:rPr>
          <w:rFonts w:hint="eastAsia"/>
        </w:rPr>
      </w:pPr>
      <w:r>
        <w:rPr>
          <w:rFonts w:hint="eastAsia"/>
        </w:rPr>
        <w:t>原文链接：https://mp.weixin.qq.com/s/uDrK0C8IwE2NN4SLd41pFQ</w:t>
      </w:r>
    </w:p>
    <w:p w14:paraId="5BA5DC3C">
      <w:pPr>
        <w:rPr>
          <w:rFonts w:hint="eastAsia"/>
        </w:rPr>
      </w:pPr>
    </w:p>
    <w:p w14:paraId="24ED82A0">
      <w:pPr>
        <w:pStyle w:val="4"/>
        <w:numPr>
          <w:numId w:val="2"/>
        </w:numPr>
        <w:bidi w:val="0"/>
        <w:rPr>
          <w:rFonts w:hint="eastAsia"/>
        </w:rPr>
      </w:pPr>
      <w:bookmarkStart w:id="12" w:name="_Toc324"/>
      <w:r>
        <w:rPr>
          <w:rFonts w:hint="eastAsia"/>
        </w:rPr>
        <w:t>《关于加强数字经济创新型企业培育的若干措施》</w:t>
      </w:r>
      <w:bookmarkEnd w:id="12"/>
    </w:p>
    <w:p w14:paraId="329EDD17">
      <w:pPr>
        <w:rPr>
          <w:rFonts w:hint="eastAsia"/>
        </w:rPr>
      </w:pPr>
    </w:p>
    <w:p w14:paraId="038A2539">
      <w:pPr>
        <w:rPr>
          <w:rFonts w:hint="eastAsia"/>
        </w:rPr>
      </w:pPr>
      <w:r>
        <w:rPr>
          <w:rFonts w:hint="eastAsia"/>
        </w:rPr>
        <w:t>近日，《关于加强数字经济创新型企业培育的若干措施》正式出台。该措施以习近平总书记战略部署为遵循，旨在打造企业赋能体系，助力初创企业发展。《措施》围绕数创企业关键阶段出招，解决成果转化难、订单获取难、创投融资难等问题；围绕发展特性出招，强化多维用数保障和算力资源供给；围绕培育机制出招，建立源头发现、一体培育、创新监管机制，实现全主体协同。未来需形成政策合力，让数创企业成为数字经济发展的先锋力量。</w:t>
      </w:r>
    </w:p>
    <w:p w14:paraId="12466DF3">
      <w:pPr>
        <w:rPr>
          <w:rFonts w:hint="eastAsia"/>
        </w:rPr>
      </w:pPr>
    </w:p>
    <w:p w14:paraId="26EAE034">
      <w:pPr>
        <w:rPr>
          <w:rFonts w:hint="eastAsia"/>
        </w:rPr>
      </w:pPr>
      <w:r>
        <w:rPr>
          <w:rFonts w:hint="eastAsia"/>
        </w:rPr>
        <w:t>发文日期：2025年9月</w:t>
      </w:r>
      <w:r>
        <w:rPr>
          <w:rFonts w:hint="eastAsia"/>
          <w:lang w:val="en-US" w:eastAsia="zh-CN"/>
        </w:rPr>
        <w:t>26</w:t>
      </w:r>
      <w:r>
        <w:rPr>
          <w:rFonts w:hint="eastAsia"/>
        </w:rPr>
        <w:t>日</w:t>
      </w:r>
    </w:p>
    <w:p w14:paraId="1BE06CF6">
      <w:pPr>
        <w:rPr>
          <w:rFonts w:hint="eastAsia"/>
        </w:rPr>
      </w:pPr>
      <w:r>
        <w:rPr>
          <w:rFonts w:hint="eastAsia"/>
        </w:rPr>
        <w:t>发文单位：国家发展改革委、国家数据局、财政部、中国人民银行、金融监管总局、中国证监会</w:t>
      </w:r>
    </w:p>
    <w:p w14:paraId="1A2EAB1A">
      <w:pPr>
        <w:rPr>
          <w:rFonts w:hint="eastAsia"/>
        </w:rPr>
      </w:pPr>
      <w:r>
        <w:rPr>
          <w:rFonts w:hint="eastAsia"/>
        </w:rPr>
        <w:t>原文链接：https://mp.weixin.qq.com/s/FnI6NkQBmomUy5m5fwHGZQ</w:t>
      </w:r>
    </w:p>
    <w:p w14:paraId="226086AE">
      <w:pPr>
        <w:rPr>
          <w:rFonts w:hint="eastAsia"/>
        </w:rPr>
      </w:pPr>
    </w:p>
    <w:p w14:paraId="05642D5D">
      <w:pPr>
        <w:pStyle w:val="4"/>
        <w:numPr>
          <w:numId w:val="2"/>
        </w:numPr>
        <w:bidi w:val="0"/>
        <w:rPr>
          <w:rFonts w:hint="eastAsia"/>
        </w:rPr>
      </w:pPr>
      <w:bookmarkStart w:id="13" w:name="_Toc29293"/>
      <w:r>
        <w:rPr>
          <w:rFonts w:hint="eastAsia"/>
        </w:rPr>
        <w:t>《关于开展消费新业态新模式新场景试点工作的通知》</w:t>
      </w:r>
      <w:bookmarkEnd w:id="13"/>
    </w:p>
    <w:p w14:paraId="50B61EED">
      <w:pPr>
        <w:rPr>
          <w:rFonts w:hint="eastAsia"/>
        </w:rPr>
      </w:pPr>
    </w:p>
    <w:p w14:paraId="139A899E">
      <w:pPr>
        <w:rPr>
          <w:rFonts w:hint="eastAsia"/>
        </w:rPr>
      </w:pPr>
      <w:r>
        <w:rPr>
          <w:rFonts w:hint="eastAsia"/>
        </w:rPr>
        <w:t>为深入贯彻中央经济工作会议决策部署，落实《提振消费专项行动方案》要求，财政部、商务部联合开展消费新业态新模式新场景试点工作。试点目标为健全首发经济服务体系，创新服务消费场景，培育新增长点，更好满足多样化消费需求，为经济高质量发展提供支撑。试点范围涵盖50个左右地市级及以上城市，重点向人口基数大、带动作用强的超大特大城市倾斜，政策实施期两年。支持方向包括三方面：一是健全首发经济服务体系，打造首发中心与集聚区，支持品牌首店建设及首发首秀首展活动；二是创新多元化服务消费场景，推动数字技术在文娱、旅游等领域应用，发展夜间经济，推广外贸优品直供直销；三是促进优质消费资源与知名IP跨界联名，开发周边产品与沉浸式消费空间，培育新型消费龙头企业。</w:t>
      </w:r>
    </w:p>
    <w:p w14:paraId="5B096AE5">
      <w:pPr>
        <w:rPr>
          <w:rFonts w:hint="eastAsia"/>
        </w:rPr>
      </w:pPr>
    </w:p>
    <w:p w14:paraId="0D842C04">
      <w:pPr>
        <w:rPr>
          <w:rFonts w:hint="eastAsia"/>
        </w:rPr>
      </w:pPr>
      <w:r>
        <w:rPr>
          <w:rFonts w:hint="eastAsia"/>
        </w:rPr>
        <w:t>发文日期:2025年9月28日</w:t>
      </w:r>
    </w:p>
    <w:p w14:paraId="60D4A1DE">
      <w:pPr>
        <w:rPr>
          <w:rFonts w:hint="eastAsia"/>
        </w:rPr>
      </w:pPr>
      <w:r>
        <w:rPr>
          <w:rFonts w:hint="eastAsia"/>
        </w:rPr>
        <w:t>发文单位:财政部、商务部</w:t>
      </w:r>
    </w:p>
    <w:p w14:paraId="768A7A9C">
      <w:pPr>
        <w:rPr>
          <w:rFonts w:hint="eastAsia"/>
        </w:rPr>
      </w:pPr>
      <w:r>
        <w:rPr>
          <w:rFonts w:hint="eastAsia"/>
        </w:rPr>
        <w:t>原文链接:https://mp.weixin.qq.com/s/6rdwU9d9ncUFeGjCzdFxGw</w:t>
      </w:r>
    </w:p>
    <w:p w14:paraId="7D0DB5D5">
      <w:pPr>
        <w:rPr>
          <w:rFonts w:hint="eastAsia"/>
        </w:rPr>
      </w:pPr>
    </w:p>
    <w:p w14:paraId="309636AA">
      <w:pPr>
        <w:pStyle w:val="4"/>
        <w:numPr>
          <w:numId w:val="2"/>
        </w:numPr>
        <w:bidi w:val="0"/>
        <w:rPr>
          <w:rFonts w:hint="eastAsia"/>
        </w:rPr>
      </w:pPr>
      <w:bookmarkStart w:id="14" w:name="_Toc11575"/>
      <w:r>
        <w:rPr>
          <w:rFonts w:hint="eastAsia"/>
        </w:rPr>
        <w:t>《关于大力发展数字消费共创数字时代美好生活的指导意见》</w:t>
      </w:r>
      <w:bookmarkEnd w:id="14"/>
    </w:p>
    <w:p w14:paraId="4577C9CE">
      <w:pPr>
        <w:rPr>
          <w:rFonts w:hint="eastAsia"/>
        </w:rPr>
      </w:pPr>
    </w:p>
    <w:p w14:paraId="2684E63C">
      <w:pPr>
        <w:rPr>
          <w:rFonts w:hint="eastAsia"/>
        </w:rPr>
      </w:pPr>
      <w:r>
        <w:rPr>
          <w:rFonts w:hint="eastAsia"/>
        </w:rPr>
        <w:t>商务部、文化和旅游部等8部门近日联合印发《关于大力发展数字消费共创数字时代美好生活的指导意见》，聚焦供需两侧协同发力，从4方面提出14项任务举措。《意见》明确，以满足人民日益增长的美好生活需要为出发点和落脚点，扩大数字消费多元化供给，创新丰富消费场景，促进更高水平供需动态平衡。在丰富数字消费领域供给方面，《意见》提出鼓励运用人工智能、虚拟现实等技术赋能文博场馆、旅游景区等场所，打造沉浸式消费场景；推动网络视听精品化发展，创新“微短剧+文旅”模式；加快建设智慧街区、智慧门店等数字化载体，推进城市数字更新。</w:t>
      </w:r>
    </w:p>
    <w:p w14:paraId="4B752C9B">
      <w:pPr>
        <w:rPr>
          <w:rFonts w:hint="eastAsia"/>
        </w:rPr>
      </w:pPr>
    </w:p>
    <w:p w14:paraId="5E083F71">
      <w:pPr>
        <w:rPr>
          <w:rFonts w:hint="eastAsia"/>
        </w:rPr>
      </w:pPr>
      <w:r>
        <w:rPr>
          <w:rFonts w:hint="eastAsia"/>
        </w:rPr>
        <w:t>发文日期:2025年</w:t>
      </w:r>
      <w:r>
        <w:rPr>
          <w:rFonts w:hint="eastAsia"/>
          <w:lang w:val="en-US" w:eastAsia="zh-CN"/>
        </w:rPr>
        <w:t>9</w:t>
      </w:r>
      <w:r>
        <w:rPr>
          <w:rFonts w:hint="eastAsia"/>
        </w:rPr>
        <w:t>月2</w:t>
      </w:r>
      <w:r>
        <w:rPr>
          <w:rFonts w:hint="eastAsia"/>
          <w:lang w:val="en-US" w:eastAsia="zh-CN"/>
        </w:rPr>
        <w:t>6</w:t>
      </w:r>
      <w:r>
        <w:rPr>
          <w:rFonts w:hint="eastAsia"/>
        </w:rPr>
        <w:t>日</w:t>
      </w:r>
    </w:p>
    <w:p w14:paraId="08E860F3">
      <w:pPr>
        <w:rPr>
          <w:rFonts w:hint="eastAsia"/>
        </w:rPr>
      </w:pPr>
      <w:r>
        <w:rPr>
          <w:rFonts w:hint="eastAsia"/>
        </w:rPr>
        <w:t>发文单位:商务部、国家发展改革委、工业和信息化部、自然资源部、交通运输部、文化和旅游部、市场监管总局、国家数据局</w:t>
      </w:r>
    </w:p>
    <w:p w14:paraId="17A87ACC">
      <w:pPr>
        <w:rPr>
          <w:rFonts w:hint="eastAsia"/>
        </w:rPr>
      </w:pPr>
      <w:r>
        <w:rPr>
          <w:rFonts w:hint="eastAsia"/>
        </w:rPr>
        <w:t>原文链接:https://mp.weixin.qq.com/s/Lj-PqkOtZnj0w1uluJVxKA</w:t>
      </w:r>
    </w:p>
    <w:p w14:paraId="7A0F9A2F">
      <w:pPr>
        <w:rPr>
          <w:rFonts w:hint="eastAsia"/>
        </w:rPr>
      </w:pPr>
    </w:p>
    <w:p w14:paraId="7B5380F8">
      <w:pPr>
        <w:pStyle w:val="4"/>
        <w:numPr>
          <w:numId w:val="2"/>
        </w:numPr>
        <w:bidi w:val="0"/>
        <w:rPr>
          <w:rFonts w:hint="eastAsia"/>
        </w:rPr>
      </w:pPr>
      <w:bookmarkStart w:id="15" w:name="_Toc7094"/>
      <w:r>
        <w:rPr>
          <w:rFonts w:hint="eastAsia"/>
        </w:rPr>
        <w:t>《促进农产品消费实施方案》</w:t>
      </w:r>
      <w:bookmarkEnd w:id="15"/>
    </w:p>
    <w:p w14:paraId="7559791D">
      <w:pPr>
        <w:rPr>
          <w:rFonts w:hint="eastAsia"/>
        </w:rPr>
      </w:pPr>
    </w:p>
    <w:p w14:paraId="0866C2CA">
      <w:pPr>
        <w:rPr>
          <w:rFonts w:hint="eastAsia"/>
        </w:rPr>
      </w:pPr>
      <w:r>
        <w:rPr>
          <w:rFonts w:hint="eastAsia"/>
        </w:rPr>
        <w:t>为贯彻党中央、国务院提振消费决策部署，扩大农产品消费，农业农村部等十部门联合制定本方案。方案从多方面发力，一是优化供给，包括提升“三品一标”水平、推进品质评价分级、开发新型加工产品和创新地方特色食品；二是拓宽线下渠道，创新节庆展会平台、丰富消费场景、提升城乡消费设施；三是提升网络消费质效，挖掘销售潜力、提升直播电商水平；四是开展区域合作，创新省际衔接、协同产销对接；五是组织科普宣传，提升营养服务、强化宣传引导；六是强化品牌引领，实施精品培育计划、强化目录引领、提升营销服务；七是推进农文旅融合，深化游购一体、办好文体活动；八是促进内外联动，畅通拓内销渠道、对接规则机制；九是加强部门协同，完善配套措施、强化财政金融支持、推进全链条监管。</w:t>
      </w:r>
    </w:p>
    <w:p w14:paraId="271326DF">
      <w:pPr>
        <w:rPr>
          <w:rFonts w:hint="eastAsia"/>
        </w:rPr>
      </w:pPr>
    </w:p>
    <w:p w14:paraId="4CA3F9CB">
      <w:pPr>
        <w:rPr>
          <w:rFonts w:hint="eastAsia"/>
        </w:rPr>
      </w:pPr>
      <w:r>
        <w:rPr>
          <w:rFonts w:hint="eastAsia"/>
        </w:rPr>
        <w:t>发文日期：2025年</w:t>
      </w:r>
      <w:r>
        <w:rPr>
          <w:rFonts w:hint="eastAsia"/>
          <w:lang w:val="en-US" w:eastAsia="zh-CN"/>
        </w:rPr>
        <w:t>10</w:t>
      </w:r>
      <w:r>
        <w:rPr>
          <w:rFonts w:hint="eastAsia"/>
        </w:rPr>
        <w:t>月</w:t>
      </w:r>
      <w:r>
        <w:rPr>
          <w:rFonts w:hint="eastAsia"/>
          <w:lang w:val="en-US" w:eastAsia="zh-CN"/>
        </w:rPr>
        <w:t>9</w:t>
      </w:r>
      <w:r>
        <w:rPr>
          <w:rFonts w:hint="eastAsia"/>
        </w:rPr>
        <w:t>日</w:t>
      </w:r>
    </w:p>
    <w:p w14:paraId="38BF6EA2">
      <w:pPr>
        <w:rPr>
          <w:rFonts w:hint="eastAsia"/>
        </w:rPr>
      </w:pPr>
      <w:r>
        <w:rPr>
          <w:rFonts w:hint="eastAsia"/>
        </w:rPr>
        <w:t>发文单位：农业农村部、国家发展改革委、教育部、工业和信息化部、商务部、文化和旅游部、国家卫生健康委、市场监管总局、体育总局、国家知识产权局</w:t>
      </w:r>
    </w:p>
    <w:p w14:paraId="310BB623">
      <w:pPr>
        <w:rPr>
          <w:rFonts w:hint="eastAsia"/>
        </w:rPr>
      </w:pPr>
      <w:r>
        <w:rPr>
          <w:rFonts w:hint="eastAsia"/>
        </w:rPr>
        <w:t>原文链接：https://mp.weixin.qq.com/s/3g3M-eWgnYfzwCJvokIy-g</w:t>
      </w:r>
    </w:p>
    <w:p w14:paraId="6ED8360A">
      <w:pPr>
        <w:rPr>
          <w:rFonts w:hint="eastAsia"/>
        </w:rPr>
      </w:pPr>
    </w:p>
    <w:p w14:paraId="7F27F86D">
      <w:pPr>
        <w:pStyle w:val="3"/>
        <w:rPr>
          <w:rFonts w:hint="eastAsia"/>
        </w:rPr>
      </w:pPr>
      <w:bookmarkStart w:id="16" w:name="_Toc22165"/>
      <w:r>
        <w:rPr>
          <w:rFonts w:hint="eastAsia"/>
        </w:rPr>
        <w:t>湖北省</w:t>
      </w:r>
      <w:bookmarkEnd w:id="16"/>
    </w:p>
    <w:p w14:paraId="04E1E5D9">
      <w:pPr>
        <w:rPr>
          <w:rFonts w:hint="eastAsia"/>
        </w:rPr>
      </w:pPr>
    </w:p>
    <w:p w14:paraId="6F9AC172">
      <w:pPr>
        <w:pStyle w:val="4"/>
        <w:numPr>
          <w:numId w:val="3"/>
        </w:numPr>
        <w:bidi w:val="0"/>
        <w:rPr>
          <w:rFonts w:hint="eastAsia"/>
        </w:rPr>
      </w:pPr>
      <w:bookmarkStart w:id="17" w:name="_Toc10771"/>
      <w:r>
        <w:rPr>
          <w:rFonts w:hint="eastAsia"/>
        </w:rPr>
        <w:t>《〈湖北省数据条例〉贯彻实施工作方案》</w:t>
      </w:r>
      <w:bookmarkEnd w:id="17"/>
    </w:p>
    <w:p w14:paraId="7EAEB527">
      <w:pPr>
        <w:rPr>
          <w:rFonts w:hint="eastAsia"/>
        </w:rPr>
      </w:pPr>
    </w:p>
    <w:p w14:paraId="6B42E67A">
      <w:pPr>
        <w:rPr>
          <w:rFonts w:hint="default" w:eastAsia="宋体"/>
          <w:lang w:val="en-US" w:eastAsia="zh-CN"/>
        </w:rPr>
      </w:pPr>
      <w:r>
        <w:rPr>
          <w:rFonts w:hint="eastAsia"/>
        </w:rPr>
        <w:t>《湖北省数据条例》（以下简称《条例》）已经省第十四届人民代表大会常务委员会第十九次会议审议通过，自2025年10月1日起施行。为做好《条例》贯彻实施工作，制定如下工作方案。</w:t>
      </w:r>
      <w:r>
        <w:rPr>
          <w:rFonts w:hint="eastAsia"/>
          <w:lang w:val="en-US" w:eastAsia="zh-CN"/>
        </w:rPr>
        <w:t>包括以下举措：开展《条例》学习宣传培训、制定配套制度和政策措施并组织实施、加强数据权益保护、推动数据资源开发利用、建设高效有序的数据要素市场、完善数据基础保障与监管体系、开展《条例》监督检查</w:t>
      </w:r>
    </w:p>
    <w:p w14:paraId="11471D70">
      <w:pPr>
        <w:rPr>
          <w:rFonts w:hint="eastAsia"/>
        </w:rPr>
      </w:pPr>
    </w:p>
    <w:p w14:paraId="33F5342D">
      <w:pPr>
        <w:rPr>
          <w:rFonts w:hint="eastAsia"/>
        </w:rPr>
      </w:pPr>
      <w:r>
        <w:rPr>
          <w:rFonts w:hint="eastAsia"/>
        </w:rPr>
        <w:t>发文日期：2025年</w:t>
      </w:r>
      <w:r>
        <w:rPr>
          <w:rFonts w:hint="eastAsia"/>
          <w:lang w:val="en-US" w:eastAsia="zh-CN"/>
        </w:rPr>
        <w:t>10</w:t>
      </w:r>
      <w:r>
        <w:rPr>
          <w:rFonts w:hint="eastAsia"/>
        </w:rPr>
        <w:t>月</w:t>
      </w:r>
      <w:r>
        <w:rPr>
          <w:rFonts w:hint="eastAsia"/>
          <w:lang w:val="en-US" w:eastAsia="zh-CN"/>
        </w:rPr>
        <w:t>9</w:t>
      </w:r>
      <w:r>
        <w:rPr>
          <w:rFonts w:hint="eastAsia"/>
        </w:rPr>
        <w:t>日</w:t>
      </w:r>
    </w:p>
    <w:p w14:paraId="723037D2">
      <w:pPr>
        <w:rPr>
          <w:rFonts w:hint="eastAsia"/>
        </w:rPr>
      </w:pPr>
      <w:r>
        <w:rPr>
          <w:rFonts w:hint="eastAsia"/>
        </w:rPr>
        <w:t>发文单位：湖北省人民政府办公厅</w:t>
      </w:r>
    </w:p>
    <w:p w14:paraId="0958636A">
      <w:pPr>
        <w:rPr>
          <w:rFonts w:hint="eastAsia"/>
        </w:rPr>
      </w:pPr>
      <w:r>
        <w:rPr>
          <w:rFonts w:hint="eastAsia"/>
        </w:rPr>
        <w:t>原文链接：https://mp.weixin.qq.com/s/8YkV39lkKiJHf4OvNgtj1A</w:t>
      </w:r>
    </w:p>
    <w:p w14:paraId="29B578FB"/>
    <w:p w14:paraId="3756A11C">
      <w:pPr>
        <w:pStyle w:val="4"/>
        <w:numPr>
          <w:numId w:val="3"/>
        </w:numPr>
        <w:bidi w:val="0"/>
        <w:rPr>
          <w:rFonts w:hint="eastAsia"/>
        </w:rPr>
      </w:pPr>
      <w:bookmarkStart w:id="18" w:name="_Toc7605"/>
      <w:r>
        <w:rPr>
          <w:rFonts w:hint="eastAsia"/>
        </w:rPr>
        <w:t>《关于引导支持和服务保障企业开展产品技术创新、商业模式创新、经营管理创新的工作方案》</w:t>
      </w:r>
      <w:bookmarkEnd w:id="18"/>
    </w:p>
    <w:p w14:paraId="57C5065F">
      <w:pPr>
        <w:rPr>
          <w:rFonts w:hint="eastAsia"/>
        </w:rPr>
      </w:pPr>
    </w:p>
    <w:p w14:paraId="2DA41047">
      <w:pPr>
        <w:rPr>
          <w:rFonts w:hint="eastAsia"/>
        </w:rPr>
      </w:pPr>
      <w:r>
        <w:rPr>
          <w:rFonts w:hint="eastAsia"/>
        </w:rPr>
        <w:t>为深入学习贯彻习近平总书记考察湖北重要讲话精神，落实省委、省政府创新发展部署，湖北省制定十六条工作方案，从产品技术、商业模式、经营管理三方面引导支持企业创新，助力构建现代化产业体系。这是湖北省首次系统性地对三类创新活动进行全链条引导和支持。旨在通过支持企业推进“三类创新”，破解供需错配难题，重构参与国内外市场竞争的质量优势、效率优势和公信力优势。</w:t>
      </w:r>
    </w:p>
    <w:p w14:paraId="505D2B1D">
      <w:pPr>
        <w:rPr>
          <w:rFonts w:hint="eastAsia"/>
        </w:rPr>
      </w:pPr>
    </w:p>
    <w:p w14:paraId="0181110B">
      <w:pPr>
        <w:rPr>
          <w:rFonts w:hint="eastAsia"/>
        </w:rPr>
      </w:pPr>
    </w:p>
    <w:p w14:paraId="6A9286F6">
      <w:pPr>
        <w:rPr>
          <w:rFonts w:hint="eastAsia"/>
        </w:rPr>
      </w:pPr>
      <w:r>
        <w:rPr>
          <w:rFonts w:hint="eastAsia"/>
        </w:rPr>
        <w:t>发文日期:2025年09月26日</w:t>
      </w:r>
    </w:p>
    <w:p w14:paraId="600CAF46">
      <w:pPr>
        <w:rPr>
          <w:rFonts w:hint="eastAsia" w:eastAsia="宋体"/>
          <w:lang w:eastAsia="zh-CN"/>
        </w:rPr>
      </w:pPr>
      <w:r>
        <w:rPr>
          <w:rFonts w:hint="eastAsia"/>
        </w:rPr>
        <w:t>发文单位:湖北省人民政府办公厅</w:t>
      </w:r>
    </w:p>
    <w:p w14:paraId="70BC5350">
      <w:pPr>
        <w:rPr>
          <w:rFonts w:hint="eastAsia"/>
        </w:rPr>
      </w:pPr>
      <w:r>
        <w:rPr>
          <w:rFonts w:hint="eastAsia"/>
        </w:rPr>
        <w:t>原文链接:https://mp.weixin.qq.com/s/lUFPENtxHrYEc2YP55sOOQ</w:t>
      </w:r>
    </w:p>
    <w:p w14:paraId="248B4E7E">
      <w:pPr>
        <w:rPr>
          <w:rFonts w:hint="eastAsia"/>
        </w:rPr>
      </w:pPr>
    </w:p>
    <w:p w14:paraId="6A3BF707">
      <w:pPr>
        <w:pStyle w:val="4"/>
        <w:numPr>
          <w:numId w:val="3"/>
        </w:numPr>
        <w:bidi w:val="0"/>
        <w:rPr>
          <w:rFonts w:hint="eastAsia"/>
        </w:rPr>
      </w:pPr>
      <w:bookmarkStart w:id="19" w:name="_Toc18730"/>
      <w:r>
        <w:rPr>
          <w:rFonts w:hint="eastAsia"/>
        </w:rPr>
        <w:t>《关于支持脑机接口产业创新发展的若干措施》</w:t>
      </w:r>
      <w:bookmarkEnd w:id="19"/>
    </w:p>
    <w:p w14:paraId="161B3720">
      <w:pPr>
        <w:rPr>
          <w:rFonts w:hint="eastAsia"/>
        </w:rPr>
      </w:pPr>
    </w:p>
    <w:p w14:paraId="573AB633">
      <w:pPr>
        <w:rPr>
          <w:rFonts w:hint="eastAsia"/>
        </w:rPr>
      </w:pPr>
      <w:r>
        <w:rPr>
          <w:rFonts w:hint="eastAsia"/>
        </w:rPr>
        <w:t>近日，东湖高新区印发《关于支持脑机接口产业创新发展的若干措施》，围绕技术产品攻关、成果应用、创新主体培育、产业生态构建等五方面推出政策举措，加快培育脑机接口产业。为推进产业建设，东湖高新区实施""五个一""路径：成立产业联盟、建设特色园区、出台专项政策、发布应用场景、设立产业基金。8月，湖北脑机接口产业创新发展联盟在光谷成立，聚合多方资源加速成果落地。目前正推进光谷脑机接口产业集聚区建设，其创新驱动核——国际脑机接口创新中心由该区联合同济医院等单位共建，将构建全链条服务体系。</w:t>
      </w:r>
    </w:p>
    <w:p w14:paraId="52B7F1BD">
      <w:pPr>
        <w:rPr>
          <w:rFonts w:hint="eastAsia"/>
        </w:rPr>
      </w:pPr>
    </w:p>
    <w:p w14:paraId="6CA8A29D">
      <w:pPr>
        <w:rPr>
          <w:rFonts w:hint="eastAsia"/>
        </w:rPr>
      </w:pPr>
      <w:r>
        <w:rPr>
          <w:rFonts w:hint="eastAsia"/>
        </w:rPr>
        <w:t>发文日期:2025年10月9日</w:t>
      </w:r>
    </w:p>
    <w:p w14:paraId="0F3C8B14">
      <w:pPr>
        <w:rPr>
          <w:rFonts w:hint="eastAsia"/>
        </w:rPr>
      </w:pPr>
      <w:r>
        <w:rPr>
          <w:rFonts w:hint="eastAsia"/>
        </w:rPr>
        <w:t>发文单位:东湖高新区</w:t>
      </w:r>
    </w:p>
    <w:p w14:paraId="46102C09">
      <w:pPr>
        <w:rPr>
          <w:rFonts w:hint="eastAsia"/>
        </w:rPr>
      </w:pPr>
      <w:r>
        <w:rPr>
          <w:rFonts w:hint="eastAsia"/>
        </w:rPr>
        <w:t>原文链接:https://mp.weixin.qq.com/s/x6QHbNo6hS9pDog9ODO9SA</w:t>
      </w:r>
    </w:p>
    <w:p w14:paraId="55492FE5">
      <w:pPr>
        <w:rPr>
          <w:rFonts w:hint="eastAsia"/>
        </w:rPr>
      </w:pPr>
    </w:p>
    <w:p w14:paraId="0060965B">
      <w:pPr>
        <w:rPr>
          <w:rFonts w:hint="eastAsia"/>
        </w:rPr>
      </w:pPr>
    </w:p>
    <w:p w14:paraId="04C4D324">
      <w:pPr>
        <w:pStyle w:val="2"/>
        <w:rPr>
          <w:rFonts w:hint="eastAsia"/>
        </w:rPr>
      </w:pPr>
      <w:bookmarkStart w:id="20" w:name="_Toc428"/>
      <w:r>
        <w:rPr>
          <w:rFonts w:hint="eastAsia"/>
        </w:rPr>
        <w:t>热点.资讯</w:t>
      </w:r>
      <w:bookmarkEnd w:id="20"/>
    </w:p>
    <w:p w14:paraId="690BA85F"/>
    <w:p w14:paraId="71405F28">
      <w:pPr>
        <w:pStyle w:val="4"/>
        <w:numPr>
          <w:numId w:val="4"/>
        </w:numPr>
        <w:bidi w:val="0"/>
        <w:rPr>
          <w:rFonts w:hint="eastAsia"/>
        </w:rPr>
      </w:pPr>
      <w:bookmarkStart w:id="21" w:name="_Toc32183"/>
      <w:r>
        <w:rPr>
          <w:rFonts w:hint="eastAsia"/>
        </w:rPr>
        <w:t>工信部向中国移动颁发卫星移动通信业务经营许可</w:t>
      </w:r>
      <w:bookmarkEnd w:id="21"/>
    </w:p>
    <w:p w14:paraId="63E8FFA0">
      <w:pPr>
        <w:rPr>
          <w:rFonts w:hint="eastAsia"/>
        </w:rPr>
      </w:pPr>
    </w:p>
    <w:p w14:paraId="55AB05E7">
      <w:pPr>
        <w:rPr>
          <w:rFonts w:hint="eastAsia"/>
        </w:rPr>
      </w:pPr>
      <w:r>
        <w:rPr>
          <w:rFonts w:hint="eastAsia"/>
        </w:rPr>
        <w:t>按照《关于优化业务准入促进卫星通信产业发展的指导意见》部署，工业和信息化部近日向中国移动通信集团有限公司颁发卫星移动通信业务经营许可。至此，继中国电信后，中国移动、中国联通两家基础电信企业均已获得该业务经营资质，可依法开展手机直连卫星等业务，深化应急通信、海事通信、偏远地区通信等场景应用，丰富通信服务与产品供给。下一步，工信部将深入贯彻落实党中央、国务院决策部署，统筹发展和安全，进一步优化卫星通信市场准入，强化全链条监管与安全保障，促进我国卫星通信产业高质量发展，有力支撑网络强国、航天强国、数字中国建设。</w:t>
      </w:r>
    </w:p>
    <w:p w14:paraId="41314DA9">
      <w:pPr>
        <w:rPr>
          <w:rFonts w:hint="eastAsia"/>
        </w:rPr>
      </w:pPr>
    </w:p>
    <w:p w14:paraId="34B54948">
      <w:pPr>
        <w:rPr>
          <w:rFonts w:hint="eastAsia"/>
        </w:rPr>
      </w:pPr>
      <w:r>
        <w:rPr>
          <w:rFonts w:hint="eastAsia"/>
        </w:rPr>
        <w:t>发文日期:2025年9月29日</w:t>
      </w:r>
    </w:p>
    <w:p w14:paraId="5F1B2FAD">
      <w:pPr>
        <w:rPr>
          <w:rFonts w:hint="eastAsia"/>
        </w:rPr>
      </w:pPr>
      <w:r>
        <w:rPr>
          <w:rFonts w:hint="eastAsia"/>
        </w:rPr>
        <w:t>发文单位:工业和信息化部</w:t>
      </w:r>
    </w:p>
    <w:p w14:paraId="486FFA3F">
      <w:pPr>
        <w:rPr>
          <w:rFonts w:hint="eastAsia"/>
        </w:rPr>
      </w:pPr>
      <w:r>
        <w:rPr>
          <w:rFonts w:hint="eastAsia"/>
        </w:rPr>
        <w:t>原文链接:https://mp.weixin.qq.com/s/494XXpy8nLfGuHw4HxCsew</w:t>
      </w:r>
    </w:p>
    <w:p w14:paraId="5D458C87">
      <w:pPr>
        <w:rPr>
          <w:rFonts w:hint="eastAsia"/>
        </w:rPr>
      </w:pPr>
    </w:p>
    <w:p w14:paraId="1CB47F7C">
      <w:pPr>
        <w:pStyle w:val="4"/>
        <w:numPr>
          <w:numId w:val="4"/>
        </w:numPr>
        <w:bidi w:val="0"/>
        <w:rPr>
          <w:rFonts w:hint="eastAsia"/>
        </w:rPr>
      </w:pPr>
      <w:bookmarkStart w:id="22" w:name="_Toc22098"/>
      <w:r>
        <w:rPr>
          <w:rFonts w:hint="eastAsia"/>
        </w:rPr>
        <w:t>首批制造业数字化转型促进中心建设主体名单公布</w:t>
      </w:r>
      <w:r>
        <w:rPr>
          <w:rFonts w:hint="eastAsia"/>
          <w:lang w:eastAsia="zh-CN"/>
        </w:rPr>
        <w:t>，</w:t>
      </w:r>
      <w:r>
        <w:rPr>
          <w:rFonts w:hint="eastAsia"/>
        </w:rPr>
        <w:t>湖北3个上榜</w:t>
      </w:r>
      <w:bookmarkEnd w:id="22"/>
      <w:bookmarkStart w:id="24" w:name="_GoBack"/>
      <w:bookmarkEnd w:id="24"/>
    </w:p>
    <w:p w14:paraId="4A16E7A6">
      <w:pPr>
        <w:rPr>
          <w:rFonts w:hint="eastAsia"/>
        </w:rPr>
      </w:pPr>
    </w:p>
    <w:p w14:paraId="24194306">
      <w:pPr>
        <w:rPr>
          <w:rFonts w:hint="eastAsia"/>
        </w:rPr>
      </w:pPr>
      <w:r>
        <w:rPr>
          <w:rFonts w:hint="eastAsia"/>
        </w:rPr>
        <w:t>近日，工业和信息化部公布首批制造业数字化转型促进中心建设主体名单，62家单位榜上有名。湖北3家企业入选，分别是：格创东智科技有限公司、湖北三宁化工股份有限公司、湖北中科产业技术研究院有限公司。首批制造业数字化转型促进中心的落地，标志着我国制造业数字化转型进入 “精准赋能、生态共建” 的新阶段，将为制造业高质量发展注入强劲动能。。</w:t>
      </w:r>
    </w:p>
    <w:p w14:paraId="287EA8DF">
      <w:pPr>
        <w:rPr>
          <w:rFonts w:hint="eastAsia"/>
        </w:rPr>
      </w:pPr>
    </w:p>
    <w:p w14:paraId="0EA2069D">
      <w:pPr>
        <w:rPr>
          <w:rFonts w:hint="eastAsia"/>
        </w:rPr>
      </w:pPr>
      <w:r>
        <w:rPr>
          <w:rFonts w:hint="eastAsia"/>
        </w:rPr>
        <w:t>发文日期:2025年</w:t>
      </w:r>
      <w:r>
        <w:rPr>
          <w:rFonts w:hint="eastAsia"/>
          <w:lang w:val="en-US" w:eastAsia="zh-CN"/>
        </w:rPr>
        <w:t>10</w:t>
      </w:r>
      <w:r>
        <w:rPr>
          <w:rFonts w:hint="eastAsia"/>
        </w:rPr>
        <w:t>月</w:t>
      </w:r>
      <w:r>
        <w:rPr>
          <w:rFonts w:hint="eastAsia"/>
          <w:lang w:val="en-US" w:eastAsia="zh-CN"/>
        </w:rPr>
        <w:t>8</w:t>
      </w:r>
      <w:r>
        <w:rPr>
          <w:rFonts w:hint="eastAsia"/>
        </w:rPr>
        <w:t>日</w:t>
      </w:r>
    </w:p>
    <w:p w14:paraId="329C809F">
      <w:pPr>
        <w:rPr>
          <w:rFonts w:hint="eastAsia" w:eastAsia="宋体"/>
          <w:lang w:eastAsia="zh-CN"/>
        </w:rPr>
      </w:pPr>
      <w:r>
        <w:rPr>
          <w:rFonts w:hint="eastAsia"/>
        </w:rPr>
        <w:t>发文单位:工业和信息化部</w:t>
      </w:r>
      <w:r>
        <w:rPr>
          <w:rFonts w:hint="eastAsia"/>
          <w:lang w:val="en-US" w:eastAsia="zh-CN"/>
        </w:rPr>
        <w:t xml:space="preserve"> </w:t>
      </w:r>
    </w:p>
    <w:p w14:paraId="48FE3F3D">
      <w:pPr>
        <w:rPr>
          <w:rFonts w:hint="eastAsia"/>
        </w:rPr>
      </w:pPr>
      <w:r>
        <w:rPr>
          <w:rFonts w:hint="eastAsia"/>
        </w:rPr>
        <w:t>原文链接:https://mp.weixin.qq.com/s/xPoV2o_jz1UNi9kKqbUb1A</w:t>
      </w:r>
    </w:p>
    <w:p w14:paraId="125CB10B">
      <w:pPr>
        <w:rPr>
          <w:rFonts w:hint="eastAsia"/>
        </w:rPr>
      </w:pPr>
    </w:p>
    <w:p w14:paraId="60DDC6FB">
      <w:pPr>
        <w:pStyle w:val="4"/>
        <w:bidi w:val="0"/>
        <w:rPr>
          <w:rFonts w:hint="eastAsia"/>
        </w:rPr>
      </w:pPr>
      <w:bookmarkStart w:id="23" w:name="_Toc28152"/>
      <w:r>
        <w:rPr>
          <w:rFonts w:hint="eastAsia"/>
        </w:rPr>
        <w:t>王忠林出席2025年四季度全省重大项目建设推进会</w:t>
      </w:r>
      <w:bookmarkEnd w:id="23"/>
      <w:r>
        <w:rPr>
          <w:rFonts w:hint="eastAsia"/>
        </w:rPr>
        <w:t xml:space="preserve"> </w:t>
      </w:r>
    </w:p>
    <w:p w14:paraId="00E2A433">
      <w:pPr>
        <w:rPr>
          <w:rFonts w:hint="eastAsia"/>
        </w:rPr>
      </w:pPr>
    </w:p>
    <w:p w14:paraId="3D053E44">
      <w:pPr>
        <w:rPr>
          <w:rFonts w:hint="eastAsia"/>
        </w:rPr>
      </w:pPr>
      <w:r>
        <w:rPr>
          <w:rFonts w:hint="eastAsia"/>
        </w:rPr>
        <w:t>10月9日上午，2025年四季度全省重大项目建设推进会召开。省委书记、省人大常委会主任王忠林出席会议并强调，要深入学习贯彻习近平总书记考察湖北重要讲话精神，鼓足干劲、加压奋进，奋战四季度、决胜“十四五”，在全省持续掀起大抓项目、抓大项目的热潮，为加快建成中部地区崛起的重要战略支点作出更大贡献。王忠林强调，要突出工作重点，切实提升项目投资的效率、效益、效能。坚持供需两端发力，聚焦经济社会发展的重点领域和薄弱环节，持续扩大对带动就业、改善民生、提振经济效果好的项目投资，着力提升投资的有效性。</w:t>
      </w:r>
    </w:p>
    <w:p w14:paraId="0723D620">
      <w:pPr>
        <w:rPr>
          <w:rFonts w:hint="eastAsia"/>
          <w:lang w:val="en-US" w:eastAsia="zh-CN"/>
        </w:rPr>
      </w:pPr>
    </w:p>
    <w:p w14:paraId="2D242840">
      <w:pPr>
        <w:rPr>
          <w:rFonts w:hint="eastAsia"/>
        </w:rPr>
      </w:pPr>
      <w:r>
        <w:rPr>
          <w:rFonts w:hint="eastAsia"/>
        </w:rPr>
        <w:t>发文日期:2025年</w:t>
      </w:r>
      <w:r>
        <w:rPr>
          <w:rFonts w:hint="eastAsia"/>
          <w:lang w:val="en-US" w:eastAsia="zh-CN"/>
        </w:rPr>
        <w:t>10</w:t>
      </w:r>
      <w:r>
        <w:rPr>
          <w:rFonts w:hint="eastAsia"/>
        </w:rPr>
        <w:t>月</w:t>
      </w:r>
      <w:r>
        <w:rPr>
          <w:rFonts w:hint="eastAsia"/>
          <w:lang w:val="en-US" w:eastAsia="zh-CN"/>
        </w:rPr>
        <w:t>10</w:t>
      </w:r>
      <w:r>
        <w:rPr>
          <w:rFonts w:hint="eastAsia"/>
        </w:rPr>
        <w:t>日</w:t>
      </w:r>
    </w:p>
    <w:p w14:paraId="2F6E6080">
      <w:pPr>
        <w:rPr>
          <w:rFonts w:hint="eastAsia"/>
        </w:rPr>
      </w:pPr>
      <w:r>
        <w:rPr>
          <w:rFonts w:hint="eastAsia"/>
        </w:rPr>
        <w:t>发文单位:</w:t>
      </w:r>
      <w:r>
        <w:rPr>
          <w:rFonts w:hint="eastAsia"/>
          <w:lang w:val="en-US" w:eastAsia="zh-CN"/>
        </w:rPr>
        <w:t>湖北省政府</w:t>
      </w:r>
    </w:p>
    <w:p w14:paraId="6BA380E0">
      <w:pPr>
        <w:rPr>
          <w:rFonts w:hint="eastAsia"/>
          <w:lang w:val="en-US" w:eastAsia="zh-CN"/>
        </w:rPr>
      </w:pPr>
      <w:r>
        <w:rPr>
          <w:rFonts w:hint="eastAsia"/>
        </w:rPr>
        <w:t>原文链接:https://mp.weixin.qq.com/s/mOn1Twy5KsD7x4wVIVnBdQ</w:t>
      </w: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微软雅黑"/>
    <w:panose1 w:val="020B0604020202020204"/>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B0604020202020204"/>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03CB5">
    <w:pPr>
      <w:pStyle w:val="12"/>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F2796F">
                          <w:pPr>
                            <w:pStyle w:val="12"/>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35F2796F">
                    <w:pPr>
                      <w:pStyle w:val="12"/>
                    </w:pPr>
                    <w:r>
                      <w:fldChar w:fldCharType="begin"/>
                    </w:r>
                    <w:r>
                      <w:instrText xml:space="preserve"> PAGE  \* MERGEFORMAT </w:instrText>
                    </w:r>
                    <w:r>
                      <w:fldChar w:fldCharType="separate"/>
                    </w:r>
                    <w:r>
                      <w:t>20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1AAF6"/>
    <w:multiLevelType w:val="singleLevel"/>
    <w:tmpl w:val="9661AAF6"/>
    <w:lvl w:ilvl="0" w:tentative="0">
      <w:start w:val="1"/>
      <w:numFmt w:val="decimal"/>
      <w:pStyle w:val="4"/>
      <w:lvlText w:val="(%1)"/>
      <w:lvlJc w:val="left"/>
      <w:pPr>
        <w:ind w:left="425" w:hanging="425"/>
      </w:pPr>
      <w:rPr>
        <w:rFonts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hideSpellingErrors/>
  <w:hideGrammaticalErrors/>
  <w:documentProtection w:enforcement="0"/>
  <w:defaultTabStop w:val="36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B87749"/>
    <w:rsid w:val="00005CCC"/>
    <w:rsid w:val="00010FD5"/>
    <w:rsid w:val="00026FE8"/>
    <w:rsid w:val="000410FC"/>
    <w:rsid w:val="00047104"/>
    <w:rsid w:val="000536EC"/>
    <w:rsid w:val="000629A4"/>
    <w:rsid w:val="00072F84"/>
    <w:rsid w:val="000733D6"/>
    <w:rsid w:val="00073967"/>
    <w:rsid w:val="00075948"/>
    <w:rsid w:val="00084D11"/>
    <w:rsid w:val="00085151"/>
    <w:rsid w:val="00096DDE"/>
    <w:rsid w:val="000A4340"/>
    <w:rsid w:val="000A44D2"/>
    <w:rsid w:val="000A44FC"/>
    <w:rsid w:val="000A4642"/>
    <w:rsid w:val="000A547C"/>
    <w:rsid w:val="000A613C"/>
    <w:rsid w:val="000E632C"/>
    <w:rsid w:val="000F0F72"/>
    <w:rsid w:val="000F3299"/>
    <w:rsid w:val="001069AF"/>
    <w:rsid w:val="00116665"/>
    <w:rsid w:val="00130104"/>
    <w:rsid w:val="00142016"/>
    <w:rsid w:val="001444EC"/>
    <w:rsid w:val="00152E21"/>
    <w:rsid w:val="00170B7B"/>
    <w:rsid w:val="00174B07"/>
    <w:rsid w:val="00177F10"/>
    <w:rsid w:val="00180460"/>
    <w:rsid w:val="00181702"/>
    <w:rsid w:val="00182B8E"/>
    <w:rsid w:val="00192AD6"/>
    <w:rsid w:val="0019332D"/>
    <w:rsid w:val="00193C78"/>
    <w:rsid w:val="00196B7E"/>
    <w:rsid w:val="001A238A"/>
    <w:rsid w:val="001A4F2E"/>
    <w:rsid w:val="001B3F5C"/>
    <w:rsid w:val="001B4228"/>
    <w:rsid w:val="001B6511"/>
    <w:rsid w:val="001D2978"/>
    <w:rsid w:val="001E0014"/>
    <w:rsid w:val="001E30C9"/>
    <w:rsid w:val="001E69CA"/>
    <w:rsid w:val="001F7350"/>
    <w:rsid w:val="001F79CE"/>
    <w:rsid w:val="00203822"/>
    <w:rsid w:val="00207F33"/>
    <w:rsid w:val="0021682C"/>
    <w:rsid w:val="0021704E"/>
    <w:rsid w:val="00223274"/>
    <w:rsid w:val="0022351D"/>
    <w:rsid w:val="00226199"/>
    <w:rsid w:val="00226B79"/>
    <w:rsid w:val="002374D3"/>
    <w:rsid w:val="00237F42"/>
    <w:rsid w:val="00241E27"/>
    <w:rsid w:val="00242B16"/>
    <w:rsid w:val="00244B4D"/>
    <w:rsid w:val="00247E53"/>
    <w:rsid w:val="0025353D"/>
    <w:rsid w:val="00257943"/>
    <w:rsid w:val="002632E5"/>
    <w:rsid w:val="00266FF5"/>
    <w:rsid w:val="00270D04"/>
    <w:rsid w:val="00281DCB"/>
    <w:rsid w:val="00283AC6"/>
    <w:rsid w:val="00284BFD"/>
    <w:rsid w:val="00290211"/>
    <w:rsid w:val="002904EF"/>
    <w:rsid w:val="00291686"/>
    <w:rsid w:val="00292B47"/>
    <w:rsid w:val="002A1B62"/>
    <w:rsid w:val="002A5076"/>
    <w:rsid w:val="002A725C"/>
    <w:rsid w:val="002C0CBB"/>
    <w:rsid w:val="002C119B"/>
    <w:rsid w:val="002E0917"/>
    <w:rsid w:val="002E2F64"/>
    <w:rsid w:val="00303573"/>
    <w:rsid w:val="003247E7"/>
    <w:rsid w:val="003265BB"/>
    <w:rsid w:val="00332003"/>
    <w:rsid w:val="003326FD"/>
    <w:rsid w:val="00335212"/>
    <w:rsid w:val="00344659"/>
    <w:rsid w:val="00347B0A"/>
    <w:rsid w:val="003514D1"/>
    <w:rsid w:val="00356C86"/>
    <w:rsid w:val="00357AB7"/>
    <w:rsid w:val="00362DF4"/>
    <w:rsid w:val="003744C4"/>
    <w:rsid w:val="00374F36"/>
    <w:rsid w:val="003759AD"/>
    <w:rsid w:val="00386112"/>
    <w:rsid w:val="00392B90"/>
    <w:rsid w:val="003C20C2"/>
    <w:rsid w:val="003C222D"/>
    <w:rsid w:val="003C799E"/>
    <w:rsid w:val="003D4097"/>
    <w:rsid w:val="003D4658"/>
    <w:rsid w:val="004174BD"/>
    <w:rsid w:val="004251FF"/>
    <w:rsid w:val="00443896"/>
    <w:rsid w:val="00443EC9"/>
    <w:rsid w:val="0044715A"/>
    <w:rsid w:val="004554A4"/>
    <w:rsid w:val="004565D4"/>
    <w:rsid w:val="00460BCD"/>
    <w:rsid w:val="00467FB9"/>
    <w:rsid w:val="00471127"/>
    <w:rsid w:val="00474903"/>
    <w:rsid w:val="00480050"/>
    <w:rsid w:val="00485558"/>
    <w:rsid w:val="00486B4C"/>
    <w:rsid w:val="00491190"/>
    <w:rsid w:val="00494369"/>
    <w:rsid w:val="004A7F09"/>
    <w:rsid w:val="004C360C"/>
    <w:rsid w:val="004C4AF1"/>
    <w:rsid w:val="004C6666"/>
    <w:rsid w:val="004D4702"/>
    <w:rsid w:val="004E76D9"/>
    <w:rsid w:val="004F35B3"/>
    <w:rsid w:val="004F789F"/>
    <w:rsid w:val="00500CAF"/>
    <w:rsid w:val="00503AAE"/>
    <w:rsid w:val="00506E3E"/>
    <w:rsid w:val="00512F38"/>
    <w:rsid w:val="005163DD"/>
    <w:rsid w:val="00522EBB"/>
    <w:rsid w:val="00524612"/>
    <w:rsid w:val="00530199"/>
    <w:rsid w:val="005367FB"/>
    <w:rsid w:val="00542AF1"/>
    <w:rsid w:val="00545A0F"/>
    <w:rsid w:val="005567E4"/>
    <w:rsid w:val="00575E24"/>
    <w:rsid w:val="00581AA2"/>
    <w:rsid w:val="005922C3"/>
    <w:rsid w:val="00593EF4"/>
    <w:rsid w:val="00596438"/>
    <w:rsid w:val="005A06ED"/>
    <w:rsid w:val="005A12BE"/>
    <w:rsid w:val="005A1588"/>
    <w:rsid w:val="005B1F83"/>
    <w:rsid w:val="005B51B7"/>
    <w:rsid w:val="005B72D5"/>
    <w:rsid w:val="005C2DD0"/>
    <w:rsid w:val="005D1336"/>
    <w:rsid w:val="005D44E9"/>
    <w:rsid w:val="005D5319"/>
    <w:rsid w:val="00610FA0"/>
    <w:rsid w:val="006340C8"/>
    <w:rsid w:val="00650888"/>
    <w:rsid w:val="00651258"/>
    <w:rsid w:val="00654172"/>
    <w:rsid w:val="00660798"/>
    <w:rsid w:val="00661BE7"/>
    <w:rsid w:val="00662654"/>
    <w:rsid w:val="00665176"/>
    <w:rsid w:val="00671B63"/>
    <w:rsid w:val="00671FCB"/>
    <w:rsid w:val="00674BEF"/>
    <w:rsid w:val="00682D16"/>
    <w:rsid w:val="00692F93"/>
    <w:rsid w:val="00696E0A"/>
    <w:rsid w:val="006A23AC"/>
    <w:rsid w:val="006A5042"/>
    <w:rsid w:val="006B2C3E"/>
    <w:rsid w:val="006B5123"/>
    <w:rsid w:val="006B5F46"/>
    <w:rsid w:val="006C77FE"/>
    <w:rsid w:val="006D1B29"/>
    <w:rsid w:val="006D1F86"/>
    <w:rsid w:val="006E0D01"/>
    <w:rsid w:val="006E0D45"/>
    <w:rsid w:val="006F0BC8"/>
    <w:rsid w:val="006F4974"/>
    <w:rsid w:val="00702101"/>
    <w:rsid w:val="00714E1D"/>
    <w:rsid w:val="0072325C"/>
    <w:rsid w:val="00736A16"/>
    <w:rsid w:val="00751845"/>
    <w:rsid w:val="00753A25"/>
    <w:rsid w:val="00756153"/>
    <w:rsid w:val="00774FB2"/>
    <w:rsid w:val="00777579"/>
    <w:rsid w:val="007844BB"/>
    <w:rsid w:val="007857F5"/>
    <w:rsid w:val="00785FFC"/>
    <w:rsid w:val="00787A3C"/>
    <w:rsid w:val="00796E01"/>
    <w:rsid w:val="007A04B7"/>
    <w:rsid w:val="007B35F1"/>
    <w:rsid w:val="007B5C8E"/>
    <w:rsid w:val="007B6A37"/>
    <w:rsid w:val="007C0439"/>
    <w:rsid w:val="007D4435"/>
    <w:rsid w:val="007E100E"/>
    <w:rsid w:val="007E3DA8"/>
    <w:rsid w:val="007E40C9"/>
    <w:rsid w:val="007F7649"/>
    <w:rsid w:val="008079D8"/>
    <w:rsid w:val="00822DFE"/>
    <w:rsid w:val="008235E0"/>
    <w:rsid w:val="00831B9D"/>
    <w:rsid w:val="00844B88"/>
    <w:rsid w:val="00861386"/>
    <w:rsid w:val="00862697"/>
    <w:rsid w:val="00866592"/>
    <w:rsid w:val="0087419C"/>
    <w:rsid w:val="0087699F"/>
    <w:rsid w:val="00881707"/>
    <w:rsid w:val="008817BF"/>
    <w:rsid w:val="00893693"/>
    <w:rsid w:val="00894AAE"/>
    <w:rsid w:val="00895458"/>
    <w:rsid w:val="00897379"/>
    <w:rsid w:val="008A4AD6"/>
    <w:rsid w:val="008A4B13"/>
    <w:rsid w:val="008B1650"/>
    <w:rsid w:val="008B5DE9"/>
    <w:rsid w:val="008C2B23"/>
    <w:rsid w:val="008D7A71"/>
    <w:rsid w:val="008E24B7"/>
    <w:rsid w:val="008E6A6D"/>
    <w:rsid w:val="008E725F"/>
    <w:rsid w:val="008E7906"/>
    <w:rsid w:val="008F0C27"/>
    <w:rsid w:val="00902F69"/>
    <w:rsid w:val="009050E0"/>
    <w:rsid w:val="00914D24"/>
    <w:rsid w:val="00922D05"/>
    <w:rsid w:val="0092303A"/>
    <w:rsid w:val="00925B1E"/>
    <w:rsid w:val="009271A1"/>
    <w:rsid w:val="00930C1E"/>
    <w:rsid w:val="00931E3E"/>
    <w:rsid w:val="00944B94"/>
    <w:rsid w:val="00945405"/>
    <w:rsid w:val="009475C0"/>
    <w:rsid w:val="00950E2E"/>
    <w:rsid w:val="009535CB"/>
    <w:rsid w:val="00965217"/>
    <w:rsid w:val="009704D2"/>
    <w:rsid w:val="009770CC"/>
    <w:rsid w:val="00985B48"/>
    <w:rsid w:val="00993B24"/>
    <w:rsid w:val="00994908"/>
    <w:rsid w:val="009A7360"/>
    <w:rsid w:val="009C31BB"/>
    <w:rsid w:val="009C56E5"/>
    <w:rsid w:val="009D0FF5"/>
    <w:rsid w:val="009E1921"/>
    <w:rsid w:val="009E3A1D"/>
    <w:rsid w:val="00A003C5"/>
    <w:rsid w:val="00A01BB1"/>
    <w:rsid w:val="00A11B1F"/>
    <w:rsid w:val="00A154ED"/>
    <w:rsid w:val="00A15554"/>
    <w:rsid w:val="00A1581F"/>
    <w:rsid w:val="00A17A19"/>
    <w:rsid w:val="00A17D7C"/>
    <w:rsid w:val="00A262B3"/>
    <w:rsid w:val="00A27674"/>
    <w:rsid w:val="00A309B8"/>
    <w:rsid w:val="00A37825"/>
    <w:rsid w:val="00A41E1A"/>
    <w:rsid w:val="00A43255"/>
    <w:rsid w:val="00A5112A"/>
    <w:rsid w:val="00A51200"/>
    <w:rsid w:val="00A54AA9"/>
    <w:rsid w:val="00A60179"/>
    <w:rsid w:val="00A62735"/>
    <w:rsid w:val="00A64947"/>
    <w:rsid w:val="00A74BCE"/>
    <w:rsid w:val="00A74D0B"/>
    <w:rsid w:val="00A80D79"/>
    <w:rsid w:val="00A91FF5"/>
    <w:rsid w:val="00A962CD"/>
    <w:rsid w:val="00AA112B"/>
    <w:rsid w:val="00AA2D23"/>
    <w:rsid w:val="00AB768F"/>
    <w:rsid w:val="00AD192A"/>
    <w:rsid w:val="00AD1C32"/>
    <w:rsid w:val="00AE49A2"/>
    <w:rsid w:val="00AF6A69"/>
    <w:rsid w:val="00B049A3"/>
    <w:rsid w:val="00B07E19"/>
    <w:rsid w:val="00B172F3"/>
    <w:rsid w:val="00B37EC7"/>
    <w:rsid w:val="00B40DC3"/>
    <w:rsid w:val="00B40E7D"/>
    <w:rsid w:val="00B410B6"/>
    <w:rsid w:val="00B41DB6"/>
    <w:rsid w:val="00B5013F"/>
    <w:rsid w:val="00B50A3C"/>
    <w:rsid w:val="00B55677"/>
    <w:rsid w:val="00B55995"/>
    <w:rsid w:val="00B620A4"/>
    <w:rsid w:val="00B62CED"/>
    <w:rsid w:val="00B636D4"/>
    <w:rsid w:val="00B637B0"/>
    <w:rsid w:val="00B658B9"/>
    <w:rsid w:val="00B7031B"/>
    <w:rsid w:val="00B70E70"/>
    <w:rsid w:val="00B72EDD"/>
    <w:rsid w:val="00B7595B"/>
    <w:rsid w:val="00B9189B"/>
    <w:rsid w:val="00B9617D"/>
    <w:rsid w:val="00BC25F5"/>
    <w:rsid w:val="00BC6A2A"/>
    <w:rsid w:val="00BD777B"/>
    <w:rsid w:val="00BD7F06"/>
    <w:rsid w:val="00BF513F"/>
    <w:rsid w:val="00C04033"/>
    <w:rsid w:val="00C07003"/>
    <w:rsid w:val="00C2292F"/>
    <w:rsid w:val="00C26AC4"/>
    <w:rsid w:val="00C32DF0"/>
    <w:rsid w:val="00C44AF7"/>
    <w:rsid w:val="00C47FD2"/>
    <w:rsid w:val="00C56626"/>
    <w:rsid w:val="00C6252C"/>
    <w:rsid w:val="00C71565"/>
    <w:rsid w:val="00C77B17"/>
    <w:rsid w:val="00C82EED"/>
    <w:rsid w:val="00CA3DF8"/>
    <w:rsid w:val="00CA46D9"/>
    <w:rsid w:val="00CA507E"/>
    <w:rsid w:val="00CA6027"/>
    <w:rsid w:val="00CB23CC"/>
    <w:rsid w:val="00CB32F6"/>
    <w:rsid w:val="00CB4E5C"/>
    <w:rsid w:val="00CB62F7"/>
    <w:rsid w:val="00CC30F4"/>
    <w:rsid w:val="00CC416D"/>
    <w:rsid w:val="00CE5664"/>
    <w:rsid w:val="00D15B85"/>
    <w:rsid w:val="00D43077"/>
    <w:rsid w:val="00D50E81"/>
    <w:rsid w:val="00D57D31"/>
    <w:rsid w:val="00D61DDF"/>
    <w:rsid w:val="00D63F24"/>
    <w:rsid w:val="00D72FF6"/>
    <w:rsid w:val="00D750EF"/>
    <w:rsid w:val="00D77C0A"/>
    <w:rsid w:val="00D858EE"/>
    <w:rsid w:val="00D95B69"/>
    <w:rsid w:val="00DA5187"/>
    <w:rsid w:val="00DB4691"/>
    <w:rsid w:val="00DC421F"/>
    <w:rsid w:val="00DC693F"/>
    <w:rsid w:val="00DE0AEE"/>
    <w:rsid w:val="00DE3B08"/>
    <w:rsid w:val="00DE4A98"/>
    <w:rsid w:val="00DE5C6B"/>
    <w:rsid w:val="00DF30E6"/>
    <w:rsid w:val="00DF6839"/>
    <w:rsid w:val="00E00F2A"/>
    <w:rsid w:val="00E136C1"/>
    <w:rsid w:val="00E15105"/>
    <w:rsid w:val="00E15D98"/>
    <w:rsid w:val="00E26D62"/>
    <w:rsid w:val="00E27961"/>
    <w:rsid w:val="00E32459"/>
    <w:rsid w:val="00E32F4F"/>
    <w:rsid w:val="00E353E8"/>
    <w:rsid w:val="00E551E8"/>
    <w:rsid w:val="00E560B0"/>
    <w:rsid w:val="00E567B1"/>
    <w:rsid w:val="00E62A84"/>
    <w:rsid w:val="00E66922"/>
    <w:rsid w:val="00E67FB9"/>
    <w:rsid w:val="00E7169B"/>
    <w:rsid w:val="00E71865"/>
    <w:rsid w:val="00E94C18"/>
    <w:rsid w:val="00EA79BE"/>
    <w:rsid w:val="00EB0883"/>
    <w:rsid w:val="00EC0011"/>
    <w:rsid w:val="00EC2DD6"/>
    <w:rsid w:val="00ED283F"/>
    <w:rsid w:val="00EE54C6"/>
    <w:rsid w:val="00EF2981"/>
    <w:rsid w:val="00EF40BC"/>
    <w:rsid w:val="00F002E1"/>
    <w:rsid w:val="00F10529"/>
    <w:rsid w:val="00F16D2A"/>
    <w:rsid w:val="00F17EAE"/>
    <w:rsid w:val="00F300FA"/>
    <w:rsid w:val="00F31E2B"/>
    <w:rsid w:val="00F328C7"/>
    <w:rsid w:val="00F34E15"/>
    <w:rsid w:val="00F41973"/>
    <w:rsid w:val="00F75C8A"/>
    <w:rsid w:val="00F83D16"/>
    <w:rsid w:val="00F87A9E"/>
    <w:rsid w:val="00F90ED7"/>
    <w:rsid w:val="00F96377"/>
    <w:rsid w:val="00FA7F25"/>
    <w:rsid w:val="00FC69EA"/>
    <w:rsid w:val="00FD2E8F"/>
    <w:rsid w:val="00FD4BB5"/>
    <w:rsid w:val="00FF3D58"/>
    <w:rsid w:val="00FF3E41"/>
    <w:rsid w:val="015D5504"/>
    <w:rsid w:val="016347D7"/>
    <w:rsid w:val="01743E73"/>
    <w:rsid w:val="01C45D06"/>
    <w:rsid w:val="021358C1"/>
    <w:rsid w:val="021D04ED"/>
    <w:rsid w:val="02313F99"/>
    <w:rsid w:val="02727A8F"/>
    <w:rsid w:val="027D7504"/>
    <w:rsid w:val="02957F4A"/>
    <w:rsid w:val="02AD29B2"/>
    <w:rsid w:val="03181066"/>
    <w:rsid w:val="03634626"/>
    <w:rsid w:val="03D352ED"/>
    <w:rsid w:val="04772A4B"/>
    <w:rsid w:val="0582467D"/>
    <w:rsid w:val="05926AFC"/>
    <w:rsid w:val="05D77E4F"/>
    <w:rsid w:val="05D84CA5"/>
    <w:rsid w:val="05E0200A"/>
    <w:rsid w:val="061B1990"/>
    <w:rsid w:val="064550D0"/>
    <w:rsid w:val="066A47CE"/>
    <w:rsid w:val="06B141BC"/>
    <w:rsid w:val="07031442"/>
    <w:rsid w:val="07A34B98"/>
    <w:rsid w:val="07AC7C25"/>
    <w:rsid w:val="07BD5E3D"/>
    <w:rsid w:val="07ED4B1F"/>
    <w:rsid w:val="081F17B3"/>
    <w:rsid w:val="087D09B3"/>
    <w:rsid w:val="088A7506"/>
    <w:rsid w:val="08944458"/>
    <w:rsid w:val="08D556E5"/>
    <w:rsid w:val="08DE1DFC"/>
    <w:rsid w:val="09063232"/>
    <w:rsid w:val="09362972"/>
    <w:rsid w:val="097529BD"/>
    <w:rsid w:val="0A15616C"/>
    <w:rsid w:val="0A6C3DC0"/>
    <w:rsid w:val="0A747118"/>
    <w:rsid w:val="0AA4793D"/>
    <w:rsid w:val="0B0A42C4"/>
    <w:rsid w:val="0B2F4186"/>
    <w:rsid w:val="0B5F4794"/>
    <w:rsid w:val="0B7926DE"/>
    <w:rsid w:val="0BC85D5B"/>
    <w:rsid w:val="0BD82C59"/>
    <w:rsid w:val="0C160487"/>
    <w:rsid w:val="0C317648"/>
    <w:rsid w:val="0C7451AE"/>
    <w:rsid w:val="0C9617E4"/>
    <w:rsid w:val="0C9F6FE3"/>
    <w:rsid w:val="0D173E04"/>
    <w:rsid w:val="0D2E2D13"/>
    <w:rsid w:val="0D354ACD"/>
    <w:rsid w:val="0D492902"/>
    <w:rsid w:val="0D6F10B3"/>
    <w:rsid w:val="0D8536BD"/>
    <w:rsid w:val="0D8F4EFE"/>
    <w:rsid w:val="0E293FE3"/>
    <w:rsid w:val="0E4D5CB6"/>
    <w:rsid w:val="0EA46E2D"/>
    <w:rsid w:val="0EFF5127"/>
    <w:rsid w:val="0F210A3A"/>
    <w:rsid w:val="0F415C16"/>
    <w:rsid w:val="0F607679"/>
    <w:rsid w:val="10086D9C"/>
    <w:rsid w:val="102A466F"/>
    <w:rsid w:val="105812FF"/>
    <w:rsid w:val="111C0739"/>
    <w:rsid w:val="111E1B8C"/>
    <w:rsid w:val="11610DAE"/>
    <w:rsid w:val="116A724E"/>
    <w:rsid w:val="116D60A1"/>
    <w:rsid w:val="117A72EF"/>
    <w:rsid w:val="11FD46BF"/>
    <w:rsid w:val="120B5F4D"/>
    <w:rsid w:val="12323823"/>
    <w:rsid w:val="124F42B7"/>
    <w:rsid w:val="12834530"/>
    <w:rsid w:val="1312127D"/>
    <w:rsid w:val="13901E1C"/>
    <w:rsid w:val="13A7230D"/>
    <w:rsid w:val="14EF1875"/>
    <w:rsid w:val="14F325C5"/>
    <w:rsid w:val="15026D53"/>
    <w:rsid w:val="15B4486D"/>
    <w:rsid w:val="15CA2F2E"/>
    <w:rsid w:val="15E74C42"/>
    <w:rsid w:val="16CB5F30"/>
    <w:rsid w:val="16F2389F"/>
    <w:rsid w:val="16F643D6"/>
    <w:rsid w:val="171C5435"/>
    <w:rsid w:val="172D2B29"/>
    <w:rsid w:val="17E217ED"/>
    <w:rsid w:val="17F00444"/>
    <w:rsid w:val="18517FB6"/>
    <w:rsid w:val="188E75F7"/>
    <w:rsid w:val="18A44462"/>
    <w:rsid w:val="18D81447"/>
    <w:rsid w:val="191E1382"/>
    <w:rsid w:val="193F7A6A"/>
    <w:rsid w:val="19600F94"/>
    <w:rsid w:val="199A28AA"/>
    <w:rsid w:val="1A650426"/>
    <w:rsid w:val="1AA03612"/>
    <w:rsid w:val="1BCB75FC"/>
    <w:rsid w:val="1BDA0F1B"/>
    <w:rsid w:val="1BFF5B23"/>
    <w:rsid w:val="1C777DA5"/>
    <w:rsid w:val="1C7E467E"/>
    <w:rsid w:val="1D0D671B"/>
    <w:rsid w:val="1D305121"/>
    <w:rsid w:val="1D36397B"/>
    <w:rsid w:val="1D4B182A"/>
    <w:rsid w:val="1D5C48CC"/>
    <w:rsid w:val="1D835251"/>
    <w:rsid w:val="1DD943FB"/>
    <w:rsid w:val="1DE87A80"/>
    <w:rsid w:val="1E194C81"/>
    <w:rsid w:val="1E3E561C"/>
    <w:rsid w:val="1E68566C"/>
    <w:rsid w:val="1E95273B"/>
    <w:rsid w:val="1EA47B74"/>
    <w:rsid w:val="1F8B4401"/>
    <w:rsid w:val="1FFF5FBA"/>
    <w:rsid w:val="21082BD0"/>
    <w:rsid w:val="21554059"/>
    <w:rsid w:val="216B2E85"/>
    <w:rsid w:val="218872DA"/>
    <w:rsid w:val="218F2E30"/>
    <w:rsid w:val="21BF16DB"/>
    <w:rsid w:val="21C443C4"/>
    <w:rsid w:val="223C67F4"/>
    <w:rsid w:val="224A458F"/>
    <w:rsid w:val="22746A09"/>
    <w:rsid w:val="22942040"/>
    <w:rsid w:val="22DA671D"/>
    <w:rsid w:val="23050835"/>
    <w:rsid w:val="231A7D53"/>
    <w:rsid w:val="23887B38"/>
    <w:rsid w:val="238B1360"/>
    <w:rsid w:val="239B43B6"/>
    <w:rsid w:val="24013DB9"/>
    <w:rsid w:val="24441950"/>
    <w:rsid w:val="248D76DC"/>
    <w:rsid w:val="249A5A1E"/>
    <w:rsid w:val="24A36916"/>
    <w:rsid w:val="25172BDE"/>
    <w:rsid w:val="25744A0D"/>
    <w:rsid w:val="25902C01"/>
    <w:rsid w:val="259A51CD"/>
    <w:rsid w:val="25D56865"/>
    <w:rsid w:val="26082272"/>
    <w:rsid w:val="262178C9"/>
    <w:rsid w:val="264755DA"/>
    <w:rsid w:val="2661459D"/>
    <w:rsid w:val="267E0CAB"/>
    <w:rsid w:val="26A84EBA"/>
    <w:rsid w:val="26EA363F"/>
    <w:rsid w:val="27144592"/>
    <w:rsid w:val="278B23EE"/>
    <w:rsid w:val="278B7B24"/>
    <w:rsid w:val="27C03641"/>
    <w:rsid w:val="281318C7"/>
    <w:rsid w:val="28541E37"/>
    <w:rsid w:val="285F3CB1"/>
    <w:rsid w:val="286928C5"/>
    <w:rsid w:val="289C366A"/>
    <w:rsid w:val="28A2214A"/>
    <w:rsid w:val="2936694E"/>
    <w:rsid w:val="2996455E"/>
    <w:rsid w:val="29DB04A2"/>
    <w:rsid w:val="29EE50B4"/>
    <w:rsid w:val="29FE7B47"/>
    <w:rsid w:val="2A367640"/>
    <w:rsid w:val="2A48356C"/>
    <w:rsid w:val="2ABC75C8"/>
    <w:rsid w:val="2B12230A"/>
    <w:rsid w:val="2B7E1510"/>
    <w:rsid w:val="2B8051DB"/>
    <w:rsid w:val="2BAA31B3"/>
    <w:rsid w:val="2BC63FD4"/>
    <w:rsid w:val="2C0D4F8D"/>
    <w:rsid w:val="2C376A9B"/>
    <w:rsid w:val="2C3A1B18"/>
    <w:rsid w:val="2C3F0EDD"/>
    <w:rsid w:val="2C4C4F3B"/>
    <w:rsid w:val="2C60078F"/>
    <w:rsid w:val="2C646B95"/>
    <w:rsid w:val="2C7E1414"/>
    <w:rsid w:val="2C810E08"/>
    <w:rsid w:val="2C8E59C0"/>
    <w:rsid w:val="2CBA6A70"/>
    <w:rsid w:val="2CD504F2"/>
    <w:rsid w:val="2D0F4C79"/>
    <w:rsid w:val="2D1D55AF"/>
    <w:rsid w:val="2D2B1461"/>
    <w:rsid w:val="2DC147E3"/>
    <w:rsid w:val="2EA90867"/>
    <w:rsid w:val="2EAD7087"/>
    <w:rsid w:val="2F454A5C"/>
    <w:rsid w:val="2FC43258"/>
    <w:rsid w:val="2FE467A7"/>
    <w:rsid w:val="302C011A"/>
    <w:rsid w:val="302C34A7"/>
    <w:rsid w:val="303A22C6"/>
    <w:rsid w:val="304940D8"/>
    <w:rsid w:val="30517430"/>
    <w:rsid w:val="30C3032E"/>
    <w:rsid w:val="30F37EDC"/>
    <w:rsid w:val="31055CDB"/>
    <w:rsid w:val="313C17BF"/>
    <w:rsid w:val="314A714A"/>
    <w:rsid w:val="315423FA"/>
    <w:rsid w:val="324507AD"/>
    <w:rsid w:val="32B060E2"/>
    <w:rsid w:val="3344327C"/>
    <w:rsid w:val="338B4F0A"/>
    <w:rsid w:val="33CC223D"/>
    <w:rsid w:val="345179FF"/>
    <w:rsid w:val="34814F15"/>
    <w:rsid w:val="34826328"/>
    <w:rsid w:val="34984755"/>
    <w:rsid w:val="34E959C3"/>
    <w:rsid w:val="34F85D6A"/>
    <w:rsid w:val="34FC2804"/>
    <w:rsid w:val="34FF4777"/>
    <w:rsid w:val="35120222"/>
    <w:rsid w:val="3518714F"/>
    <w:rsid w:val="353D3435"/>
    <w:rsid w:val="354A6EEA"/>
    <w:rsid w:val="356B1CF3"/>
    <w:rsid w:val="35AF70D3"/>
    <w:rsid w:val="37654E9C"/>
    <w:rsid w:val="3784633D"/>
    <w:rsid w:val="38213B8C"/>
    <w:rsid w:val="382373DA"/>
    <w:rsid w:val="383B0B04"/>
    <w:rsid w:val="38591578"/>
    <w:rsid w:val="38AC16A8"/>
    <w:rsid w:val="38CF7D58"/>
    <w:rsid w:val="38F0269B"/>
    <w:rsid w:val="3A372F4A"/>
    <w:rsid w:val="3A7C1D7A"/>
    <w:rsid w:val="3AAD7959"/>
    <w:rsid w:val="3AD068AC"/>
    <w:rsid w:val="3ADB44C6"/>
    <w:rsid w:val="3AED5FA8"/>
    <w:rsid w:val="3B285284"/>
    <w:rsid w:val="3B2C319C"/>
    <w:rsid w:val="3B2D2566"/>
    <w:rsid w:val="3B387B37"/>
    <w:rsid w:val="3B68647D"/>
    <w:rsid w:val="3BAF2C97"/>
    <w:rsid w:val="3C074E47"/>
    <w:rsid w:val="3C756255"/>
    <w:rsid w:val="3C9E39FD"/>
    <w:rsid w:val="3C9F4DD0"/>
    <w:rsid w:val="3D0D46DF"/>
    <w:rsid w:val="3D254A9A"/>
    <w:rsid w:val="3D3C5A02"/>
    <w:rsid w:val="3D430E91"/>
    <w:rsid w:val="3D723C25"/>
    <w:rsid w:val="3D8F5CCA"/>
    <w:rsid w:val="3D910454"/>
    <w:rsid w:val="3D964F1B"/>
    <w:rsid w:val="3E0C2560"/>
    <w:rsid w:val="3EB02237"/>
    <w:rsid w:val="3EB80B41"/>
    <w:rsid w:val="3EE65C63"/>
    <w:rsid w:val="3F6F342F"/>
    <w:rsid w:val="3FCF6608"/>
    <w:rsid w:val="40476BB4"/>
    <w:rsid w:val="4092377C"/>
    <w:rsid w:val="40AA78B9"/>
    <w:rsid w:val="411E6EBB"/>
    <w:rsid w:val="41B079AE"/>
    <w:rsid w:val="41FF0A9A"/>
    <w:rsid w:val="42417218"/>
    <w:rsid w:val="43B55C44"/>
    <w:rsid w:val="44A633D7"/>
    <w:rsid w:val="450B6BAA"/>
    <w:rsid w:val="45531639"/>
    <w:rsid w:val="45EC57D9"/>
    <w:rsid w:val="465467E3"/>
    <w:rsid w:val="466D03B6"/>
    <w:rsid w:val="467A4130"/>
    <w:rsid w:val="46ED3D62"/>
    <w:rsid w:val="46F030A7"/>
    <w:rsid w:val="46FE5A27"/>
    <w:rsid w:val="472165E1"/>
    <w:rsid w:val="472D42FC"/>
    <w:rsid w:val="472D7E58"/>
    <w:rsid w:val="474447A0"/>
    <w:rsid w:val="474B1F88"/>
    <w:rsid w:val="47B50093"/>
    <w:rsid w:val="47CE3835"/>
    <w:rsid w:val="47E938E8"/>
    <w:rsid w:val="47F548C0"/>
    <w:rsid w:val="48543A65"/>
    <w:rsid w:val="48551120"/>
    <w:rsid w:val="489A6008"/>
    <w:rsid w:val="48CE1A32"/>
    <w:rsid w:val="492B6619"/>
    <w:rsid w:val="49356079"/>
    <w:rsid w:val="4957634E"/>
    <w:rsid w:val="496F10FC"/>
    <w:rsid w:val="49881CCB"/>
    <w:rsid w:val="49975FBC"/>
    <w:rsid w:val="49D13AE4"/>
    <w:rsid w:val="49E1480A"/>
    <w:rsid w:val="49FB653F"/>
    <w:rsid w:val="4A4B3E0B"/>
    <w:rsid w:val="4A5D44B5"/>
    <w:rsid w:val="4A6437D4"/>
    <w:rsid w:val="4A8F086C"/>
    <w:rsid w:val="4AB070BD"/>
    <w:rsid w:val="4AE46E2A"/>
    <w:rsid w:val="4B086260"/>
    <w:rsid w:val="4B792C11"/>
    <w:rsid w:val="4C6C6665"/>
    <w:rsid w:val="4C993854"/>
    <w:rsid w:val="4C9D782D"/>
    <w:rsid w:val="4CBA0C3C"/>
    <w:rsid w:val="4CC773C4"/>
    <w:rsid w:val="4CE81B67"/>
    <w:rsid w:val="4CF077D9"/>
    <w:rsid w:val="4D211BA8"/>
    <w:rsid w:val="4D6D1809"/>
    <w:rsid w:val="4E1E7BBF"/>
    <w:rsid w:val="4E816CDB"/>
    <w:rsid w:val="4EC5185F"/>
    <w:rsid w:val="4F0516BA"/>
    <w:rsid w:val="4F7A2315"/>
    <w:rsid w:val="4F9273F2"/>
    <w:rsid w:val="4FB31056"/>
    <w:rsid w:val="501D04C6"/>
    <w:rsid w:val="50224539"/>
    <w:rsid w:val="50675167"/>
    <w:rsid w:val="509B115C"/>
    <w:rsid w:val="50E705D7"/>
    <w:rsid w:val="50F773EF"/>
    <w:rsid w:val="50FA6AF3"/>
    <w:rsid w:val="51040E29"/>
    <w:rsid w:val="51AC2CF6"/>
    <w:rsid w:val="51B55619"/>
    <w:rsid w:val="51CF2789"/>
    <w:rsid w:val="51EE696A"/>
    <w:rsid w:val="52710222"/>
    <w:rsid w:val="52E60BBD"/>
    <w:rsid w:val="53537FC2"/>
    <w:rsid w:val="537A576C"/>
    <w:rsid w:val="538D6EF1"/>
    <w:rsid w:val="53E24E79"/>
    <w:rsid w:val="54051CBA"/>
    <w:rsid w:val="54627517"/>
    <w:rsid w:val="54C301E3"/>
    <w:rsid w:val="54CD3E95"/>
    <w:rsid w:val="54FE1085"/>
    <w:rsid w:val="5507618C"/>
    <w:rsid w:val="555313D1"/>
    <w:rsid w:val="555465EE"/>
    <w:rsid w:val="5630606F"/>
    <w:rsid w:val="56431446"/>
    <w:rsid w:val="564D2F1F"/>
    <w:rsid w:val="56601D30"/>
    <w:rsid w:val="56864980"/>
    <w:rsid w:val="56BD287A"/>
    <w:rsid w:val="57617D64"/>
    <w:rsid w:val="579023A5"/>
    <w:rsid w:val="579D2991"/>
    <w:rsid w:val="57EF105C"/>
    <w:rsid w:val="57FD7F71"/>
    <w:rsid w:val="58831FCD"/>
    <w:rsid w:val="58A81A34"/>
    <w:rsid w:val="597D4298"/>
    <w:rsid w:val="59CC3500"/>
    <w:rsid w:val="5A17089F"/>
    <w:rsid w:val="5A2B78A9"/>
    <w:rsid w:val="5AC204A2"/>
    <w:rsid w:val="5ADE079F"/>
    <w:rsid w:val="5ADF2CEC"/>
    <w:rsid w:val="5B74302C"/>
    <w:rsid w:val="5B93792A"/>
    <w:rsid w:val="5B9F4190"/>
    <w:rsid w:val="5BBE44A1"/>
    <w:rsid w:val="5C0F2120"/>
    <w:rsid w:val="5CC2508E"/>
    <w:rsid w:val="5CC95CE6"/>
    <w:rsid w:val="5CD17835"/>
    <w:rsid w:val="5CF04714"/>
    <w:rsid w:val="5CF641B7"/>
    <w:rsid w:val="5CFA7B5F"/>
    <w:rsid w:val="5CFD12BC"/>
    <w:rsid w:val="5D872105"/>
    <w:rsid w:val="5DCE519B"/>
    <w:rsid w:val="5DDC2951"/>
    <w:rsid w:val="5E042794"/>
    <w:rsid w:val="5E8E75A3"/>
    <w:rsid w:val="5E9860A7"/>
    <w:rsid w:val="5EBC232F"/>
    <w:rsid w:val="5EC0678A"/>
    <w:rsid w:val="5ED877D8"/>
    <w:rsid w:val="5EE240B6"/>
    <w:rsid w:val="5F1A5C6D"/>
    <w:rsid w:val="5F2F7A39"/>
    <w:rsid w:val="5FA814DF"/>
    <w:rsid w:val="5FE82FD2"/>
    <w:rsid w:val="5FED58DF"/>
    <w:rsid w:val="6040616F"/>
    <w:rsid w:val="60B168B0"/>
    <w:rsid w:val="60C5514D"/>
    <w:rsid w:val="60D96503"/>
    <w:rsid w:val="60DD148F"/>
    <w:rsid w:val="60FF3D49"/>
    <w:rsid w:val="61305322"/>
    <w:rsid w:val="6159154D"/>
    <w:rsid w:val="61994C8C"/>
    <w:rsid w:val="61A65755"/>
    <w:rsid w:val="61B252C0"/>
    <w:rsid w:val="61BA65BF"/>
    <w:rsid w:val="628F77C1"/>
    <w:rsid w:val="62922B86"/>
    <w:rsid w:val="62B83782"/>
    <w:rsid w:val="62F67905"/>
    <w:rsid w:val="63344D9C"/>
    <w:rsid w:val="6372336A"/>
    <w:rsid w:val="63852965"/>
    <w:rsid w:val="63B719CA"/>
    <w:rsid w:val="63B87749"/>
    <w:rsid w:val="63E92F01"/>
    <w:rsid w:val="64063AB3"/>
    <w:rsid w:val="64255857"/>
    <w:rsid w:val="64371776"/>
    <w:rsid w:val="64371EBE"/>
    <w:rsid w:val="64565DD5"/>
    <w:rsid w:val="646903D7"/>
    <w:rsid w:val="647B624F"/>
    <w:rsid w:val="64B47B11"/>
    <w:rsid w:val="64E2382D"/>
    <w:rsid w:val="652C145A"/>
    <w:rsid w:val="652E3534"/>
    <w:rsid w:val="6614440A"/>
    <w:rsid w:val="678E46C4"/>
    <w:rsid w:val="6800730B"/>
    <w:rsid w:val="681B5ADF"/>
    <w:rsid w:val="685E210F"/>
    <w:rsid w:val="686065CC"/>
    <w:rsid w:val="689D00AB"/>
    <w:rsid w:val="68A94442"/>
    <w:rsid w:val="68BC5CCF"/>
    <w:rsid w:val="694B1CA9"/>
    <w:rsid w:val="696848C8"/>
    <w:rsid w:val="69D87C9F"/>
    <w:rsid w:val="69F0323B"/>
    <w:rsid w:val="6A333F49"/>
    <w:rsid w:val="6A3D7B02"/>
    <w:rsid w:val="6A6F3824"/>
    <w:rsid w:val="6AB204F0"/>
    <w:rsid w:val="6AE125CF"/>
    <w:rsid w:val="6AF97ECD"/>
    <w:rsid w:val="6B356F25"/>
    <w:rsid w:val="6BE51AF4"/>
    <w:rsid w:val="6C6121CE"/>
    <w:rsid w:val="6C7822A9"/>
    <w:rsid w:val="6C9B0687"/>
    <w:rsid w:val="6CCD0C34"/>
    <w:rsid w:val="6D2B360C"/>
    <w:rsid w:val="6DD94EB7"/>
    <w:rsid w:val="6ED65668"/>
    <w:rsid w:val="6F135F8B"/>
    <w:rsid w:val="6F5F3C10"/>
    <w:rsid w:val="6F7D619A"/>
    <w:rsid w:val="6F9F35B4"/>
    <w:rsid w:val="6FCA71E0"/>
    <w:rsid w:val="6FD827A7"/>
    <w:rsid w:val="703145D9"/>
    <w:rsid w:val="706C1141"/>
    <w:rsid w:val="706E7C9E"/>
    <w:rsid w:val="707324D0"/>
    <w:rsid w:val="70CF5032"/>
    <w:rsid w:val="717D3CD5"/>
    <w:rsid w:val="71856DEF"/>
    <w:rsid w:val="71A130D0"/>
    <w:rsid w:val="71DA004A"/>
    <w:rsid w:val="7222317A"/>
    <w:rsid w:val="726B69B0"/>
    <w:rsid w:val="728A0291"/>
    <w:rsid w:val="729F531D"/>
    <w:rsid w:val="72CF47E7"/>
    <w:rsid w:val="72ED48AE"/>
    <w:rsid w:val="730361B9"/>
    <w:rsid w:val="734466F5"/>
    <w:rsid w:val="738D5656"/>
    <w:rsid w:val="73EA2043"/>
    <w:rsid w:val="742740AC"/>
    <w:rsid w:val="743A2B40"/>
    <w:rsid w:val="745F7336"/>
    <w:rsid w:val="74923BF4"/>
    <w:rsid w:val="74C44810"/>
    <w:rsid w:val="74CF773B"/>
    <w:rsid w:val="750202C6"/>
    <w:rsid w:val="75475CD9"/>
    <w:rsid w:val="75B354EE"/>
    <w:rsid w:val="75BC3DFE"/>
    <w:rsid w:val="76A06528"/>
    <w:rsid w:val="76DB2792"/>
    <w:rsid w:val="77091498"/>
    <w:rsid w:val="77BA7B83"/>
    <w:rsid w:val="77EA05CE"/>
    <w:rsid w:val="785D1817"/>
    <w:rsid w:val="786C5947"/>
    <w:rsid w:val="78861E4A"/>
    <w:rsid w:val="78D37FAF"/>
    <w:rsid w:val="78F57EFF"/>
    <w:rsid w:val="79BF5E05"/>
    <w:rsid w:val="79F71BE1"/>
    <w:rsid w:val="7A0D60DE"/>
    <w:rsid w:val="7A0F5025"/>
    <w:rsid w:val="7A16003B"/>
    <w:rsid w:val="7A367DDC"/>
    <w:rsid w:val="7A6A4943"/>
    <w:rsid w:val="7AE600D4"/>
    <w:rsid w:val="7AEC35AA"/>
    <w:rsid w:val="7B0A28DC"/>
    <w:rsid w:val="7B0B390C"/>
    <w:rsid w:val="7B8109A5"/>
    <w:rsid w:val="7BBA0FB3"/>
    <w:rsid w:val="7BF21F72"/>
    <w:rsid w:val="7C9B21DA"/>
    <w:rsid w:val="7CAC5049"/>
    <w:rsid w:val="7CE31C56"/>
    <w:rsid w:val="7D5A1A2C"/>
    <w:rsid w:val="7D686286"/>
    <w:rsid w:val="7D757A64"/>
    <w:rsid w:val="7D921F97"/>
    <w:rsid w:val="7DA34981"/>
    <w:rsid w:val="7DA83736"/>
    <w:rsid w:val="7DB9757F"/>
    <w:rsid w:val="7E104461"/>
    <w:rsid w:val="7F39186C"/>
    <w:rsid w:val="7F6E5771"/>
    <w:rsid w:val="7FCE5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qFormat/>
    <w:uiPriority w:val="0"/>
    <w:pPr>
      <w:keepNext/>
      <w:keepLines/>
      <w:adjustRightInd w:val="0"/>
      <w:snapToGrid w:val="0"/>
      <w:spacing w:line="360" w:lineRule="auto"/>
      <w:jc w:val="center"/>
      <w:outlineLvl w:val="0"/>
    </w:pPr>
    <w:rPr>
      <w:rFonts w:ascii="方正小标宋简体" w:hAnsi="方正小标宋简体" w:eastAsia="方正小标宋简体" w:cs="方正小标宋简体"/>
      <w:b/>
      <w:kern w:val="44"/>
      <w:sz w:val="32"/>
      <w:szCs w:val="32"/>
    </w:rPr>
  </w:style>
  <w:style w:type="paragraph" w:styleId="3">
    <w:name w:val="heading 2"/>
    <w:basedOn w:val="1"/>
    <w:next w:val="1"/>
    <w:link w:val="44"/>
    <w:unhideWhenUsed/>
    <w:qFormat/>
    <w:uiPriority w:val="0"/>
    <w:pPr>
      <w:snapToGrid w:val="0"/>
      <w:jc w:val="center"/>
      <w:outlineLvl w:val="1"/>
    </w:pPr>
    <w:rPr>
      <w:rFonts w:ascii="仿宋_GB2312" w:hAnsi="仿宋_GB2312" w:eastAsia="仿宋_GB2312" w:cs="仿宋_GB2312"/>
      <w:b/>
      <w:bCs/>
      <w:sz w:val="32"/>
      <w:szCs w:val="32"/>
    </w:rPr>
  </w:style>
  <w:style w:type="paragraph" w:styleId="4">
    <w:name w:val="heading 3"/>
    <w:basedOn w:val="3"/>
    <w:next w:val="1"/>
    <w:link w:val="34"/>
    <w:unhideWhenUsed/>
    <w:qFormat/>
    <w:uiPriority w:val="0"/>
    <w:pPr>
      <w:numPr>
        <w:ilvl w:val="0"/>
        <w:numId w:val="1"/>
      </w:numPr>
      <w:jc w:val="left"/>
      <w:outlineLvl w:val="2"/>
    </w:p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qFormat/>
    <w:uiPriority w:val="0"/>
    <w:pPr>
      <w:ind w:left="1440"/>
    </w:pPr>
    <w:rPr>
      <w:rFonts w:asciiTheme="minorHAnsi" w:hAnsiTheme="minorHAnsi" w:cstheme="minorHAnsi"/>
      <w:sz w:val="18"/>
      <w:szCs w:val="18"/>
    </w:rPr>
  </w:style>
  <w:style w:type="paragraph" w:styleId="6">
    <w:name w:val="caption"/>
    <w:basedOn w:val="1"/>
    <w:next w:val="1"/>
    <w:unhideWhenUsed/>
    <w:qFormat/>
    <w:uiPriority w:val="0"/>
    <w:rPr>
      <w:rFonts w:eastAsia="黑体" w:asciiTheme="majorHAnsi" w:hAnsiTheme="majorHAnsi" w:cstheme="majorBidi"/>
      <w:sz w:val="20"/>
      <w:szCs w:val="20"/>
    </w:rPr>
  </w:style>
  <w:style w:type="paragraph" w:styleId="7">
    <w:name w:val="annotation text"/>
    <w:basedOn w:val="1"/>
    <w:link w:val="42"/>
    <w:qFormat/>
    <w:uiPriority w:val="0"/>
  </w:style>
  <w:style w:type="paragraph" w:styleId="8">
    <w:name w:val="toc 5"/>
    <w:basedOn w:val="1"/>
    <w:next w:val="1"/>
    <w:qFormat/>
    <w:uiPriority w:val="0"/>
    <w:pPr>
      <w:ind w:left="960"/>
    </w:pPr>
    <w:rPr>
      <w:rFonts w:asciiTheme="minorHAnsi" w:hAnsiTheme="minorHAnsi" w:cstheme="minorHAnsi"/>
      <w:sz w:val="18"/>
      <w:szCs w:val="18"/>
    </w:rPr>
  </w:style>
  <w:style w:type="paragraph" w:styleId="9">
    <w:name w:val="toc 3"/>
    <w:basedOn w:val="1"/>
    <w:next w:val="1"/>
    <w:qFormat/>
    <w:uiPriority w:val="39"/>
    <w:pPr>
      <w:ind w:left="480"/>
    </w:pPr>
    <w:rPr>
      <w:rFonts w:asciiTheme="minorHAnsi" w:hAnsiTheme="minorHAnsi" w:cstheme="minorHAnsi"/>
      <w:i/>
      <w:iCs/>
      <w:sz w:val="20"/>
      <w:szCs w:val="20"/>
    </w:rPr>
  </w:style>
  <w:style w:type="paragraph" w:styleId="10">
    <w:name w:val="toc 8"/>
    <w:basedOn w:val="1"/>
    <w:next w:val="1"/>
    <w:qFormat/>
    <w:uiPriority w:val="0"/>
    <w:pPr>
      <w:ind w:left="1680"/>
    </w:pPr>
    <w:rPr>
      <w:rFonts w:asciiTheme="minorHAnsi" w:hAnsiTheme="minorHAnsi" w:cstheme="minorHAnsi"/>
      <w:sz w:val="18"/>
      <w:szCs w:val="18"/>
    </w:rPr>
  </w:style>
  <w:style w:type="paragraph" w:styleId="11">
    <w:name w:val="Balloon Text"/>
    <w:basedOn w:val="1"/>
    <w:link w:val="41"/>
    <w:qFormat/>
    <w:uiPriority w:val="0"/>
    <w:rPr>
      <w:sz w:val="18"/>
      <w:szCs w:val="18"/>
    </w:rPr>
  </w:style>
  <w:style w:type="paragraph" w:styleId="12">
    <w:name w:val="footer"/>
    <w:basedOn w:val="1"/>
    <w:qFormat/>
    <w:uiPriority w:val="0"/>
    <w:pPr>
      <w:tabs>
        <w:tab w:val="center" w:pos="4153"/>
        <w:tab w:val="right" w:pos="8306"/>
      </w:tabs>
      <w:snapToGrid w:val="0"/>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qFormat/>
    <w:uiPriority w:val="39"/>
    <w:pPr>
      <w:tabs>
        <w:tab w:val="right" w:leader="dot" w:pos="8296"/>
      </w:tabs>
      <w:spacing w:before="120" w:after="120"/>
      <w:jc w:val="center"/>
    </w:pPr>
    <w:rPr>
      <w:rFonts w:asciiTheme="minorHAnsi" w:hAnsiTheme="minorHAnsi" w:cstheme="minorHAnsi"/>
      <w:b/>
      <w:bCs/>
      <w:caps/>
      <w:sz w:val="20"/>
      <w:szCs w:val="20"/>
    </w:rPr>
  </w:style>
  <w:style w:type="paragraph" w:styleId="15">
    <w:name w:val="toc 4"/>
    <w:basedOn w:val="1"/>
    <w:next w:val="1"/>
    <w:qFormat/>
    <w:uiPriority w:val="0"/>
    <w:pPr>
      <w:ind w:left="720"/>
    </w:pPr>
    <w:rPr>
      <w:rFonts w:asciiTheme="minorHAnsi" w:hAnsiTheme="minorHAnsi" w:cstheme="minorHAnsi"/>
      <w:sz w:val="18"/>
      <w:szCs w:val="18"/>
    </w:rPr>
  </w:style>
  <w:style w:type="paragraph" w:styleId="16">
    <w:name w:val="toc 6"/>
    <w:basedOn w:val="1"/>
    <w:next w:val="1"/>
    <w:qFormat/>
    <w:uiPriority w:val="0"/>
    <w:pPr>
      <w:ind w:left="1200"/>
    </w:pPr>
    <w:rPr>
      <w:rFonts w:asciiTheme="minorHAnsi" w:hAnsiTheme="minorHAnsi" w:cstheme="minorHAnsi"/>
      <w:sz w:val="18"/>
      <w:szCs w:val="18"/>
    </w:rPr>
  </w:style>
  <w:style w:type="paragraph" w:styleId="17">
    <w:name w:val="table of figures"/>
    <w:basedOn w:val="1"/>
    <w:next w:val="1"/>
    <w:qFormat/>
    <w:uiPriority w:val="99"/>
    <w:pPr>
      <w:ind w:left="200" w:leftChars="200" w:hanging="200" w:hangingChars="200"/>
    </w:pPr>
  </w:style>
  <w:style w:type="paragraph" w:styleId="18">
    <w:name w:val="toc 2"/>
    <w:basedOn w:val="1"/>
    <w:next w:val="1"/>
    <w:qFormat/>
    <w:uiPriority w:val="39"/>
    <w:pPr>
      <w:ind w:left="240"/>
    </w:pPr>
    <w:rPr>
      <w:rFonts w:asciiTheme="minorHAnsi" w:hAnsiTheme="minorHAnsi" w:cstheme="minorHAnsi"/>
      <w:smallCaps/>
      <w:sz w:val="20"/>
      <w:szCs w:val="20"/>
    </w:rPr>
  </w:style>
  <w:style w:type="paragraph" w:styleId="19">
    <w:name w:val="toc 9"/>
    <w:basedOn w:val="1"/>
    <w:next w:val="1"/>
    <w:qFormat/>
    <w:uiPriority w:val="0"/>
    <w:pPr>
      <w:ind w:left="1920"/>
    </w:pPr>
    <w:rPr>
      <w:rFonts w:asciiTheme="minorHAnsi" w:hAnsiTheme="minorHAnsi" w:cstheme="minorHAnsi"/>
      <w:sz w:val="18"/>
      <w:szCs w:val="18"/>
    </w:rPr>
  </w:style>
  <w:style w:type="paragraph" w:styleId="20">
    <w:name w:val="Normal (Web)"/>
    <w:basedOn w:val="1"/>
    <w:qFormat/>
    <w:uiPriority w:val="0"/>
    <w:rPr>
      <w:rFonts w:ascii="Calibri" w:hAnsi="Calibri" w:cs="Times New Roman"/>
    </w:rPr>
  </w:style>
  <w:style w:type="paragraph" w:styleId="21">
    <w:name w:val="Title"/>
    <w:basedOn w:val="1"/>
    <w:next w:val="1"/>
    <w:link w:val="36"/>
    <w:qFormat/>
    <w:uiPriority w:val="0"/>
    <w:pPr>
      <w:spacing w:before="240" w:after="60"/>
      <w:jc w:val="center"/>
      <w:outlineLvl w:val="0"/>
    </w:pPr>
    <w:rPr>
      <w:rFonts w:asciiTheme="majorHAnsi" w:hAnsiTheme="majorHAnsi" w:eastAsiaTheme="majorEastAsia" w:cstheme="majorBidi"/>
      <w:b/>
      <w:bCs/>
      <w:sz w:val="32"/>
      <w:szCs w:val="32"/>
    </w:rPr>
  </w:style>
  <w:style w:type="paragraph" w:styleId="22">
    <w:name w:val="annotation subject"/>
    <w:basedOn w:val="7"/>
    <w:next w:val="7"/>
    <w:link w:val="43"/>
    <w:qFormat/>
    <w:uiPriority w:val="0"/>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FollowedHyperlink"/>
    <w:basedOn w:val="25"/>
    <w:qFormat/>
    <w:uiPriority w:val="0"/>
    <w:rPr>
      <w:color w:val="954F72" w:themeColor="followedHyperlink"/>
      <w:u w:val="single"/>
      <w14:textFill>
        <w14:solidFill>
          <w14:schemeClr w14:val="folHlink"/>
        </w14:solidFill>
      </w14:textFill>
    </w:rPr>
  </w:style>
  <w:style w:type="character" w:styleId="28">
    <w:name w:val="Hyperlink"/>
    <w:basedOn w:val="25"/>
    <w:qFormat/>
    <w:uiPriority w:val="99"/>
    <w:rPr>
      <w:color w:val="0000FF"/>
      <w:u w:val="single"/>
    </w:rPr>
  </w:style>
  <w:style w:type="character" w:styleId="29">
    <w:name w:val="annotation reference"/>
    <w:basedOn w:val="25"/>
    <w:qFormat/>
    <w:uiPriority w:val="0"/>
    <w:rPr>
      <w:sz w:val="21"/>
      <w:szCs w:val="21"/>
    </w:rPr>
  </w:style>
  <w:style w:type="character" w:customStyle="1" w:styleId="30">
    <w:name w:val="font91"/>
    <w:basedOn w:val="25"/>
    <w:qFormat/>
    <w:uiPriority w:val="0"/>
    <w:rPr>
      <w:rFonts w:ascii="Arial" w:hAnsi="Arial" w:cs="Arial"/>
      <w:color w:val="000000"/>
      <w:sz w:val="16"/>
      <w:szCs w:val="16"/>
      <w:u w:val="none"/>
    </w:rPr>
  </w:style>
  <w:style w:type="character" w:customStyle="1" w:styleId="31">
    <w:name w:val="font51"/>
    <w:basedOn w:val="25"/>
    <w:qFormat/>
    <w:uiPriority w:val="0"/>
    <w:rPr>
      <w:rFonts w:hint="eastAsia" w:ascii="宋体" w:hAnsi="宋体" w:eastAsia="宋体" w:cs="宋体"/>
      <w:color w:val="000000"/>
      <w:sz w:val="16"/>
      <w:szCs w:val="16"/>
      <w:u w:val="none"/>
    </w:rPr>
  </w:style>
  <w:style w:type="paragraph" w:customStyle="1" w:styleId="32">
    <w:name w:val="文字"/>
    <w:qFormat/>
    <w:uiPriority w:val="0"/>
    <w:pPr>
      <w:adjustRightInd w:val="0"/>
      <w:snapToGrid w:val="0"/>
      <w:spacing w:line="360" w:lineRule="auto"/>
      <w:ind w:firstLine="560" w:firstLineChars="200"/>
    </w:pPr>
    <w:rPr>
      <w:rFonts w:ascii="仿宋_GB2312" w:hAnsi="仿宋_GB2312" w:eastAsia="仿宋_GB2312" w:cs="仿宋_GB2312"/>
      <w:bCs/>
      <w:kern w:val="44"/>
      <w:sz w:val="28"/>
      <w:szCs w:val="28"/>
      <w:lang w:val="en-US" w:eastAsia="zh-CN" w:bidi="ar-SA"/>
    </w:rPr>
  </w:style>
  <w:style w:type="paragraph" w:styleId="33">
    <w:name w:val="List Paragraph"/>
    <w:basedOn w:val="1"/>
    <w:unhideWhenUsed/>
    <w:qFormat/>
    <w:uiPriority w:val="99"/>
    <w:pPr>
      <w:ind w:firstLine="420" w:firstLineChars="200"/>
    </w:pPr>
  </w:style>
  <w:style w:type="character" w:customStyle="1" w:styleId="34">
    <w:name w:val="标题 3 字符"/>
    <w:link w:val="4"/>
    <w:semiHidden/>
    <w:qFormat/>
    <w:uiPriority w:val="0"/>
    <w:rPr>
      <w:rFonts w:ascii="仿宋_GB2312" w:hAnsi="仿宋_GB2312" w:eastAsia="仿宋_GB2312" w:cs="仿宋_GB2312"/>
      <w:b/>
      <w:bCs/>
      <w:sz w:val="32"/>
      <w:szCs w:val="32"/>
      <w:lang w:val="en-US" w:eastAsia="zh-CN" w:bidi="ar-SA"/>
    </w:rPr>
  </w:style>
  <w:style w:type="character" w:customStyle="1" w:styleId="35">
    <w:name w:val="未处理的提及1"/>
    <w:basedOn w:val="25"/>
    <w:semiHidden/>
    <w:unhideWhenUsed/>
    <w:qFormat/>
    <w:uiPriority w:val="99"/>
    <w:rPr>
      <w:color w:val="605E5C"/>
      <w:shd w:val="clear" w:color="auto" w:fill="E1DFDD"/>
    </w:rPr>
  </w:style>
  <w:style w:type="character" w:customStyle="1" w:styleId="36">
    <w:name w:val="标题 字符"/>
    <w:basedOn w:val="25"/>
    <w:link w:val="21"/>
    <w:qFormat/>
    <w:uiPriority w:val="0"/>
    <w:rPr>
      <w:rFonts w:asciiTheme="majorHAnsi" w:hAnsiTheme="majorHAnsi" w:eastAsiaTheme="majorEastAsia" w:cstheme="majorBidi"/>
      <w:b/>
      <w:bCs/>
      <w:sz w:val="32"/>
      <w:szCs w:val="32"/>
    </w:rPr>
  </w:style>
  <w:style w:type="character" w:customStyle="1" w:styleId="37">
    <w:name w:val="不明显强调1"/>
    <w:basedOn w:val="25"/>
    <w:qFormat/>
    <w:uiPriority w:val="19"/>
    <w:rPr>
      <w:i/>
      <w:iCs/>
      <w:color w:val="404040" w:themeColor="text1" w:themeTint="BF"/>
      <w14:textFill>
        <w14:solidFill>
          <w14:schemeClr w14:val="tx1">
            <w14:lumMod w14:val="75000"/>
            <w14:lumOff w14:val="25000"/>
          </w14:schemeClr>
        </w14:solidFill>
      </w14:textFill>
    </w:rPr>
  </w:style>
  <w:style w:type="paragraph" w:customStyle="1" w:styleId="38">
    <w:name w:val="表格文字"/>
    <w:basedOn w:val="32"/>
    <w:qFormat/>
    <w:uiPriority w:val="0"/>
    <w:pPr>
      <w:ind w:left="-2" w:leftChars="-1" w:firstLine="0" w:firstLineChars="0"/>
    </w:pPr>
  </w:style>
  <w:style w:type="character" w:customStyle="1" w:styleId="39">
    <w:name w:val="未处理的提及2"/>
    <w:basedOn w:val="25"/>
    <w:semiHidden/>
    <w:unhideWhenUsed/>
    <w:qFormat/>
    <w:uiPriority w:val="99"/>
    <w:rPr>
      <w:color w:val="605E5C"/>
      <w:shd w:val="clear" w:color="auto" w:fill="E1DFDD"/>
    </w:rPr>
  </w:style>
  <w:style w:type="table" w:customStyle="1" w:styleId="40">
    <w:name w:val="无格式表格 21"/>
    <w:basedOn w:val="2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41">
    <w:name w:val="批注框文本 字符"/>
    <w:basedOn w:val="25"/>
    <w:link w:val="11"/>
    <w:qFormat/>
    <w:uiPriority w:val="0"/>
    <w:rPr>
      <w:rFonts w:ascii="宋体" w:hAnsi="宋体" w:cs="宋体"/>
      <w:sz w:val="18"/>
      <w:szCs w:val="18"/>
    </w:rPr>
  </w:style>
  <w:style w:type="character" w:customStyle="1" w:styleId="42">
    <w:name w:val="批注文字 字符"/>
    <w:basedOn w:val="25"/>
    <w:link w:val="7"/>
    <w:qFormat/>
    <w:uiPriority w:val="0"/>
    <w:rPr>
      <w:rFonts w:ascii="宋体" w:hAnsi="宋体" w:cs="宋体"/>
      <w:sz w:val="24"/>
      <w:szCs w:val="24"/>
    </w:rPr>
  </w:style>
  <w:style w:type="character" w:customStyle="1" w:styleId="43">
    <w:name w:val="批注主题 字符"/>
    <w:basedOn w:val="42"/>
    <w:link w:val="22"/>
    <w:qFormat/>
    <w:uiPriority w:val="0"/>
    <w:rPr>
      <w:rFonts w:ascii="宋体" w:hAnsi="宋体" w:cs="宋体"/>
      <w:b/>
      <w:bCs/>
      <w:sz w:val="24"/>
      <w:szCs w:val="24"/>
    </w:rPr>
  </w:style>
  <w:style w:type="character" w:customStyle="1" w:styleId="44">
    <w:name w:val="标题 2 字符"/>
    <w:link w:val="3"/>
    <w:qFormat/>
    <w:uiPriority w:val="0"/>
    <w:rPr>
      <w:rFonts w:ascii="仿宋_GB2312" w:hAnsi="仿宋_GB2312" w:eastAsia="仿宋_GB2312" w:cs="仿宋_GB2312"/>
      <w:b/>
      <w:bCs/>
      <w:sz w:val="32"/>
      <w:szCs w:val="32"/>
      <w:lang w:val="en-US" w:eastAsia="zh-CN" w:bidi="ar-SA"/>
    </w:rPr>
  </w:style>
  <w:style w:type="table" w:customStyle="1" w:styleId="45">
    <w:name w:val="清单表 3 - 着色 11"/>
    <w:basedOn w:val="23"/>
    <w:qFormat/>
    <w:uiPriority w:val="48"/>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val="FFFFFF" w:themeColor="background1"/>
        <w14:textFill>
          <w14:solidFill>
            <w14:schemeClr w14:val="bg1"/>
          </w14:solidFill>
        </w14:textFill>
      </w:rPr>
      <w:tcPr>
        <w:shd w:val="clear" w:color="auto" w:fill="5B9BD5" w:themeFill="accent1"/>
      </w:tcPr>
    </w:tblStylePr>
    <w:tblStylePr w:type="lastRow">
      <w:rPr>
        <w:b/>
        <w:bCs/>
      </w:rPr>
      <w:tcPr>
        <w:tcBorders>
          <w:top w:val="double" w:color="5B9BD5"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B9BD5" w:themeColor="accent1" w:sz="4" w:space="0"/>
          <w:right w:val="single" w:color="5B9BD5" w:themeColor="accent1" w:sz="4" w:space="0"/>
        </w:tcBorders>
      </w:tcPr>
    </w:tblStylePr>
    <w:tblStylePr w:type="band1Horz">
      <w:tcPr>
        <w:tcBorders>
          <w:top w:val="single" w:color="5B9BD5" w:themeColor="accent1" w:sz="4" w:space="0"/>
          <w:bottom w:val="single" w:color="5B9BD5"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B9BD5" w:themeColor="accent1" w:sz="4" w:space="0"/>
          <w:left w:val="nil"/>
        </w:tcBorders>
      </w:tcPr>
    </w:tblStylePr>
    <w:tblStylePr w:type="swCell">
      <w:tcPr>
        <w:tcBorders>
          <w:top w:val="double" w:color="5B9BD5" w:themeColor="accent1" w:sz="4" w:space="0"/>
          <w:right w:val="nil"/>
        </w:tcBorders>
      </w:tcPr>
    </w:tblStylePr>
  </w:style>
  <w:style w:type="character" w:customStyle="1" w:styleId="46">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421170-282B-CB47-A1ED-672013FA7277}">
  <ds:schemaRefs/>
</ds:datastoreItem>
</file>

<file path=docProps/app.xml><?xml version="1.0" encoding="utf-8"?>
<Properties xmlns="http://schemas.openxmlformats.org/officeDocument/2006/extended-properties" xmlns:vt="http://schemas.openxmlformats.org/officeDocument/2006/docPropsVTypes">
  <Template>Normal.dotm</Template>
  <Company>集团总部</Company>
  <Pages>9</Pages>
  <Words>4376</Words>
  <Characters>6088</Characters>
  <Lines>55</Lines>
  <Paragraphs>15</Paragraphs>
  <TotalTime>58</TotalTime>
  <ScaleCrop>false</ScaleCrop>
  <LinksUpToDate>false</LinksUpToDate>
  <CharactersWithSpaces>6125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2025-03-16T05:36:00Z</dcterms:created>
  <dc:creator>任毅</dc:creator>
  <cp:lastModifiedBy>蓝天小云</cp:lastModifiedBy>
  <dcterms:modified xsi:type="dcterms:W3CDTF">2025-10-10T06:22:21Z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69B2ADB5A24B4895ACC8D6450E190A22</vt:lpwstr>
  </property>
  <property fmtid="{D5CDD505-2E9C-101B-9397-08002B2CF9AE}" pid="4" name="KSOTemplateDocerSaveRecord">
    <vt:lpwstr>eyJoZGlkIjoiYTAyYWMzNzNkNTc2NDA5ZjJhMjk3NmNmMDFlMDMyNGIiLCJ1c2VySWQiOiIzNTY3OTY0OTMifQ==</vt:lpwstr>
  </property>
</Properties>
</file>