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0334C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1D726450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189DC712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3FC599BD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00278D5D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5D9F7C82">
      <w:pPr>
        <w:snapToGrid w:val="0"/>
        <w:spacing w:line="360" w:lineRule="auto"/>
        <w:ind w:firstLine="897"/>
        <w:jc w:val="both"/>
        <w:rPr>
          <w:rFonts w:ascii="黑体" w:hAnsi="黑体" w:eastAsia="黑体" w:cs="黑体"/>
          <w:b/>
          <w:bCs/>
          <w:sz w:val="44"/>
          <w:szCs w:val="52"/>
        </w:rPr>
      </w:pPr>
    </w:p>
    <w:p w14:paraId="6002290B">
      <w:pPr>
        <w:snapToGrid w:val="0"/>
        <w:spacing w:line="360" w:lineRule="auto"/>
        <w:ind w:firstLine="897"/>
        <w:jc w:val="center"/>
        <w:rPr>
          <w:rFonts w:ascii="黑体" w:hAnsi="黑体" w:eastAsia="黑体" w:cs="黑体"/>
          <w:b/>
          <w:bCs/>
          <w:sz w:val="44"/>
          <w:szCs w:val="52"/>
        </w:rPr>
      </w:pPr>
      <w:r>
        <w:rPr>
          <w:rFonts w:hint="eastAsia" w:ascii="黑体" w:hAnsi="黑体" w:eastAsia="黑体" w:cs="黑体"/>
          <w:b/>
          <w:bCs/>
          <w:sz w:val="44"/>
          <w:szCs w:val="52"/>
        </w:rPr>
        <w:t xml:space="preserve"> 每周政策速递</w:t>
      </w:r>
    </w:p>
    <w:p w14:paraId="49B54A9F">
      <w:pPr>
        <w:snapToGrid w:val="0"/>
        <w:spacing w:line="360" w:lineRule="auto"/>
        <w:ind w:firstLine="897"/>
        <w:jc w:val="center"/>
        <w:rPr>
          <w:rFonts w:ascii="黑体" w:hAnsi="黑体" w:eastAsia="黑体" w:cs="黑体"/>
          <w:b/>
          <w:bCs/>
          <w:sz w:val="44"/>
          <w:szCs w:val="52"/>
        </w:rPr>
      </w:pPr>
      <w:r>
        <w:rPr>
          <w:rFonts w:hint="eastAsia" w:ascii="黑体" w:hAnsi="黑体" w:eastAsia="黑体" w:cs="黑体"/>
          <w:b/>
          <w:bCs/>
          <w:sz w:val="44"/>
          <w:szCs w:val="52"/>
        </w:rPr>
        <w:t>（</w:t>
      </w:r>
      <w:r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  <w:t>9</w:t>
      </w:r>
      <w:r>
        <w:rPr>
          <w:rFonts w:hint="eastAsia" w:ascii="黑体" w:hAnsi="黑体" w:eastAsia="黑体" w:cs="黑体"/>
          <w:b/>
          <w:bCs/>
          <w:sz w:val="44"/>
          <w:szCs w:val="52"/>
        </w:rPr>
        <w:t>月</w:t>
      </w:r>
      <w:r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sz w:val="44"/>
          <w:szCs w:val="52"/>
        </w:rPr>
        <w:t>日-</w:t>
      </w:r>
      <w:r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  <w:t>9</w:t>
      </w:r>
      <w:r>
        <w:rPr>
          <w:rFonts w:hint="eastAsia" w:ascii="黑体" w:hAnsi="黑体" w:eastAsia="黑体" w:cs="黑体"/>
          <w:b/>
          <w:bCs/>
          <w:sz w:val="44"/>
          <w:szCs w:val="52"/>
        </w:rPr>
        <w:t>月</w:t>
      </w:r>
      <w:r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  <w:t>12</w:t>
      </w:r>
      <w:r>
        <w:rPr>
          <w:rFonts w:hint="eastAsia" w:ascii="黑体" w:hAnsi="黑体" w:eastAsia="黑体" w:cs="黑体"/>
          <w:b/>
          <w:bCs/>
          <w:sz w:val="44"/>
          <w:szCs w:val="52"/>
        </w:rPr>
        <w:t>日）</w:t>
      </w:r>
    </w:p>
    <w:p w14:paraId="555F551E">
      <w:pPr>
        <w:snapToGrid w:val="0"/>
        <w:spacing w:line="360" w:lineRule="auto"/>
        <w:ind w:firstLine="720"/>
        <w:jc w:val="center"/>
        <w:rPr>
          <w:sz w:val="36"/>
          <w:szCs w:val="44"/>
        </w:rPr>
      </w:pPr>
    </w:p>
    <w:p w14:paraId="1BBA3328">
      <w:pPr>
        <w:snapToGrid w:val="0"/>
        <w:spacing w:line="360" w:lineRule="auto"/>
        <w:ind w:firstLine="720"/>
        <w:jc w:val="center"/>
        <w:rPr>
          <w:sz w:val="36"/>
          <w:szCs w:val="44"/>
        </w:rPr>
      </w:pPr>
    </w:p>
    <w:p w14:paraId="47ECA664">
      <w:pPr>
        <w:snapToGrid w:val="0"/>
        <w:spacing w:line="360" w:lineRule="auto"/>
        <w:ind w:firstLine="720"/>
        <w:jc w:val="center"/>
        <w:rPr>
          <w:sz w:val="36"/>
          <w:szCs w:val="44"/>
        </w:rPr>
      </w:pPr>
    </w:p>
    <w:p w14:paraId="621928D3">
      <w:pPr>
        <w:snapToGrid w:val="0"/>
        <w:spacing w:line="360" w:lineRule="auto"/>
        <w:ind w:firstLine="720"/>
        <w:jc w:val="center"/>
        <w:rPr>
          <w:sz w:val="36"/>
          <w:szCs w:val="44"/>
        </w:rPr>
      </w:pPr>
    </w:p>
    <w:p w14:paraId="172DDBCD">
      <w:pPr>
        <w:snapToGrid w:val="0"/>
        <w:spacing w:line="360" w:lineRule="auto"/>
        <w:jc w:val="center"/>
        <w:rPr>
          <w:sz w:val="28"/>
          <w:szCs w:val="36"/>
        </w:rPr>
      </w:pPr>
    </w:p>
    <w:p w14:paraId="4F7F58AE">
      <w:pPr>
        <w:snapToGrid w:val="0"/>
        <w:spacing w:line="360" w:lineRule="auto"/>
        <w:jc w:val="center"/>
        <w:rPr>
          <w:sz w:val="28"/>
          <w:szCs w:val="36"/>
        </w:rPr>
      </w:pPr>
    </w:p>
    <w:p w14:paraId="0B76DE71">
      <w:pPr>
        <w:snapToGrid w:val="0"/>
        <w:spacing w:line="360" w:lineRule="auto"/>
        <w:jc w:val="center"/>
        <w:rPr>
          <w:sz w:val="28"/>
          <w:szCs w:val="36"/>
        </w:rPr>
      </w:pPr>
    </w:p>
    <w:p w14:paraId="24C487AA">
      <w:pPr>
        <w:snapToGrid w:val="0"/>
        <w:spacing w:line="360" w:lineRule="auto"/>
        <w:jc w:val="center"/>
        <w:rPr>
          <w:sz w:val="28"/>
          <w:szCs w:val="36"/>
        </w:rPr>
      </w:pPr>
    </w:p>
    <w:p w14:paraId="012ECE2B">
      <w:pPr>
        <w:snapToGrid w:val="0"/>
        <w:spacing w:line="360" w:lineRule="auto"/>
        <w:jc w:val="center"/>
        <w:rPr>
          <w:sz w:val="28"/>
          <w:szCs w:val="36"/>
        </w:rPr>
      </w:pPr>
    </w:p>
    <w:p w14:paraId="50B34A26">
      <w:pPr>
        <w:snapToGrid w:val="0"/>
        <w:spacing w:line="360" w:lineRule="auto"/>
        <w:jc w:val="center"/>
        <w:rPr>
          <w:sz w:val="28"/>
          <w:szCs w:val="36"/>
        </w:rPr>
      </w:pPr>
    </w:p>
    <w:p w14:paraId="5125022F">
      <w:pPr>
        <w:snapToGrid w:val="0"/>
        <w:spacing w:line="360" w:lineRule="auto"/>
        <w:jc w:val="center"/>
        <w:rPr>
          <w:sz w:val="28"/>
          <w:szCs w:val="36"/>
        </w:rPr>
      </w:pPr>
    </w:p>
    <w:p w14:paraId="41EA7610">
      <w:pPr>
        <w:snapToGrid w:val="0"/>
        <w:spacing w:line="360" w:lineRule="auto"/>
        <w:ind w:firstLine="560"/>
        <w:jc w:val="both"/>
      </w:pPr>
    </w:p>
    <w:p w14:paraId="7E4363B5">
      <w:pPr>
        <w:pStyle w:val="2"/>
        <w:jc w:val="both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43E20BD">
      <w:pPr>
        <w:pStyle w:val="2"/>
        <w:jc w:val="both"/>
      </w:pPr>
      <w:bookmarkStart w:id="0" w:name="_Toc26001"/>
      <w:r>
        <w:rPr>
          <w:rFonts w:hint="eastAsia"/>
        </w:rPr>
        <w:t>目录</w:t>
      </w:r>
      <w:bookmarkEnd w:id="0"/>
    </w:p>
    <w:p w14:paraId="132A83C1">
      <w:pPr>
        <w:pStyle w:val="14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TOC \o "1-3" \h \z \u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ascii="微软雅黑" w:hAnsi="微软雅黑" w:eastAsia="微软雅黑"/>
          <w:szCs w:val="21"/>
        </w:rPr>
        <w:fldChar w:fldCharType="begin"/>
      </w:r>
      <w:r>
        <w:rPr>
          <w:rFonts w:ascii="微软雅黑" w:hAnsi="微软雅黑" w:eastAsia="微软雅黑"/>
          <w:szCs w:val="21"/>
        </w:rPr>
        <w:instrText xml:space="preserve"> HYPERLINK \l _Toc26001 </w:instrText>
      </w:r>
      <w:r>
        <w:rPr>
          <w:rFonts w:ascii="微软雅黑" w:hAnsi="微软雅黑" w:eastAsia="微软雅黑"/>
          <w:szCs w:val="21"/>
        </w:rPr>
        <w:fldChar w:fldCharType="separate"/>
      </w:r>
      <w:r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_Toc26001 \h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hAnsi="微软雅黑" w:eastAsia="微软雅黑"/>
          <w:szCs w:val="21"/>
        </w:rPr>
        <w:fldChar w:fldCharType="end"/>
      </w:r>
    </w:p>
    <w:p w14:paraId="54DAD21E">
      <w:pPr>
        <w:pStyle w:val="14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_Toc14474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重点.关注</w:t>
      </w:r>
      <w:r>
        <w:tab/>
      </w:r>
      <w:r>
        <w:fldChar w:fldCharType="begin"/>
      </w:r>
      <w:r>
        <w:instrText xml:space="preserve"> PAGEREF _Toc14474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6B8BEC47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_Toc550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  <w:lang w:val="en-US"/>
        </w:rPr>
        <w:t xml:space="preserve">(1) </w:t>
      </w:r>
      <w:r>
        <w:rPr>
          <w:rFonts w:hint="eastAsia"/>
        </w:rPr>
        <w:t>国新办举行“高质量完成‘十四五’规划”系列主题新闻发布会</w:t>
      </w:r>
      <w:r>
        <w:tab/>
      </w:r>
      <w:r>
        <w:fldChar w:fldCharType="begin"/>
      </w:r>
      <w:r>
        <w:instrText xml:space="preserve"> PAGEREF _Toc550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4C24EA44">
      <w:pPr>
        <w:pStyle w:val="14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_Toc26154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政策.速递</w:t>
      </w:r>
      <w:r>
        <w:tab/>
      </w:r>
      <w:r>
        <w:fldChar w:fldCharType="begin"/>
      </w:r>
      <w:r>
        <w:instrText xml:space="preserve"> PAGEREF _Toc26154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10EEB932">
      <w:pPr>
        <w:pStyle w:val="18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_Toc7745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中央</w:t>
      </w:r>
      <w:r>
        <w:tab/>
      </w:r>
      <w:r>
        <w:fldChar w:fldCharType="begin"/>
      </w:r>
      <w:r>
        <w:instrText xml:space="preserve"> PAGEREF _Toc7745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607A93A5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_Toc5510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(1) </w:t>
      </w:r>
      <w:r>
        <w:rPr>
          <w:rFonts w:hint="eastAsia"/>
        </w:rPr>
        <w:t>《关于全国部分地区要素市场化配置综合改革试点实施方案的批复》</w:t>
      </w:r>
      <w:r>
        <w:tab/>
      </w:r>
      <w:r>
        <w:fldChar w:fldCharType="begin"/>
      </w:r>
      <w:r>
        <w:instrText xml:space="preserve"> PAGEREF _Toc5510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55EE150B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_Toc11596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(2) </w:t>
      </w:r>
      <w:r>
        <w:rPr>
          <w:rFonts w:hint="eastAsia"/>
        </w:rPr>
        <w:t>《电力装备行业稳增长工作方案（2025-2026年）》</w:t>
      </w:r>
      <w:r>
        <w:tab/>
      </w:r>
      <w:r>
        <w:fldChar w:fldCharType="begin"/>
      </w:r>
      <w:r>
        <w:instrText xml:space="preserve"> PAGEREF _Toc11596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7E0659E5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_Toc6318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(3) </w:t>
      </w:r>
      <w:r>
        <w:rPr>
          <w:rFonts w:hint="eastAsia"/>
        </w:rPr>
        <w:t>《工业母机高质量标准体系建设方案》</w:t>
      </w:r>
      <w:r>
        <w:tab/>
      </w:r>
      <w:r>
        <w:fldChar w:fldCharType="begin"/>
      </w:r>
      <w:r>
        <w:instrText xml:space="preserve"> PAGEREF _Toc6318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7C0D0A03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_Toc31773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(4) </w:t>
      </w:r>
      <w:r>
        <w:rPr>
          <w:rFonts w:hint="eastAsia"/>
        </w:rPr>
        <w:t>《电子信息制造业2025－2026年稳增长行动方案》</w:t>
      </w:r>
      <w:r>
        <w:tab/>
      </w:r>
      <w:r>
        <w:fldChar w:fldCharType="begin"/>
      </w:r>
      <w:r>
        <w:instrText xml:space="preserve"> PAGEREF _Toc31773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3E739CE0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_Toc26625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(5) </w:t>
      </w:r>
      <w:r>
        <w:rPr>
          <w:rFonts w:hint="eastAsia"/>
        </w:rPr>
        <w:t>《关于推进“人工智能+”能源高质量发展的实施意见》</w:t>
      </w:r>
      <w:r>
        <w:tab/>
      </w:r>
      <w:r>
        <w:fldChar w:fldCharType="begin"/>
      </w:r>
      <w:r>
        <w:instrText xml:space="preserve"> PAGEREF _Toc26625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02111748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_Toc3313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(6) </w:t>
      </w:r>
      <w:r>
        <w:rPr>
          <w:rFonts w:hint="eastAsia"/>
        </w:rPr>
        <w:t>《关于开展绿色液体燃料技术攻关和产业化试点工作（第一批）的通知》</w:t>
      </w:r>
      <w:r>
        <w:tab/>
      </w:r>
      <w:r>
        <w:fldChar w:fldCharType="begin"/>
      </w:r>
      <w:r>
        <w:instrText xml:space="preserve"> PAGEREF _Toc3313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28C44144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_Toc8891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(7) </w:t>
      </w:r>
      <w:r>
        <w:rPr>
          <w:rFonts w:hint="eastAsia"/>
        </w:rPr>
        <w:t>《医疗卫生强基工程实施方案》</w:t>
      </w:r>
      <w:r>
        <w:tab/>
      </w:r>
      <w:r>
        <w:fldChar w:fldCharType="begin"/>
      </w:r>
      <w:r>
        <w:instrText xml:space="preserve"> PAGEREF _Toc8891 \h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395F2D30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_Toc22591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(8) </w:t>
      </w:r>
      <w:r>
        <w:rPr>
          <w:rFonts w:hint="eastAsia"/>
        </w:rPr>
        <w:t>《关于2025年度卓越级智能工厂项目的公示》</w:t>
      </w:r>
      <w:r>
        <w:tab/>
      </w:r>
      <w:r>
        <w:fldChar w:fldCharType="begin"/>
      </w:r>
      <w:r>
        <w:instrText xml:space="preserve"> PAGEREF _Toc22591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3FB637D8">
      <w:pPr>
        <w:pStyle w:val="18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_Toc1272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湖北省</w:t>
      </w:r>
      <w:r>
        <w:tab/>
      </w:r>
      <w:r>
        <w:fldChar w:fldCharType="begin"/>
      </w:r>
      <w:r>
        <w:instrText xml:space="preserve"> PAGEREF _Toc1272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6772FC52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_Toc16688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(1) </w:t>
      </w:r>
      <w:r>
        <w:rPr>
          <w:rFonts w:hint="eastAsia"/>
        </w:rPr>
        <w:t>《关于开展2025年武汉工业智能化改造示范项目遴选工作的通知》</w:t>
      </w:r>
      <w:r>
        <w:tab/>
      </w:r>
      <w:r>
        <w:fldChar w:fldCharType="begin"/>
      </w:r>
      <w:r>
        <w:instrText xml:space="preserve"> PAGEREF _Toc16688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0FFA25B6">
      <w:pPr>
        <w:pStyle w:val="14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_Toc1747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eastAsia"/>
        </w:rPr>
        <w:t>热点.资讯</w:t>
      </w:r>
      <w:r>
        <w:tab/>
      </w:r>
      <w:r>
        <w:fldChar w:fldCharType="begin"/>
      </w:r>
      <w:r>
        <w:instrText xml:space="preserve"> PAGEREF _Toc1747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5B9FD967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_Toc17079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</w:rPr>
        <w:t xml:space="preserve">(1) </w:t>
      </w:r>
      <w:r>
        <w:rPr>
          <w:rFonts w:hint="eastAsia"/>
        </w:rPr>
        <w:t>王忠林主持召开省委常委会会议</w:t>
      </w:r>
      <w:r>
        <w:rPr>
          <w:rFonts w:hint="eastAsia"/>
          <w:lang w:eastAsia="zh-CN"/>
        </w:rPr>
        <w:t>，</w:t>
      </w:r>
      <w:r>
        <w:rPr>
          <w:rFonts w:hint="eastAsia"/>
        </w:rPr>
        <w:t>坚决完成全年经济社会发展目标任务</w:t>
      </w:r>
      <w:r>
        <w:tab/>
      </w:r>
      <w:r>
        <w:fldChar w:fldCharType="begin"/>
      </w:r>
      <w:r>
        <w:instrText xml:space="preserve"> PAGEREF _Toc17079 \h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35DB78AE">
      <w:pPr>
        <w:pStyle w:val="9"/>
        <w:tabs>
          <w:tab w:val="right" w:leader="dot" w:pos="8306"/>
        </w:tabs>
      </w:pPr>
      <w:r>
        <w:rPr>
          <w:rFonts w:ascii="微软雅黑" w:hAnsi="微软雅黑" w:eastAsia="微软雅黑"/>
          <w:szCs w:val="28"/>
        </w:rPr>
        <w:fldChar w:fldCharType="begin"/>
      </w:r>
      <w:r>
        <w:rPr>
          <w:rFonts w:ascii="微软雅黑" w:hAnsi="微软雅黑" w:eastAsia="微软雅黑"/>
          <w:szCs w:val="28"/>
        </w:rPr>
        <w:instrText xml:space="preserve"> HYPERLINK \l _Toc13712 </w:instrText>
      </w:r>
      <w:r>
        <w:rPr>
          <w:rFonts w:ascii="微软雅黑" w:hAnsi="微软雅黑" w:eastAsia="微软雅黑"/>
          <w:szCs w:val="28"/>
        </w:rPr>
        <w:fldChar w:fldCharType="separate"/>
      </w:r>
      <w:r>
        <w:rPr>
          <w:rFonts w:hint="default"/>
          <w:lang w:eastAsia="zh-CN"/>
        </w:rPr>
        <w:t xml:space="preserve">(2) </w:t>
      </w:r>
      <w:r>
        <w:rPr>
          <w:rFonts w:hint="eastAsia"/>
        </w:rPr>
        <w:t>首批质量管理能力高等级企业名单公布</w:t>
      </w:r>
      <w:r>
        <w:rPr>
          <w:rFonts w:hint="eastAsia"/>
          <w:lang w:eastAsia="zh-CN"/>
        </w:rPr>
        <w:t>，</w:t>
      </w:r>
      <w:r>
        <w:rPr>
          <w:rFonts w:hint="eastAsia"/>
        </w:rPr>
        <w:t>湖北6家上榜！</w:t>
      </w:r>
      <w:r>
        <w:tab/>
      </w:r>
      <w:r>
        <w:fldChar w:fldCharType="begin"/>
      </w:r>
      <w:r>
        <w:instrText xml:space="preserve"> PAGEREF _Toc13712 \h </w:instrText>
      </w:r>
      <w:r>
        <w:fldChar w:fldCharType="separate"/>
      </w:r>
      <w:r>
        <w:t>6</w:t>
      </w:r>
      <w:r>
        <w:fldChar w:fldCharType="end"/>
      </w:r>
      <w:r>
        <w:rPr>
          <w:rFonts w:ascii="微软雅黑" w:hAnsi="微软雅黑" w:eastAsia="微软雅黑"/>
          <w:szCs w:val="28"/>
        </w:rPr>
        <w:fldChar w:fldCharType="end"/>
      </w:r>
    </w:p>
    <w:p w14:paraId="1C0A0989">
      <w:pPr>
        <w:snapToGrid w:val="0"/>
        <w:spacing w:line="360" w:lineRule="auto"/>
        <w:jc w:val="both"/>
      </w:pPr>
      <w:r>
        <w:rPr>
          <w:rFonts w:ascii="微软雅黑" w:hAnsi="微软雅黑" w:eastAsia="微软雅黑"/>
          <w:szCs w:val="28"/>
        </w:rPr>
        <w:fldChar w:fldCharType="end"/>
      </w:r>
    </w:p>
    <w:p w14:paraId="187ABEAE">
      <w:pPr>
        <w:snapToGrid w:val="0"/>
        <w:spacing w:line="360" w:lineRule="auto"/>
        <w:jc w:val="both"/>
        <w:rPr>
          <w:rFonts w:ascii="方正小标宋简体" w:hAnsi="方正小标宋简体" w:eastAsia="方正小标宋简体" w:cs="方正小标宋简体"/>
          <w:b/>
          <w:kern w:val="44"/>
          <w:sz w:val="32"/>
          <w:szCs w:val="32"/>
        </w:rPr>
      </w:pPr>
      <w:r>
        <w:br w:type="page"/>
      </w:r>
    </w:p>
    <w:p w14:paraId="596FFC90">
      <w:pPr>
        <w:pStyle w:val="32"/>
        <w:jc w:val="both"/>
      </w:pPr>
    </w:p>
    <w:p w14:paraId="393FEC4A">
      <w:pPr>
        <w:pStyle w:val="2"/>
        <w:rPr>
          <w:rFonts w:hint="eastAsia"/>
        </w:rPr>
      </w:pPr>
      <w:bookmarkStart w:id="1" w:name="_Toc14474"/>
      <w:r>
        <w:rPr>
          <w:rFonts w:hint="eastAsia"/>
        </w:rPr>
        <w:t>重点.关注</w:t>
      </w:r>
      <w:bookmarkEnd w:id="1"/>
    </w:p>
    <w:p w14:paraId="136FC2A7"/>
    <w:p w14:paraId="1E5D5439">
      <w:pPr>
        <w:pStyle w:val="4"/>
        <w:bidi w:val="0"/>
        <w:rPr>
          <w:rFonts w:hint="default"/>
          <w:lang w:val="en-US"/>
        </w:rPr>
      </w:pPr>
      <w:bookmarkStart w:id="2" w:name="_Toc550"/>
      <w:r>
        <w:rPr>
          <w:rFonts w:hint="eastAsia"/>
        </w:rPr>
        <w:t>国新办举行“高质量完成‘十四五’规划”系列主题新闻发布会</w:t>
      </w:r>
      <w:bookmarkEnd w:id="2"/>
    </w:p>
    <w:p w14:paraId="392788E8">
      <w:pPr>
        <w:rPr>
          <w:rFonts w:hint="eastAsia"/>
        </w:rPr>
      </w:pPr>
    </w:p>
    <w:p w14:paraId="768F0A14">
      <w:pPr>
        <w:rPr>
          <w:rFonts w:hint="eastAsia"/>
        </w:rPr>
      </w:pPr>
      <w:r>
        <w:rPr>
          <w:rFonts w:hint="eastAsia"/>
        </w:rPr>
        <w:t>9月9日，国务院新闻办公室在北京举行“高质量完成‘十四五’规划”系列主题新闻发布会，工业和信息化部部长李乐成、工业和信息化部副部长辛国斌、工业和信息化部副部长张云明介绍“十四五”时期大力推进新型工业化，巩固壮大实体经济根基有关情况，并答记者问。李乐成指出，“十四五”以来，工业和信息化系统推进新型工业化取得新的历史性成就，体现在工业经济、创新动能、产业结构等6个“更加”。</w:t>
      </w:r>
    </w:p>
    <w:p w14:paraId="1B984B0B">
      <w:pPr>
        <w:rPr>
          <w:rFonts w:hint="eastAsia"/>
        </w:rPr>
      </w:pPr>
    </w:p>
    <w:p w14:paraId="56F5685B">
      <w:pPr>
        <w:rPr>
          <w:rFonts w:hint="eastAsia"/>
        </w:rPr>
      </w:pPr>
      <w:r>
        <w:rPr>
          <w:rFonts w:hint="eastAsia"/>
        </w:rPr>
        <w:t>发文日期：2025年9月9日</w:t>
      </w:r>
    </w:p>
    <w:p w14:paraId="110EF2DA">
      <w:pPr>
        <w:rPr>
          <w:rFonts w:hint="eastAsia"/>
        </w:rPr>
      </w:pPr>
      <w:r>
        <w:rPr>
          <w:rFonts w:hint="eastAsia"/>
        </w:rPr>
        <w:t>发文单位：工业和信息化部</w:t>
      </w:r>
    </w:p>
    <w:p w14:paraId="193E0DE6">
      <w:pPr>
        <w:rPr>
          <w:rFonts w:hint="eastAsia"/>
        </w:rPr>
      </w:pPr>
      <w:r>
        <w:rPr>
          <w:rFonts w:hint="eastAsia"/>
        </w:rPr>
        <w:t>原文链接：https://mp.weixin.qq.com/s/5owH6e6GcFkn2lmBuDa4PA</w:t>
      </w:r>
    </w:p>
    <w:p w14:paraId="44FD0766"/>
    <w:p w14:paraId="49D1BEB6">
      <w:pPr>
        <w:pStyle w:val="2"/>
      </w:pPr>
      <w:bookmarkStart w:id="3" w:name="_Toc26154"/>
      <w:r>
        <w:rPr>
          <w:rFonts w:hint="eastAsia"/>
        </w:rPr>
        <w:t>政策.速递</w:t>
      </w:r>
      <w:bookmarkEnd w:id="3"/>
    </w:p>
    <w:p w14:paraId="43840AF2">
      <w:pPr>
        <w:pStyle w:val="3"/>
        <w:rPr>
          <w:rFonts w:hint="eastAsia"/>
        </w:rPr>
      </w:pPr>
      <w:bookmarkStart w:id="4" w:name="_Toc7745"/>
      <w:r>
        <w:rPr>
          <w:rFonts w:hint="eastAsia"/>
        </w:rPr>
        <w:t>中央</w:t>
      </w:r>
      <w:bookmarkEnd w:id="4"/>
      <w:r>
        <w:rPr>
          <w:rFonts w:hint="eastAsia"/>
        </w:rPr>
        <w:t xml:space="preserve"> </w:t>
      </w:r>
    </w:p>
    <w:p w14:paraId="5AA42A45">
      <w:pPr>
        <w:pStyle w:val="4"/>
        <w:numPr>
          <w:numId w:val="2"/>
        </w:numPr>
        <w:bidi w:val="0"/>
        <w:rPr>
          <w:rFonts w:hint="eastAsia"/>
        </w:rPr>
      </w:pPr>
      <w:bookmarkStart w:id="5" w:name="_Toc5510"/>
      <w:r>
        <w:rPr>
          <w:rFonts w:hint="eastAsia"/>
        </w:rPr>
        <w:t>《关于全国部分地区要素市场化配置综合改革试点实施方案的批复》</w:t>
      </w:r>
      <w:bookmarkEnd w:id="5"/>
    </w:p>
    <w:p w14:paraId="2E014118">
      <w:pPr>
        <w:rPr>
          <w:rFonts w:hint="eastAsia"/>
        </w:rPr>
      </w:pPr>
    </w:p>
    <w:p w14:paraId="7B6B9987">
      <w:pPr>
        <w:rPr>
          <w:rFonts w:hint="eastAsia"/>
        </w:rPr>
      </w:pPr>
      <w:r>
        <w:rPr>
          <w:rFonts w:hint="eastAsia"/>
        </w:rPr>
        <w:t>国务院批复同意自即日起开展要素市场化配置综合改革试点，</w:t>
      </w:r>
      <w:r>
        <w:rPr>
          <w:rFonts w:hint="eastAsia"/>
          <w:lang w:val="en-US" w:eastAsia="zh-CN"/>
        </w:rPr>
        <w:t>此次</w:t>
      </w:r>
      <w:r>
        <w:rPr>
          <w:rFonts w:hint="eastAsia"/>
        </w:rPr>
        <w:t>试点选取北京城市副中心、江苏苏南重点城市等10个基础好、带动力强的地区，开展为期约2年的试点工作，2027年完成相关任务。目的是形成全国可复制推广的经验，激发市场活力。改革亮点在于传统要素领域有望实现新突破，如北京城市副中心盘活低效用地等；新型要素市场也备受关注，多地将开放高价值数据集等。专家测算，10个试点地区GDP占全国约28%，要素市场化改革将为中国经济注入新动力，推动新质生产力发展。</w:t>
      </w:r>
    </w:p>
    <w:p w14:paraId="6E350B8D">
      <w:pPr>
        <w:rPr>
          <w:rFonts w:hint="eastAsia"/>
        </w:rPr>
      </w:pPr>
    </w:p>
    <w:p w14:paraId="3D6129D1">
      <w:pPr>
        <w:rPr>
          <w:rFonts w:hint="eastAsia"/>
        </w:rPr>
      </w:pPr>
      <w:r>
        <w:rPr>
          <w:rFonts w:hint="eastAsia"/>
        </w:rPr>
        <w:t>发文日期：2025年9月8日</w:t>
      </w:r>
    </w:p>
    <w:p w14:paraId="1CDAC5B7">
      <w:pPr>
        <w:rPr>
          <w:rFonts w:hint="eastAsia"/>
        </w:rPr>
      </w:pPr>
      <w:r>
        <w:rPr>
          <w:rFonts w:hint="eastAsia"/>
        </w:rPr>
        <w:t>发文单位：国务院</w:t>
      </w:r>
    </w:p>
    <w:p w14:paraId="488C0B2F">
      <w:pPr>
        <w:rPr>
          <w:rFonts w:hint="eastAsia"/>
        </w:rPr>
      </w:pPr>
      <w:r>
        <w:rPr>
          <w:rFonts w:hint="eastAsia"/>
        </w:rPr>
        <w:t>原文链接：https://mp.weixin.qq.com/s/4C2Okd1UdPeaSduDDApnoQ</w:t>
      </w:r>
    </w:p>
    <w:p w14:paraId="099AEA1D">
      <w:pPr>
        <w:rPr>
          <w:rFonts w:hint="eastAsia"/>
        </w:rPr>
      </w:pPr>
    </w:p>
    <w:p w14:paraId="45F9A328">
      <w:pPr>
        <w:pStyle w:val="4"/>
        <w:numPr>
          <w:numId w:val="2"/>
        </w:numPr>
        <w:bidi w:val="0"/>
        <w:rPr>
          <w:rFonts w:hint="eastAsia"/>
        </w:rPr>
      </w:pPr>
      <w:bookmarkStart w:id="6" w:name="_Toc11596"/>
      <w:r>
        <w:rPr>
          <w:rFonts w:hint="eastAsia"/>
        </w:rPr>
        <w:t>《电力装备行业稳增长工作方案（2025-2026年）》</w:t>
      </w:r>
      <w:bookmarkEnd w:id="6"/>
    </w:p>
    <w:p w14:paraId="4B39BC82">
      <w:pPr>
        <w:rPr>
          <w:rFonts w:hint="eastAsia"/>
        </w:rPr>
      </w:pPr>
    </w:p>
    <w:p w14:paraId="3E85AE25">
      <w:pPr>
        <w:rPr>
          <w:rFonts w:hint="eastAsia"/>
        </w:rPr>
      </w:pPr>
      <w:r>
        <w:rPr>
          <w:rFonts w:hint="eastAsia"/>
        </w:rPr>
        <w:t>日前，工业和信息化部、市场监管总局、国家能源局印发《电力装备行业稳增长工作方案(2025-2026年)》，其中提到，2025—2026年主要目标是传统电力装备年均营收增速保持6%左右，新能源装备营收稳中有升；发电装备产量保持在合理区间，供给得到有效保障，新能源装备出口量实现增长；重点地区、重点企业带动作用加强，电力装备领域国家先进制造业集群年均营收增速7%左右，龙头企业年均营收增速10%左右；推动一批标志性装备攻关突破和推广应用。</w:t>
      </w:r>
    </w:p>
    <w:p w14:paraId="36A6B2ED">
      <w:pPr>
        <w:rPr>
          <w:rFonts w:hint="eastAsia"/>
        </w:rPr>
      </w:pPr>
    </w:p>
    <w:p w14:paraId="66A1F7AD">
      <w:pPr>
        <w:rPr>
          <w:rFonts w:hint="eastAsia"/>
        </w:rPr>
      </w:pPr>
      <w:r>
        <w:rPr>
          <w:rFonts w:hint="eastAsia"/>
        </w:rPr>
        <w:t>发文日期：2025年9月8日</w:t>
      </w:r>
    </w:p>
    <w:p w14:paraId="522B6994">
      <w:pPr>
        <w:rPr>
          <w:rFonts w:hint="eastAsia"/>
        </w:rPr>
      </w:pPr>
      <w:r>
        <w:rPr>
          <w:rFonts w:hint="eastAsia"/>
        </w:rPr>
        <w:t>发文单位：工业和信息化部</w:t>
      </w:r>
      <w:r>
        <w:rPr>
          <w:rFonts w:hint="eastAsia"/>
          <w:lang w:eastAsia="zh-CN"/>
        </w:rPr>
        <w:t>、</w:t>
      </w:r>
      <w:r>
        <w:rPr>
          <w:rFonts w:hint="eastAsia"/>
        </w:rPr>
        <w:t>市场监管总局</w:t>
      </w:r>
      <w:r>
        <w:rPr>
          <w:rFonts w:hint="eastAsia"/>
          <w:lang w:eastAsia="zh-CN"/>
        </w:rPr>
        <w:t>、</w:t>
      </w:r>
      <w:r>
        <w:rPr>
          <w:rFonts w:hint="eastAsia"/>
        </w:rPr>
        <w:t>国家能源局</w:t>
      </w:r>
    </w:p>
    <w:p w14:paraId="2AF441F6">
      <w:pPr>
        <w:rPr>
          <w:rFonts w:hint="eastAsia"/>
        </w:rPr>
      </w:pPr>
      <w:r>
        <w:rPr>
          <w:rFonts w:hint="eastAsia"/>
        </w:rPr>
        <w:t>原文链接：https://www.miit.gov.cn/zwgk/zcwj/wjfb/tz/art/2025/art_e6fdc1fc198d4b3a86551a53c54b9491.html</w:t>
      </w:r>
    </w:p>
    <w:p w14:paraId="332F6E46">
      <w:pPr>
        <w:rPr>
          <w:rFonts w:hint="eastAsia"/>
        </w:rPr>
      </w:pPr>
    </w:p>
    <w:p w14:paraId="38C46D87">
      <w:pPr>
        <w:pStyle w:val="4"/>
        <w:numPr>
          <w:numId w:val="2"/>
        </w:numPr>
        <w:bidi w:val="0"/>
        <w:rPr>
          <w:rFonts w:hint="eastAsia"/>
        </w:rPr>
      </w:pPr>
      <w:bookmarkStart w:id="7" w:name="_Toc6318"/>
      <w:r>
        <w:rPr>
          <w:rFonts w:hint="eastAsia"/>
        </w:rPr>
        <w:t>《工业母机高质量标准体系建设方案》</w:t>
      </w:r>
      <w:bookmarkEnd w:id="7"/>
    </w:p>
    <w:p w14:paraId="1AA5A007">
      <w:pPr>
        <w:rPr>
          <w:rFonts w:hint="eastAsia"/>
        </w:rPr>
      </w:pPr>
    </w:p>
    <w:p w14:paraId="2F0345D3">
      <w:pPr>
        <w:rPr>
          <w:rFonts w:hint="eastAsia"/>
        </w:rPr>
      </w:pPr>
      <w:r>
        <w:rPr>
          <w:rFonts w:hint="eastAsia"/>
        </w:rPr>
        <w:t>近日，国家标准委、工业和信息化部联合印发《工业母机高质量标准体系建设方案》。方案提出到2026年，基本建立高质量标准体系，制修订标准不少于300项，牵头制修订不少于5项国际标准，国际标准转化率达90%；到2030年，全面形成适应产业高质量发展的标准体系。建设思路强调标准与产业发展联动、产业链标准一体化建设以及国内外标准兼容。标准体系涵盖基础通用、设计配套等6个层次。重点任务包括加快关键急需标准研制、推动成系列标准制修订、强化交叉融合领域标准研制、提升标准国际化水平。组织实施方面，需加强工作统筹、把控节点、注重国内外协同并强化标准实施。</w:t>
      </w:r>
    </w:p>
    <w:p w14:paraId="1DE0F6BC">
      <w:pPr>
        <w:rPr>
          <w:rFonts w:hint="eastAsia"/>
        </w:rPr>
      </w:pPr>
    </w:p>
    <w:p w14:paraId="6B4CA4B3">
      <w:pPr>
        <w:rPr>
          <w:rFonts w:hint="eastAsia"/>
        </w:rPr>
      </w:pPr>
      <w:r>
        <w:rPr>
          <w:rFonts w:hint="eastAsia"/>
        </w:rPr>
        <w:t>发文日期：2025年9月11日</w:t>
      </w:r>
    </w:p>
    <w:p w14:paraId="05D6ED2B">
      <w:pPr>
        <w:rPr>
          <w:rFonts w:hint="eastAsia"/>
        </w:rPr>
      </w:pPr>
      <w:r>
        <w:rPr>
          <w:rFonts w:hint="eastAsia"/>
        </w:rPr>
        <w:t>发文单位：国家标准委、工业和信息化部</w:t>
      </w:r>
    </w:p>
    <w:p w14:paraId="5B78DBD7">
      <w:pPr>
        <w:rPr>
          <w:rFonts w:hint="eastAsia"/>
        </w:rPr>
      </w:pPr>
      <w:r>
        <w:rPr>
          <w:rFonts w:hint="eastAsia"/>
        </w:rPr>
        <w:t>原文链接：https://mp.weixin.qq.com/s/KYTYih_xsFP-cJT9VzMyZA</w:t>
      </w:r>
    </w:p>
    <w:p w14:paraId="272A92EF">
      <w:pPr>
        <w:rPr>
          <w:rFonts w:hint="eastAsia"/>
        </w:rPr>
      </w:pPr>
    </w:p>
    <w:p w14:paraId="18A3859A">
      <w:pPr>
        <w:pStyle w:val="4"/>
        <w:numPr>
          <w:numId w:val="2"/>
        </w:numPr>
        <w:bidi w:val="0"/>
        <w:rPr>
          <w:rFonts w:hint="eastAsia"/>
        </w:rPr>
      </w:pPr>
      <w:bookmarkStart w:id="8" w:name="_Toc31773"/>
      <w:r>
        <w:rPr>
          <w:rFonts w:hint="eastAsia"/>
        </w:rPr>
        <w:t>《电子信息制造业2025－2026年稳增长行动方案》</w:t>
      </w:r>
      <w:bookmarkEnd w:id="8"/>
    </w:p>
    <w:p w14:paraId="70358043">
      <w:pPr>
        <w:rPr>
          <w:rFonts w:hint="eastAsia"/>
        </w:rPr>
      </w:pPr>
    </w:p>
    <w:p w14:paraId="502F15D9">
      <w:pPr>
        <w:rPr>
          <w:rFonts w:hint="eastAsia"/>
        </w:rPr>
      </w:pPr>
      <w:r>
        <w:rPr>
          <w:rFonts w:hint="eastAsia"/>
        </w:rPr>
        <w:t>工业和信息化部、市场监督管理总局联合印发《电子信息制造业2025－2026年稳增长行动方案》。方案提出四方面工作举措。一是促进产业转型升级，推动电子整机高端化，优化产业布局，加强上下游对接，健全标准化工作机制，强化知识产权保护；二是促进国内外市场畅通经济循环，扩大新场景挖掘消费潜力，培育新业态赋能行业应用，引导企业稳步“走出去”与“引进来”，促进双循环应对贸易壁垒；三是推动科技创新与产业创新融合，加快重大项目建设，强化集成攻关保障产业链安全，加强基础技术研究抢占前沿高地，强化企业主体地位加快成果产业化，深入推动数字化转型，强化人才资本支撑；四是通过政策宣贯、台账管理、运行调度、专题调研等保障措施确保落实。</w:t>
      </w:r>
    </w:p>
    <w:p w14:paraId="4EF05486">
      <w:pPr>
        <w:rPr>
          <w:rFonts w:hint="eastAsia"/>
        </w:rPr>
      </w:pPr>
    </w:p>
    <w:p w14:paraId="37451BFE">
      <w:pPr>
        <w:rPr>
          <w:rFonts w:hint="eastAsia"/>
        </w:rPr>
      </w:pPr>
      <w:r>
        <w:rPr>
          <w:rFonts w:hint="eastAsia"/>
        </w:rPr>
        <w:t>发文日期:2025年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日</w:t>
      </w:r>
    </w:p>
    <w:p w14:paraId="3E940404">
      <w:pPr>
        <w:rPr>
          <w:rFonts w:hint="eastAsia"/>
        </w:rPr>
      </w:pPr>
      <w:r>
        <w:rPr>
          <w:rFonts w:hint="eastAsia"/>
        </w:rPr>
        <w:t>发文单位:工业和信息化部、市场监督管理总局</w:t>
      </w:r>
    </w:p>
    <w:p w14:paraId="00A9BC4F">
      <w:pPr>
        <w:rPr>
          <w:rFonts w:hint="eastAsia"/>
        </w:rPr>
      </w:pPr>
      <w:r>
        <w:rPr>
          <w:rFonts w:hint="eastAsia"/>
        </w:rPr>
        <w:t>原文链接:https://mp.weixin.qq.com/s/tUWU8wmv-FTKXyV_eVCMQw</w:t>
      </w:r>
    </w:p>
    <w:p w14:paraId="75E9C319">
      <w:pPr>
        <w:rPr>
          <w:rFonts w:hint="eastAsia"/>
        </w:rPr>
      </w:pPr>
    </w:p>
    <w:p w14:paraId="00ECD1E0">
      <w:pPr>
        <w:pStyle w:val="4"/>
        <w:numPr>
          <w:numId w:val="2"/>
        </w:numPr>
        <w:bidi w:val="0"/>
        <w:rPr>
          <w:rFonts w:hint="eastAsia"/>
        </w:rPr>
      </w:pPr>
      <w:bookmarkStart w:id="9" w:name="_Toc26625"/>
      <w:r>
        <w:rPr>
          <w:rFonts w:hint="eastAsia"/>
        </w:rPr>
        <w:t>《关于推进“人工智能+”能源高质量发展的实施意见》</w:t>
      </w:r>
      <w:bookmarkEnd w:id="9"/>
    </w:p>
    <w:p w14:paraId="2887CF0A">
      <w:pPr>
        <w:rPr>
          <w:rFonts w:hint="eastAsia"/>
        </w:rPr>
      </w:pPr>
    </w:p>
    <w:p w14:paraId="6B55387C">
      <w:pPr>
        <w:rPr>
          <w:rFonts w:hint="eastAsia"/>
        </w:rPr>
      </w:pPr>
      <w:r>
        <w:rPr>
          <w:rFonts w:hint="eastAsia"/>
        </w:rPr>
        <w:t>近日，国家发展改革委、国家能源局印发《关于推进“人工智能+”能源高质量发展的实施意见》。《实施意见》提出分阶段目标，到2027年打牢基础、健全体系，推动“五十百”工程；到2030年聚焦自主可控、国际领先，推动专用技术体系化突破与规模化落地。围绕应用需求和基础能力供给，部署了重点任务。一是面向能源各场景全方位赋能，部署八大应用场景，强化人工智能对能源产供储销的提质增效作用。二是专栏明确典型场景建设路径，提出37个融合应用发展重点任务及建设路径与目标。三是加大关键共性技术供给，构建应用基础支撑体系，提出三大共性关键技术攻关方向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</w:p>
    <w:p w14:paraId="1B7E5641">
      <w:pPr>
        <w:rPr>
          <w:rFonts w:hint="eastAsia"/>
        </w:rPr>
      </w:pPr>
    </w:p>
    <w:p w14:paraId="12BEFA79">
      <w:pPr>
        <w:rPr>
          <w:rFonts w:hint="eastAsia"/>
        </w:rPr>
      </w:pPr>
      <w:r>
        <w:rPr>
          <w:rFonts w:hint="eastAsia"/>
        </w:rPr>
        <w:t>发文日期：2025年9月8日</w:t>
      </w:r>
    </w:p>
    <w:p w14:paraId="0A8AE59F">
      <w:pPr>
        <w:rPr>
          <w:rFonts w:hint="eastAsia"/>
        </w:rPr>
      </w:pPr>
      <w:r>
        <w:rPr>
          <w:rFonts w:hint="eastAsia"/>
        </w:rPr>
        <w:t>发文单位：国家发展改革委、国家能源局</w:t>
      </w:r>
    </w:p>
    <w:p w14:paraId="02836AA9">
      <w:pPr>
        <w:rPr>
          <w:rFonts w:hint="eastAsia"/>
        </w:rPr>
      </w:pPr>
      <w:r>
        <w:rPr>
          <w:rFonts w:hint="eastAsia"/>
        </w:rPr>
        <w:t>原文链接：https://mp.weixin.qq.com/s/o1SyDwezad0_DQIZ5GAJBw</w:t>
      </w:r>
    </w:p>
    <w:p w14:paraId="28CEEA8D"/>
    <w:p w14:paraId="01B83778">
      <w:pPr>
        <w:pStyle w:val="4"/>
        <w:numPr>
          <w:numId w:val="2"/>
        </w:numPr>
        <w:bidi w:val="0"/>
        <w:rPr>
          <w:rFonts w:hint="eastAsia"/>
        </w:rPr>
      </w:pPr>
      <w:bookmarkStart w:id="10" w:name="_Toc3313"/>
      <w:r>
        <w:rPr>
          <w:rFonts w:hint="eastAsia"/>
        </w:rPr>
        <w:t>《关于开展绿色液体燃料技术攻关和产业化试点工作（第一批）的通知》</w:t>
      </w:r>
      <w:bookmarkEnd w:id="10"/>
    </w:p>
    <w:p w14:paraId="41088E26">
      <w:pPr>
        <w:rPr>
          <w:rFonts w:hint="eastAsia"/>
        </w:rPr>
      </w:pPr>
    </w:p>
    <w:p w14:paraId="31DABCBD">
      <w:pPr>
        <w:rPr>
          <w:rFonts w:hint="eastAsia"/>
        </w:rPr>
      </w:pPr>
      <w:r>
        <w:rPr>
          <w:rFonts w:hint="eastAsia"/>
        </w:rPr>
        <w:t>为落实党中央、国务院决策部署，保障能源安全，促进绿色转型，国家能源局综合司经组织专家评审、复核和公示，原则同意9个项目开展绿色液体燃料技术攻关和产业化试点工作。通知要求，有关省（自治区）能源主管部门、能源央企要扎实组织开展试点工作，加强对项目的组织、指导和支持，督促进度缓慢的项目；确保试点项目规范运行，保障产品绿色成色，防范违规行为；加强试点工作政策保障，推动营造良好政策环境，对符合条件的项目和装备给予支持；做好试点工作总结评估，组织年度评估并报送报告，对开展不力的项目调整退出。第一批试点工作应于2027年12月底前完成，后续将根据成效宣传推广。</w:t>
      </w:r>
    </w:p>
    <w:p w14:paraId="51C17AE3">
      <w:pPr>
        <w:rPr>
          <w:rFonts w:hint="eastAsia"/>
        </w:rPr>
      </w:pPr>
    </w:p>
    <w:p w14:paraId="3E4186C0">
      <w:pPr>
        <w:rPr>
          <w:rFonts w:hint="eastAsia"/>
        </w:rPr>
      </w:pPr>
      <w:r>
        <w:rPr>
          <w:rFonts w:hint="eastAsia"/>
        </w:rPr>
        <w:t>发文日期：2025年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日</w:t>
      </w:r>
    </w:p>
    <w:p w14:paraId="2B6C2B31">
      <w:pPr>
        <w:rPr>
          <w:rFonts w:hint="eastAsia"/>
        </w:rPr>
      </w:pPr>
      <w:r>
        <w:rPr>
          <w:rFonts w:hint="eastAsia"/>
        </w:rPr>
        <w:t>发文单位：国家能源局综合司</w:t>
      </w:r>
    </w:p>
    <w:p w14:paraId="01BD1ACD">
      <w:pPr>
        <w:rPr>
          <w:rFonts w:hint="eastAsia"/>
        </w:rPr>
      </w:pPr>
      <w:r>
        <w:rPr>
          <w:rFonts w:hint="eastAsia"/>
        </w:rPr>
        <w:t>原文链接：https://mp.weixin.qq.com/s/U5tbjOTINp9t4-WPpQyGNg</w:t>
      </w:r>
    </w:p>
    <w:p w14:paraId="1C3CAC8D">
      <w:pPr>
        <w:rPr>
          <w:rFonts w:hint="eastAsia"/>
        </w:rPr>
      </w:pPr>
    </w:p>
    <w:p w14:paraId="05E44F55">
      <w:pPr>
        <w:pStyle w:val="4"/>
        <w:numPr>
          <w:numId w:val="2"/>
        </w:numPr>
        <w:bidi w:val="0"/>
        <w:rPr>
          <w:rFonts w:hint="eastAsia"/>
        </w:rPr>
      </w:pPr>
      <w:bookmarkStart w:id="11" w:name="_Toc8891"/>
      <w:r>
        <w:rPr>
          <w:rFonts w:hint="eastAsia"/>
        </w:rPr>
        <w:t>《医疗卫生强基工程实施方案》</w:t>
      </w:r>
      <w:bookmarkEnd w:id="11"/>
    </w:p>
    <w:p w14:paraId="6B4102EC">
      <w:pPr>
        <w:rPr>
          <w:rFonts w:hint="eastAsia"/>
        </w:rPr>
      </w:pPr>
    </w:p>
    <w:p w14:paraId="46144813">
      <w:pPr>
        <w:rPr>
          <w:rFonts w:hint="eastAsia"/>
        </w:rPr>
      </w:pPr>
      <w:r>
        <w:rPr>
          <w:rFonts w:hint="eastAsia"/>
        </w:rPr>
        <w:t>近日，国务院批复国家卫生健康委、国家发展改革委报送的相关内容，要求推动医疗卫生强基工程落实。未来5年基层医疗卫生服务将有显著变化。到2027年，基层医疗卫生机构布局更合理，力争居民15分钟可达最近医疗服务点；到2030年，群众可就近享有优质高效健康服务。县乡村社区医疗卫生机构明确各自服务内容。同时强化重点人群服务，实施普惠行动，将村卫生室纳入医保定点。开展基本医疗服务提升行动，到2030年常住人口5万以上县区普遍具备开展白内障手术、血液透析能力。推进重点人群服务保障行动，完善多项服务链条。还将推进紧密型医联体检查检验结果互认，到2027年紧密型县域医共体基本覆盖县和县级市，到2030年提升其紧密性与协同性。</w:t>
      </w:r>
    </w:p>
    <w:p w14:paraId="498E1FCC">
      <w:pPr>
        <w:rPr>
          <w:rFonts w:hint="eastAsia"/>
        </w:rPr>
      </w:pPr>
    </w:p>
    <w:p w14:paraId="2C554C75">
      <w:pPr>
        <w:rPr>
          <w:rFonts w:hint="eastAsia"/>
        </w:rPr>
      </w:pPr>
      <w:r>
        <w:rPr>
          <w:rFonts w:hint="eastAsia"/>
        </w:rPr>
        <w:t>发文日期：2025年9月7日</w:t>
      </w:r>
    </w:p>
    <w:p w14:paraId="40DE3249">
      <w:pPr>
        <w:rPr>
          <w:rFonts w:hint="eastAsia"/>
        </w:rPr>
      </w:pPr>
      <w:r>
        <w:rPr>
          <w:rFonts w:hint="eastAsia"/>
        </w:rPr>
        <w:t>发文单位：国务院</w:t>
      </w:r>
    </w:p>
    <w:p w14:paraId="14D71912">
      <w:pPr>
        <w:rPr>
          <w:rFonts w:hint="eastAsia"/>
        </w:rPr>
      </w:pPr>
      <w:r>
        <w:rPr>
          <w:rFonts w:hint="eastAsia"/>
        </w:rPr>
        <w:t>原文链接：https://mp.weixin.qq.com/s/DfeWl0a-hZ5fDmQT3QScxw</w:t>
      </w:r>
    </w:p>
    <w:p w14:paraId="07C0F525">
      <w:pPr>
        <w:rPr>
          <w:rFonts w:hint="eastAsia"/>
        </w:rPr>
      </w:pPr>
    </w:p>
    <w:p w14:paraId="0AE07046">
      <w:pPr>
        <w:pStyle w:val="4"/>
        <w:numPr>
          <w:numId w:val="2"/>
        </w:numPr>
        <w:bidi w:val="0"/>
        <w:rPr>
          <w:rFonts w:hint="eastAsia"/>
        </w:rPr>
      </w:pPr>
      <w:bookmarkStart w:id="12" w:name="_Toc22591"/>
      <w:r>
        <w:rPr>
          <w:rFonts w:hint="eastAsia"/>
        </w:rPr>
        <w:t>《关于2025年度卓越级智能工厂项目的公示》</w:t>
      </w:r>
      <w:bookmarkEnd w:id="12"/>
    </w:p>
    <w:p w14:paraId="763B718A">
      <w:pPr>
        <w:rPr>
          <w:rFonts w:hint="eastAsia"/>
        </w:rPr>
      </w:pPr>
    </w:p>
    <w:p w14:paraId="76E421D8">
      <w:pPr>
        <w:rPr>
          <w:rFonts w:hint="eastAsia"/>
        </w:rPr>
      </w:pPr>
      <w:r>
        <w:rPr>
          <w:rFonts w:hint="eastAsia"/>
        </w:rPr>
        <w:t>根据《关于开展2025年度智能工厂梯度培育行动的通知》（工信厅联通装函〔2025〕251号）要求，工业和信息化部装备工业一司（智能制造处）对拟入选的2025年度卓越级智能工厂项目名单予以公示，接受社会各界监督。公示期为2025年9月5日至9月11日，期间如有异议，可通过书面形式反馈至相关部门。联系电话为010-68205630，传真为010-66013726。本次公示附件包含2025年度卓越级智能工厂项目公示名单，具体项目信息可查阅相关附件内容。</w:t>
      </w:r>
    </w:p>
    <w:p w14:paraId="13BE431B">
      <w:pPr>
        <w:rPr>
          <w:rFonts w:hint="eastAsia"/>
        </w:rPr>
      </w:pPr>
    </w:p>
    <w:p w14:paraId="1C958D40">
      <w:pPr>
        <w:rPr>
          <w:rFonts w:hint="eastAsia"/>
        </w:rPr>
      </w:pPr>
      <w:r>
        <w:rPr>
          <w:rFonts w:hint="eastAsia"/>
        </w:rPr>
        <w:t>发文日期:2025年9月4日</w:t>
      </w:r>
    </w:p>
    <w:p w14:paraId="2CF06C18">
      <w:pPr>
        <w:rPr>
          <w:rFonts w:hint="eastAsia"/>
        </w:rPr>
      </w:pPr>
      <w:r>
        <w:rPr>
          <w:rFonts w:hint="eastAsia"/>
        </w:rPr>
        <w:t>发文单位:工业和信息化部</w:t>
      </w:r>
    </w:p>
    <w:p w14:paraId="0966EFA0">
      <w:pPr>
        <w:rPr>
          <w:rFonts w:hint="eastAsia"/>
        </w:rPr>
      </w:pPr>
      <w:r>
        <w:rPr>
          <w:rFonts w:hint="eastAsia"/>
        </w:rPr>
        <w:t>原文链接:https://mp.weixin.qq.com/s/KxKxQRyU8y461siG944NzA</w:t>
      </w:r>
    </w:p>
    <w:p w14:paraId="1C04C800">
      <w:pPr>
        <w:rPr>
          <w:rFonts w:hint="eastAsia"/>
        </w:rPr>
      </w:pPr>
    </w:p>
    <w:p w14:paraId="6ED8360A">
      <w:pPr>
        <w:rPr>
          <w:rFonts w:hint="eastAsia"/>
        </w:rPr>
      </w:pPr>
    </w:p>
    <w:p w14:paraId="7F27F86D">
      <w:pPr>
        <w:pStyle w:val="3"/>
      </w:pPr>
      <w:bookmarkStart w:id="13" w:name="_Toc1272"/>
      <w:r>
        <w:rPr>
          <w:rFonts w:hint="eastAsia"/>
        </w:rPr>
        <w:t>湖北省</w:t>
      </w:r>
      <w:bookmarkEnd w:id="13"/>
    </w:p>
    <w:p w14:paraId="29B578FB"/>
    <w:p w14:paraId="6ED8DADB">
      <w:pPr>
        <w:pStyle w:val="4"/>
        <w:numPr>
          <w:numId w:val="3"/>
        </w:numPr>
        <w:bidi w:val="0"/>
        <w:rPr>
          <w:rFonts w:hint="eastAsia"/>
        </w:rPr>
      </w:pPr>
      <w:bookmarkStart w:id="14" w:name="_Toc16688"/>
      <w:r>
        <w:rPr>
          <w:rFonts w:hint="eastAsia"/>
        </w:rPr>
        <w:t>《关于开展2025年武汉工业智能化改造示范项目遴选工作的通知》</w:t>
      </w:r>
      <w:bookmarkEnd w:id="14"/>
    </w:p>
    <w:p w14:paraId="48471EE5">
      <w:pPr>
        <w:rPr>
          <w:rFonts w:hint="eastAsia"/>
        </w:rPr>
      </w:pPr>
    </w:p>
    <w:p w14:paraId="4FD99062">
      <w:pPr>
        <w:rPr>
          <w:rFonts w:hint="eastAsia"/>
        </w:rPr>
      </w:pPr>
      <w:r>
        <w:rPr>
          <w:rFonts w:hint="eastAsia"/>
        </w:rPr>
        <w:t>为贯彻落实相关政策，纵深推进工业企业智能化改造，加快建设“未来工厂”四级梯队，</w:t>
      </w:r>
      <w:r>
        <w:rPr>
          <w:rFonts w:hint="eastAsia"/>
          <w:lang w:val="en-US" w:eastAsia="zh-CN"/>
        </w:rPr>
        <w:t>武汉</w:t>
      </w:r>
      <w:r>
        <w:rPr>
          <w:rFonts w:hint="eastAsia"/>
        </w:rPr>
        <w:t>市经信局开展2025年武汉工业智能化改造示范项目遴选工作。遴选方向聚焦光电子信息、汽车及零部件等重点行业，全市范围内遴选20个示范项目。申报企业需满足在武汉注册、近两年相关投资及研发投入合计不低于1000万元、项目完工投产并取得实效等条件，数字化产线企业优先。遴选由市经信局组织第三方机构，通过现场核验与集中评审结合评定。</w:t>
      </w:r>
    </w:p>
    <w:p w14:paraId="6F1D72EF">
      <w:pPr>
        <w:rPr>
          <w:rFonts w:hint="eastAsia"/>
        </w:rPr>
      </w:pPr>
    </w:p>
    <w:p w14:paraId="7890B4D0">
      <w:pPr>
        <w:rPr>
          <w:rFonts w:hint="eastAsia"/>
        </w:rPr>
      </w:pPr>
      <w:r>
        <w:rPr>
          <w:rFonts w:hint="eastAsia"/>
        </w:rPr>
        <w:t>发文日期:2025年9月8日</w:t>
      </w:r>
    </w:p>
    <w:p w14:paraId="04845FF5">
      <w:pPr>
        <w:rPr>
          <w:rFonts w:hint="eastAsia"/>
        </w:rPr>
      </w:pPr>
      <w:r>
        <w:rPr>
          <w:rFonts w:hint="eastAsia"/>
        </w:rPr>
        <w:t>发文单位:武汉市经济和信息化局</w:t>
      </w:r>
    </w:p>
    <w:p w14:paraId="1BD78589">
      <w:pPr>
        <w:rPr>
          <w:rFonts w:hint="eastAsia"/>
        </w:rPr>
      </w:pPr>
      <w:r>
        <w:rPr>
          <w:rFonts w:hint="eastAsia"/>
        </w:rPr>
        <w:t>原文链接:https://mp.weixin.qq.com/s/TcGPZ1k_7uF95SIHTNESUg</w:t>
      </w:r>
    </w:p>
    <w:p w14:paraId="73A6690F">
      <w:pPr>
        <w:rPr>
          <w:rFonts w:hint="eastAsia"/>
        </w:rPr>
      </w:pPr>
    </w:p>
    <w:p w14:paraId="04C4D324">
      <w:pPr>
        <w:pStyle w:val="2"/>
        <w:rPr>
          <w:rFonts w:hint="eastAsia"/>
        </w:rPr>
      </w:pPr>
      <w:bookmarkStart w:id="15" w:name="_Toc1747"/>
      <w:r>
        <w:rPr>
          <w:rFonts w:hint="eastAsia"/>
        </w:rPr>
        <w:t>热点.资讯</w:t>
      </w:r>
      <w:bookmarkEnd w:id="15"/>
    </w:p>
    <w:p w14:paraId="2AE1F1BB">
      <w:pPr>
        <w:pStyle w:val="4"/>
        <w:numPr>
          <w:numId w:val="4"/>
        </w:numPr>
        <w:bidi w:val="0"/>
        <w:rPr>
          <w:rFonts w:hint="eastAsia"/>
        </w:rPr>
      </w:pPr>
      <w:bookmarkStart w:id="16" w:name="_Toc17079"/>
      <w:r>
        <w:rPr>
          <w:rFonts w:hint="eastAsia"/>
        </w:rPr>
        <w:t>王忠林主持召开省委常委会会议</w:t>
      </w:r>
      <w:r>
        <w:rPr>
          <w:rFonts w:hint="eastAsia"/>
          <w:lang w:eastAsia="zh-CN"/>
        </w:rPr>
        <w:t>，</w:t>
      </w:r>
      <w:r>
        <w:rPr>
          <w:rFonts w:hint="eastAsia"/>
        </w:rPr>
        <w:t>坚决完成全年经济社会发展目标任务</w:t>
      </w:r>
      <w:bookmarkEnd w:id="16"/>
    </w:p>
    <w:p w14:paraId="00D32B9F">
      <w:pPr>
        <w:rPr>
          <w:rFonts w:hint="eastAsia"/>
        </w:rPr>
      </w:pPr>
    </w:p>
    <w:p w14:paraId="6D5A5864">
      <w:pPr>
        <w:rPr>
          <w:rFonts w:hint="eastAsia"/>
        </w:rPr>
      </w:pPr>
      <w:r>
        <w:rPr>
          <w:rFonts w:hint="eastAsia"/>
        </w:rPr>
        <w:t>9月5日，湖北省委常委会召开会议，省委书记王忠林主持会议，传达学习习近平总书记近期重要讲话、重要文章精神，研究部署经济工作、科技创新和产业创新融合发展、安全生产等工作。在经济工作方面，会议指出要坚定信心、加压奋进，持续巩固经济回升向好势头，坚决完成全年目标任务。重点抓好投资、科技、产业、消费、外贸、环境等工作，加快重大项目建设，推进“61020”全链条攻关和“51020”产业集群发展，促进汽车与住房消费，扩大高水平对外开放，并统筹发展与安全，守住民生、生态等底线。关于科技创新和产业创新融合发展，会议提出强化创新引领、产业升级、改革赋能及创新生态建设，探索有效发展路径。</w:t>
      </w:r>
    </w:p>
    <w:p w14:paraId="670CEDF6">
      <w:pPr>
        <w:rPr>
          <w:rFonts w:hint="eastAsia"/>
        </w:rPr>
      </w:pPr>
    </w:p>
    <w:p w14:paraId="052269F9">
      <w:pPr>
        <w:rPr>
          <w:rFonts w:hint="eastAsia"/>
        </w:rPr>
      </w:pPr>
      <w:r>
        <w:rPr>
          <w:rFonts w:hint="eastAsia"/>
        </w:rPr>
        <w:t>发文日期:2025年9月5日</w:t>
      </w:r>
    </w:p>
    <w:p w14:paraId="02A6F164">
      <w:pPr>
        <w:rPr>
          <w:rFonts w:hint="eastAsia" w:eastAsia="宋体"/>
          <w:lang w:eastAsia="zh-CN"/>
        </w:rPr>
      </w:pPr>
      <w:r>
        <w:rPr>
          <w:rFonts w:hint="eastAsia"/>
        </w:rPr>
        <w:t>发文单位:湖北省</w:t>
      </w:r>
      <w:r>
        <w:rPr>
          <w:rFonts w:hint="eastAsia"/>
          <w:lang w:val="en-US" w:eastAsia="zh-CN"/>
        </w:rPr>
        <w:t>工信部</w:t>
      </w:r>
    </w:p>
    <w:p w14:paraId="3287A337">
      <w:pPr>
        <w:rPr>
          <w:rFonts w:hint="eastAsia"/>
        </w:rPr>
      </w:pPr>
      <w:r>
        <w:rPr>
          <w:rFonts w:hint="eastAsia"/>
        </w:rPr>
        <w:t>原文链接:https://mp.weixin.qq.com/s/tG7m6i3B3aJWhe8qQO4dLQ</w:t>
      </w:r>
    </w:p>
    <w:p w14:paraId="0B0979D6">
      <w:pPr>
        <w:rPr>
          <w:rFonts w:hint="eastAsia"/>
        </w:rPr>
      </w:pPr>
    </w:p>
    <w:p w14:paraId="36AE360E">
      <w:pPr>
        <w:pStyle w:val="4"/>
        <w:numPr>
          <w:numId w:val="4"/>
        </w:numPr>
        <w:bidi w:val="0"/>
        <w:rPr>
          <w:rFonts w:hint="eastAsia"/>
          <w:lang w:eastAsia="zh-CN"/>
        </w:rPr>
      </w:pPr>
      <w:bookmarkStart w:id="17" w:name="_Toc13712"/>
      <w:r>
        <w:rPr>
          <w:rFonts w:hint="eastAsia"/>
        </w:rPr>
        <w:t>首批质量管理能力高等级企业名单公布</w:t>
      </w:r>
      <w:r>
        <w:rPr>
          <w:rFonts w:hint="eastAsia"/>
          <w:lang w:eastAsia="zh-CN"/>
        </w:rPr>
        <w:t>，</w:t>
      </w:r>
      <w:r>
        <w:rPr>
          <w:rFonts w:hint="eastAsia"/>
        </w:rPr>
        <w:t>湖北6家上榜！</w:t>
      </w:r>
      <w:bookmarkEnd w:id="17"/>
    </w:p>
    <w:p w14:paraId="47D21926">
      <w:pPr>
        <w:rPr>
          <w:rFonts w:hint="eastAsia"/>
        </w:rPr>
      </w:pPr>
      <w:r>
        <w:rPr>
          <w:rFonts w:hint="eastAsia"/>
        </w:rPr>
        <w:t>为落实《制造业卓越质量工程实施意见》及相关通知要求，工业和信息化部办公厅经自评价、评价复核、二次复核、征求意见、社会公示等程序，确定了首批43家质量管理能力高等级企业名单并予以公布。通知要求各地工业和信息化主管部门及有关单位结合实际，加强对高等级企业的宣传推广和政策支持，以引领带动更多制造业企业树立科学质量观，提升质量管理能力，加速向卓越质量迈进，为制造强国和质量强国建设、加快推进新型工业化贡献力量。</w:t>
      </w:r>
    </w:p>
    <w:p w14:paraId="4A2F52AB">
      <w:pPr>
        <w:rPr>
          <w:rFonts w:hint="eastAsia"/>
        </w:rPr>
      </w:pPr>
    </w:p>
    <w:p w14:paraId="0497DEF2">
      <w:pPr>
        <w:rPr>
          <w:rFonts w:hint="eastAsia"/>
        </w:rPr>
      </w:pPr>
      <w:r>
        <w:rPr>
          <w:rFonts w:hint="eastAsia"/>
        </w:rPr>
        <w:t>发文日期:2025年9月1日</w:t>
      </w:r>
    </w:p>
    <w:p w14:paraId="6BDF82B2">
      <w:pPr>
        <w:rPr>
          <w:rFonts w:hint="eastAsia"/>
        </w:rPr>
      </w:pPr>
      <w:r>
        <w:rPr>
          <w:rFonts w:hint="eastAsia"/>
        </w:rPr>
        <w:t>发文单位:工业和信息化部</w:t>
      </w:r>
    </w:p>
    <w:p w14:paraId="55EA0E8F">
      <w:pPr>
        <w:rPr>
          <w:rFonts w:hint="eastAsia"/>
        </w:rPr>
      </w:pPr>
      <w:r>
        <w:rPr>
          <w:rFonts w:hint="eastAsia"/>
        </w:rPr>
        <w:t>原文链接:https://mp.weixin.qq.com/s/rvqM_vhVFM2kk8woclXJeA</w:t>
      </w:r>
    </w:p>
    <w:p w14:paraId="48202289">
      <w:pPr>
        <w:rPr>
          <w:rFonts w:hint="eastAsia"/>
        </w:rPr>
      </w:pPr>
    </w:p>
    <w:p w14:paraId="0723D620">
      <w:pPr>
        <w:rPr>
          <w:rFonts w:hint="eastAsia"/>
          <w:lang w:val="en-US" w:eastAsia="zh-CN"/>
        </w:rPr>
      </w:pPr>
      <w:bookmarkStart w:id="18" w:name="_GoBack"/>
      <w:bookmarkEnd w:id="18"/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03CB5">
    <w:pPr>
      <w:pStyle w:val="12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F2796F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F2796F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1AAF6"/>
    <w:multiLevelType w:val="singleLevel"/>
    <w:tmpl w:val="9661AAF6"/>
    <w:lvl w:ilvl="0" w:tentative="0">
      <w:start w:val="1"/>
      <w:numFmt w:val="decimal"/>
      <w:pStyle w:val="4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hideSpellingErrors/>
  <w:hideGrammaticalErrors/>
  <w:documentProtection w:enforcement="0"/>
  <w:defaultTabStop w:val="36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B87749"/>
    <w:rsid w:val="00005CCC"/>
    <w:rsid w:val="00010FD5"/>
    <w:rsid w:val="00026FE8"/>
    <w:rsid w:val="000410FC"/>
    <w:rsid w:val="00047104"/>
    <w:rsid w:val="000536EC"/>
    <w:rsid w:val="000629A4"/>
    <w:rsid w:val="00072F84"/>
    <w:rsid w:val="000733D6"/>
    <w:rsid w:val="00073967"/>
    <w:rsid w:val="00075948"/>
    <w:rsid w:val="00084D11"/>
    <w:rsid w:val="00085151"/>
    <w:rsid w:val="00096DDE"/>
    <w:rsid w:val="000A4340"/>
    <w:rsid w:val="000A44D2"/>
    <w:rsid w:val="000A44FC"/>
    <w:rsid w:val="000A4642"/>
    <w:rsid w:val="000A547C"/>
    <w:rsid w:val="000A613C"/>
    <w:rsid w:val="000E632C"/>
    <w:rsid w:val="000F0F72"/>
    <w:rsid w:val="000F3299"/>
    <w:rsid w:val="001069AF"/>
    <w:rsid w:val="00116665"/>
    <w:rsid w:val="00130104"/>
    <w:rsid w:val="00142016"/>
    <w:rsid w:val="001444EC"/>
    <w:rsid w:val="00152E21"/>
    <w:rsid w:val="00170B7B"/>
    <w:rsid w:val="00174B07"/>
    <w:rsid w:val="00177F10"/>
    <w:rsid w:val="00180460"/>
    <w:rsid w:val="00181702"/>
    <w:rsid w:val="00182B8E"/>
    <w:rsid w:val="00192AD6"/>
    <w:rsid w:val="0019332D"/>
    <w:rsid w:val="00193C78"/>
    <w:rsid w:val="00196B7E"/>
    <w:rsid w:val="001A238A"/>
    <w:rsid w:val="001A4F2E"/>
    <w:rsid w:val="001B3F5C"/>
    <w:rsid w:val="001B4228"/>
    <w:rsid w:val="001B6511"/>
    <w:rsid w:val="001D2978"/>
    <w:rsid w:val="001E0014"/>
    <w:rsid w:val="001E30C9"/>
    <w:rsid w:val="001E69CA"/>
    <w:rsid w:val="001F7350"/>
    <w:rsid w:val="001F79CE"/>
    <w:rsid w:val="00203822"/>
    <w:rsid w:val="00207F33"/>
    <w:rsid w:val="0021682C"/>
    <w:rsid w:val="0021704E"/>
    <w:rsid w:val="00223274"/>
    <w:rsid w:val="0022351D"/>
    <w:rsid w:val="00226199"/>
    <w:rsid w:val="00226B79"/>
    <w:rsid w:val="002374D3"/>
    <w:rsid w:val="00237F42"/>
    <w:rsid w:val="00241E27"/>
    <w:rsid w:val="00242B16"/>
    <w:rsid w:val="00244B4D"/>
    <w:rsid w:val="00247E53"/>
    <w:rsid w:val="0025353D"/>
    <w:rsid w:val="00257943"/>
    <w:rsid w:val="002632E5"/>
    <w:rsid w:val="00266FF5"/>
    <w:rsid w:val="00270D04"/>
    <w:rsid w:val="00281DCB"/>
    <w:rsid w:val="00283AC6"/>
    <w:rsid w:val="00284BFD"/>
    <w:rsid w:val="00290211"/>
    <w:rsid w:val="002904EF"/>
    <w:rsid w:val="00291686"/>
    <w:rsid w:val="00292B47"/>
    <w:rsid w:val="002A1B62"/>
    <w:rsid w:val="002A5076"/>
    <w:rsid w:val="002A725C"/>
    <w:rsid w:val="002C0CBB"/>
    <w:rsid w:val="002C119B"/>
    <w:rsid w:val="002E0917"/>
    <w:rsid w:val="002E2F64"/>
    <w:rsid w:val="00303573"/>
    <w:rsid w:val="003247E7"/>
    <w:rsid w:val="003265BB"/>
    <w:rsid w:val="00332003"/>
    <w:rsid w:val="003326FD"/>
    <w:rsid w:val="00335212"/>
    <w:rsid w:val="00344659"/>
    <w:rsid w:val="00347B0A"/>
    <w:rsid w:val="003514D1"/>
    <w:rsid w:val="00356C86"/>
    <w:rsid w:val="00357AB7"/>
    <w:rsid w:val="00362DF4"/>
    <w:rsid w:val="003744C4"/>
    <w:rsid w:val="00374F36"/>
    <w:rsid w:val="003759AD"/>
    <w:rsid w:val="00386112"/>
    <w:rsid w:val="00392B90"/>
    <w:rsid w:val="003C20C2"/>
    <w:rsid w:val="003C222D"/>
    <w:rsid w:val="003C799E"/>
    <w:rsid w:val="003D4097"/>
    <w:rsid w:val="003D4658"/>
    <w:rsid w:val="004174BD"/>
    <w:rsid w:val="004251FF"/>
    <w:rsid w:val="00443896"/>
    <w:rsid w:val="00443EC9"/>
    <w:rsid w:val="0044715A"/>
    <w:rsid w:val="004554A4"/>
    <w:rsid w:val="004565D4"/>
    <w:rsid w:val="00460BCD"/>
    <w:rsid w:val="00467FB9"/>
    <w:rsid w:val="00471127"/>
    <w:rsid w:val="00474903"/>
    <w:rsid w:val="00480050"/>
    <w:rsid w:val="00485558"/>
    <w:rsid w:val="00486B4C"/>
    <w:rsid w:val="00491190"/>
    <w:rsid w:val="00494369"/>
    <w:rsid w:val="004A7F09"/>
    <w:rsid w:val="004C360C"/>
    <w:rsid w:val="004C4AF1"/>
    <w:rsid w:val="004C6666"/>
    <w:rsid w:val="004D4702"/>
    <w:rsid w:val="004E76D9"/>
    <w:rsid w:val="004F35B3"/>
    <w:rsid w:val="004F789F"/>
    <w:rsid w:val="00500CAF"/>
    <w:rsid w:val="00503AAE"/>
    <w:rsid w:val="00506E3E"/>
    <w:rsid w:val="00512F38"/>
    <w:rsid w:val="005163DD"/>
    <w:rsid w:val="00522EBB"/>
    <w:rsid w:val="00524612"/>
    <w:rsid w:val="00530199"/>
    <w:rsid w:val="005367FB"/>
    <w:rsid w:val="00542AF1"/>
    <w:rsid w:val="00545A0F"/>
    <w:rsid w:val="005567E4"/>
    <w:rsid w:val="00575E24"/>
    <w:rsid w:val="00581AA2"/>
    <w:rsid w:val="005922C3"/>
    <w:rsid w:val="00593EF4"/>
    <w:rsid w:val="00596438"/>
    <w:rsid w:val="005A06ED"/>
    <w:rsid w:val="005A12BE"/>
    <w:rsid w:val="005A1588"/>
    <w:rsid w:val="005B1F83"/>
    <w:rsid w:val="005B51B7"/>
    <w:rsid w:val="005B72D5"/>
    <w:rsid w:val="005C2DD0"/>
    <w:rsid w:val="005D1336"/>
    <w:rsid w:val="005D44E9"/>
    <w:rsid w:val="005D5319"/>
    <w:rsid w:val="00610FA0"/>
    <w:rsid w:val="006340C8"/>
    <w:rsid w:val="00650888"/>
    <w:rsid w:val="00651258"/>
    <w:rsid w:val="00654172"/>
    <w:rsid w:val="00660798"/>
    <w:rsid w:val="00661BE7"/>
    <w:rsid w:val="00662654"/>
    <w:rsid w:val="00665176"/>
    <w:rsid w:val="00671B63"/>
    <w:rsid w:val="00671FCB"/>
    <w:rsid w:val="00674BEF"/>
    <w:rsid w:val="00682D16"/>
    <w:rsid w:val="00692F93"/>
    <w:rsid w:val="00696E0A"/>
    <w:rsid w:val="006A23AC"/>
    <w:rsid w:val="006A5042"/>
    <w:rsid w:val="006B2C3E"/>
    <w:rsid w:val="006B5123"/>
    <w:rsid w:val="006B5F46"/>
    <w:rsid w:val="006C77FE"/>
    <w:rsid w:val="006D1B29"/>
    <w:rsid w:val="006D1F86"/>
    <w:rsid w:val="006E0D01"/>
    <w:rsid w:val="006E0D45"/>
    <w:rsid w:val="006F0BC8"/>
    <w:rsid w:val="006F4974"/>
    <w:rsid w:val="00702101"/>
    <w:rsid w:val="00714E1D"/>
    <w:rsid w:val="0072325C"/>
    <w:rsid w:val="00736A16"/>
    <w:rsid w:val="00751845"/>
    <w:rsid w:val="00753A25"/>
    <w:rsid w:val="00756153"/>
    <w:rsid w:val="00774FB2"/>
    <w:rsid w:val="00777579"/>
    <w:rsid w:val="007844BB"/>
    <w:rsid w:val="007857F5"/>
    <w:rsid w:val="00785FFC"/>
    <w:rsid w:val="00787A3C"/>
    <w:rsid w:val="00796E01"/>
    <w:rsid w:val="007A04B7"/>
    <w:rsid w:val="007B35F1"/>
    <w:rsid w:val="007B5C8E"/>
    <w:rsid w:val="007B6A37"/>
    <w:rsid w:val="007C0439"/>
    <w:rsid w:val="007D4435"/>
    <w:rsid w:val="007E100E"/>
    <w:rsid w:val="007E3DA8"/>
    <w:rsid w:val="007E40C9"/>
    <w:rsid w:val="007F7649"/>
    <w:rsid w:val="008079D8"/>
    <w:rsid w:val="00822DFE"/>
    <w:rsid w:val="008235E0"/>
    <w:rsid w:val="00831B9D"/>
    <w:rsid w:val="00844B88"/>
    <w:rsid w:val="00861386"/>
    <w:rsid w:val="00862697"/>
    <w:rsid w:val="00866592"/>
    <w:rsid w:val="0087419C"/>
    <w:rsid w:val="0087699F"/>
    <w:rsid w:val="00881707"/>
    <w:rsid w:val="008817BF"/>
    <w:rsid w:val="00893693"/>
    <w:rsid w:val="00894AAE"/>
    <w:rsid w:val="00895458"/>
    <w:rsid w:val="00897379"/>
    <w:rsid w:val="008A4AD6"/>
    <w:rsid w:val="008A4B13"/>
    <w:rsid w:val="008B1650"/>
    <w:rsid w:val="008B5DE9"/>
    <w:rsid w:val="008C2B23"/>
    <w:rsid w:val="008D7A71"/>
    <w:rsid w:val="008E24B7"/>
    <w:rsid w:val="008E6A6D"/>
    <w:rsid w:val="008E725F"/>
    <w:rsid w:val="008E7906"/>
    <w:rsid w:val="008F0C27"/>
    <w:rsid w:val="00902F69"/>
    <w:rsid w:val="009050E0"/>
    <w:rsid w:val="00914D24"/>
    <w:rsid w:val="00922D05"/>
    <w:rsid w:val="0092303A"/>
    <w:rsid w:val="00925B1E"/>
    <w:rsid w:val="009271A1"/>
    <w:rsid w:val="00930C1E"/>
    <w:rsid w:val="00931E3E"/>
    <w:rsid w:val="00944B94"/>
    <w:rsid w:val="00945405"/>
    <w:rsid w:val="009475C0"/>
    <w:rsid w:val="00950E2E"/>
    <w:rsid w:val="009535CB"/>
    <w:rsid w:val="00965217"/>
    <w:rsid w:val="009704D2"/>
    <w:rsid w:val="009770CC"/>
    <w:rsid w:val="00985B48"/>
    <w:rsid w:val="00993B24"/>
    <w:rsid w:val="00994908"/>
    <w:rsid w:val="009A7360"/>
    <w:rsid w:val="009C31BB"/>
    <w:rsid w:val="009C56E5"/>
    <w:rsid w:val="009D0FF5"/>
    <w:rsid w:val="009E1921"/>
    <w:rsid w:val="009E3A1D"/>
    <w:rsid w:val="00A003C5"/>
    <w:rsid w:val="00A01BB1"/>
    <w:rsid w:val="00A11B1F"/>
    <w:rsid w:val="00A154ED"/>
    <w:rsid w:val="00A15554"/>
    <w:rsid w:val="00A1581F"/>
    <w:rsid w:val="00A17A19"/>
    <w:rsid w:val="00A17D7C"/>
    <w:rsid w:val="00A262B3"/>
    <w:rsid w:val="00A27674"/>
    <w:rsid w:val="00A309B8"/>
    <w:rsid w:val="00A37825"/>
    <w:rsid w:val="00A41E1A"/>
    <w:rsid w:val="00A43255"/>
    <w:rsid w:val="00A5112A"/>
    <w:rsid w:val="00A51200"/>
    <w:rsid w:val="00A54AA9"/>
    <w:rsid w:val="00A60179"/>
    <w:rsid w:val="00A62735"/>
    <w:rsid w:val="00A64947"/>
    <w:rsid w:val="00A74BCE"/>
    <w:rsid w:val="00A74D0B"/>
    <w:rsid w:val="00A80D79"/>
    <w:rsid w:val="00A91FF5"/>
    <w:rsid w:val="00A962CD"/>
    <w:rsid w:val="00AA112B"/>
    <w:rsid w:val="00AA2D23"/>
    <w:rsid w:val="00AB768F"/>
    <w:rsid w:val="00AD192A"/>
    <w:rsid w:val="00AD1C32"/>
    <w:rsid w:val="00AE49A2"/>
    <w:rsid w:val="00AF6A69"/>
    <w:rsid w:val="00B049A3"/>
    <w:rsid w:val="00B07E19"/>
    <w:rsid w:val="00B172F3"/>
    <w:rsid w:val="00B37EC7"/>
    <w:rsid w:val="00B40DC3"/>
    <w:rsid w:val="00B40E7D"/>
    <w:rsid w:val="00B410B6"/>
    <w:rsid w:val="00B41DB6"/>
    <w:rsid w:val="00B5013F"/>
    <w:rsid w:val="00B50A3C"/>
    <w:rsid w:val="00B55677"/>
    <w:rsid w:val="00B55995"/>
    <w:rsid w:val="00B620A4"/>
    <w:rsid w:val="00B62CED"/>
    <w:rsid w:val="00B636D4"/>
    <w:rsid w:val="00B637B0"/>
    <w:rsid w:val="00B658B9"/>
    <w:rsid w:val="00B7031B"/>
    <w:rsid w:val="00B70E70"/>
    <w:rsid w:val="00B72EDD"/>
    <w:rsid w:val="00B7595B"/>
    <w:rsid w:val="00B9189B"/>
    <w:rsid w:val="00B9617D"/>
    <w:rsid w:val="00BC25F5"/>
    <w:rsid w:val="00BC6A2A"/>
    <w:rsid w:val="00BD777B"/>
    <w:rsid w:val="00BD7F06"/>
    <w:rsid w:val="00BF513F"/>
    <w:rsid w:val="00C04033"/>
    <w:rsid w:val="00C07003"/>
    <w:rsid w:val="00C2292F"/>
    <w:rsid w:val="00C26AC4"/>
    <w:rsid w:val="00C32DF0"/>
    <w:rsid w:val="00C44AF7"/>
    <w:rsid w:val="00C47FD2"/>
    <w:rsid w:val="00C56626"/>
    <w:rsid w:val="00C6252C"/>
    <w:rsid w:val="00C71565"/>
    <w:rsid w:val="00C77B17"/>
    <w:rsid w:val="00C82EED"/>
    <w:rsid w:val="00CA3DF8"/>
    <w:rsid w:val="00CA46D9"/>
    <w:rsid w:val="00CA507E"/>
    <w:rsid w:val="00CA6027"/>
    <w:rsid w:val="00CB23CC"/>
    <w:rsid w:val="00CB32F6"/>
    <w:rsid w:val="00CB4E5C"/>
    <w:rsid w:val="00CB62F7"/>
    <w:rsid w:val="00CC30F4"/>
    <w:rsid w:val="00CC416D"/>
    <w:rsid w:val="00CE5664"/>
    <w:rsid w:val="00D15B85"/>
    <w:rsid w:val="00D43077"/>
    <w:rsid w:val="00D50E81"/>
    <w:rsid w:val="00D57D31"/>
    <w:rsid w:val="00D61DDF"/>
    <w:rsid w:val="00D63F24"/>
    <w:rsid w:val="00D72FF6"/>
    <w:rsid w:val="00D750EF"/>
    <w:rsid w:val="00D77C0A"/>
    <w:rsid w:val="00D858EE"/>
    <w:rsid w:val="00D95B69"/>
    <w:rsid w:val="00DA5187"/>
    <w:rsid w:val="00DB4691"/>
    <w:rsid w:val="00DC421F"/>
    <w:rsid w:val="00DC693F"/>
    <w:rsid w:val="00DE0AEE"/>
    <w:rsid w:val="00DE3B08"/>
    <w:rsid w:val="00DE4A98"/>
    <w:rsid w:val="00DE5C6B"/>
    <w:rsid w:val="00DF30E6"/>
    <w:rsid w:val="00DF6839"/>
    <w:rsid w:val="00E00F2A"/>
    <w:rsid w:val="00E136C1"/>
    <w:rsid w:val="00E15105"/>
    <w:rsid w:val="00E15D98"/>
    <w:rsid w:val="00E26D62"/>
    <w:rsid w:val="00E27961"/>
    <w:rsid w:val="00E32459"/>
    <w:rsid w:val="00E32F4F"/>
    <w:rsid w:val="00E353E8"/>
    <w:rsid w:val="00E551E8"/>
    <w:rsid w:val="00E560B0"/>
    <w:rsid w:val="00E567B1"/>
    <w:rsid w:val="00E62A84"/>
    <w:rsid w:val="00E66922"/>
    <w:rsid w:val="00E67FB9"/>
    <w:rsid w:val="00E7169B"/>
    <w:rsid w:val="00E71865"/>
    <w:rsid w:val="00E94C18"/>
    <w:rsid w:val="00EA79BE"/>
    <w:rsid w:val="00EB0883"/>
    <w:rsid w:val="00EC0011"/>
    <w:rsid w:val="00EC2DD6"/>
    <w:rsid w:val="00ED283F"/>
    <w:rsid w:val="00EE54C6"/>
    <w:rsid w:val="00EF2981"/>
    <w:rsid w:val="00EF40BC"/>
    <w:rsid w:val="00F002E1"/>
    <w:rsid w:val="00F10529"/>
    <w:rsid w:val="00F16D2A"/>
    <w:rsid w:val="00F17EAE"/>
    <w:rsid w:val="00F300FA"/>
    <w:rsid w:val="00F31E2B"/>
    <w:rsid w:val="00F328C7"/>
    <w:rsid w:val="00F34E15"/>
    <w:rsid w:val="00F41973"/>
    <w:rsid w:val="00F75C8A"/>
    <w:rsid w:val="00F83D16"/>
    <w:rsid w:val="00F87A9E"/>
    <w:rsid w:val="00F90ED7"/>
    <w:rsid w:val="00F96377"/>
    <w:rsid w:val="00FA7F25"/>
    <w:rsid w:val="00FC69EA"/>
    <w:rsid w:val="00FD2E8F"/>
    <w:rsid w:val="00FD4BB5"/>
    <w:rsid w:val="00FF3D58"/>
    <w:rsid w:val="00FF3E41"/>
    <w:rsid w:val="015D5504"/>
    <w:rsid w:val="016347D7"/>
    <w:rsid w:val="01743E73"/>
    <w:rsid w:val="01C45D06"/>
    <w:rsid w:val="021D04ED"/>
    <w:rsid w:val="02313F99"/>
    <w:rsid w:val="02727A8F"/>
    <w:rsid w:val="027D7504"/>
    <w:rsid w:val="02957F4A"/>
    <w:rsid w:val="02AD29B2"/>
    <w:rsid w:val="03181066"/>
    <w:rsid w:val="03634626"/>
    <w:rsid w:val="03D352ED"/>
    <w:rsid w:val="04772A4B"/>
    <w:rsid w:val="0582467D"/>
    <w:rsid w:val="05926AFC"/>
    <w:rsid w:val="05D77E4F"/>
    <w:rsid w:val="05D84CA5"/>
    <w:rsid w:val="05E0200A"/>
    <w:rsid w:val="061B1990"/>
    <w:rsid w:val="064550D0"/>
    <w:rsid w:val="066A47CE"/>
    <w:rsid w:val="06B141BC"/>
    <w:rsid w:val="07031442"/>
    <w:rsid w:val="07A34B98"/>
    <w:rsid w:val="07AC7C25"/>
    <w:rsid w:val="07BD5E3D"/>
    <w:rsid w:val="07BF775C"/>
    <w:rsid w:val="081F17B3"/>
    <w:rsid w:val="087D09B3"/>
    <w:rsid w:val="088A7506"/>
    <w:rsid w:val="08944458"/>
    <w:rsid w:val="08D556E5"/>
    <w:rsid w:val="08DE1DFC"/>
    <w:rsid w:val="09063232"/>
    <w:rsid w:val="09362972"/>
    <w:rsid w:val="0A15616C"/>
    <w:rsid w:val="0A6C3DC0"/>
    <w:rsid w:val="0A747118"/>
    <w:rsid w:val="0AA4793D"/>
    <w:rsid w:val="0B0A42C4"/>
    <w:rsid w:val="0B2F4186"/>
    <w:rsid w:val="0B5F4794"/>
    <w:rsid w:val="0B7926DE"/>
    <w:rsid w:val="0BC85D5B"/>
    <w:rsid w:val="0BD82C59"/>
    <w:rsid w:val="0C160487"/>
    <w:rsid w:val="0C317648"/>
    <w:rsid w:val="0C7451AE"/>
    <w:rsid w:val="0C9617E4"/>
    <w:rsid w:val="0C9F6FE3"/>
    <w:rsid w:val="0D173E04"/>
    <w:rsid w:val="0D2E2D13"/>
    <w:rsid w:val="0D354ACD"/>
    <w:rsid w:val="0D492902"/>
    <w:rsid w:val="0D6F10B3"/>
    <w:rsid w:val="0D8536BD"/>
    <w:rsid w:val="0D8F4EFE"/>
    <w:rsid w:val="0E293FE3"/>
    <w:rsid w:val="0E4D5CB6"/>
    <w:rsid w:val="0EA46E2D"/>
    <w:rsid w:val="0EFF5127"/>
    <w:rsid w:val="0F210A3A"/>
    <w:rsid w:val="0F415C16"/>
    <w:rsid w:val="0F607679"/>
    <w:rsid w:val="10086D9C"/>
    <w:rsid w:val="102A466F"/>
    <w:rsid w:val="105812FF"/>
    <w:rsid w:val="111C0739"/>
    <w:rsid w:val="111E1B8C"/>
    <w:rsid w:val="11610DAE"/>
    <w:rsid w:val="116A724E"/>
    <w:rsid w:val="116D60A1"/>
    <w:rsid w:val="117A72EF"/>
    <w:rsid w:val="11FD46BF"/>
    <w:rsid w:val="120B5F4D"/>
    <w:rsid w:val="12323823"/>
    <w:rsid w:val="124F42B7"/>
    <w:rsid w:val="12834530"/>
    <w:rsid w:val="13901E1C"/>
    <w:rsid w:val="13A7230D"/>
    <w:rsid w:val="14EF1875"/>
    <w:rsid w:val="14F325C5"/>
    <w:rsid w:val="15026D53"/>
    <w:rsid w:val="15B4486D"/>
    <w:rsid w:val="15CA2F2E"/>
    <w:rsid w:val="15E74C42"/>
    <w:rsid w:val="16CB5F30"/>
    <w:rsid w:val="16F2389F"/>
    <w:rsid w:val="16F643D6"/>
    <w:rsid w:val="171C5435"/>
    <w:rsid w:val="172D2B29"/>
    <w:rsid w:val="17E217ED"/>
    <w:rsid w:val="17F00444"/>
    <w:rsid w:val="18517FB6"/>
    <w:rsid w:val="188E75F7"/>
    <w:rsid w:val="18A44462"/>
    <w:rsid w:val="18D81447"/>
    <w:rsid w:val="19087218"/>
    <w:rsid w:val="191E1382"/>
    <w:rsid w:val="193F7A6A"/>
    <w:rsid w:val="19600F94"/>
    <w:rsid w:val="199A28AA"/>
    <w:rsid w:val="1A650426"/>
    <w:rsid w:val="1AA03612"/>
    <w:rsid w:val="1BCB75FC"/>
    <w:rsid w:val="1BDA0F1B"/>
    <w:rsid w:val="1BFF5B23"/>
    <w:rsid w:val="1C777DA5"/>
    <w:rsid w:val="1C7E467E"/>
    <w:rsid w:val="1D0D671B"/>
    <w:rsid w:val="1D305121"/>
    <w:rsid w:val="1D36397B"/>
    <w:rsid w:val="1D4B182A"/>
    <w:rsid w:val="1D5C48CC"/>
    <w:rsid w:val="1D835251"/>
    <w:rsid w:val="1DD943FB"/>
    <w:rsid w:val="1DE87A80"/>
    <w:rsid w:val="1E194C81"/>
    <w:rsid w:val="1E3E561C"/>
    <w:rsid w:val="1E68566C"/>
    <w:rsid w:val="1E95273B"/>
    <w:rsid w:val="1EA47B74"/>
    <w:rsid w:val="1F8B4401"/>
    <w:rsid w:val="1FFF5FBA"/>
    <w:rsid w:val="21082BD0"/>
    <w:rsid w:val="21554059"/>
    <w:rsid w:val="216B2E85"/>
    <w:rsid w:val="218872DA"/>
    <w:rsid w:val="218F2E30"/>
    <w:rsid w:val="21BF16DB"/>
    <w:rsid w:val="21C443C4"/>
    <w:rsid w:val="223C67F4"/>
    <w:rsid w:val="224A458F"/>
    <w:rsid w:val="22942040"/>
    <w:rsid w:val="22DA671D"/>
    <w:rsid w:val="23050835"/>
    <w:rsid w:val="231A7D53"/>
    <w:rsid w:val="23887B38"/>
    <w:rsid w:val="238B1360"/>
    <w:rsid w:val="24013DB9"/>
    <w:rsid w:val="24441950"/>
    <w:rsid w:val="248D76DC"/>
    <w:rsid w:val="249A5A1E"/>
    <w:rsid w:val="24A36916"/>
    <w:rsid w:val="25172BDE"/>
    <w:rsid w:val="25744A0D"/>
    <w:rsid w:val="25902C01"/>
    <w:rsid w:val="259A51CD"/>
    <w:rsid w:val="25D56865"/>
    <w:rsid w:val="26082272"/>
    <w:rsid w:val="262178C9"/>
    <w:rsid w:val="264755DA"/>
    <w:rsid w:val="2661459D"/>
    <w:rsid w:val="267E0CAB"/>
    <w:rsid w:val="26A84EBA"/>
    <w:rsid w:val="26EA363F"/>
    <w:rsid w:val="27144592"/>
    <w:rsid w:val="278B23EE"/>
    <w:rsid w:val="278B7B24"/>
    <w:rsid w:val="27C03641"/>
    <w:rsid w:val="281318C7"/>
    <w:rsid w:val="28541E37"/>
    <w:rsid w:val="285F3CB1"/>
    <w:rsid w:val="286928C5"/>
    <w:rsid w:val="289C366A"/>
    <w:rsid w:val="28A2214A"/>
    <w:rsid w:val="2936694E"/>
    <w:rsid w:val="2996455E"/>
    <w:rsid w:val="29DB04A2"/>
    <w:rsid w:val="29EE50B4"/>
    <w:rsid w:val="29FE7B47"/>
    <w:rsid w:val="2A367640"/>
    <w:rsid w:val="2A48356C"/>
    <w:rsid w:val="2ABC75C8"/>
    <w:rsid w:val="2B12230A"/>
    <w:rsid w:val="2B7E1510"/>
    <w:rsid w:val="2B8051DB"/>
    <w:rsid w:val="2BAA31B3"/>
    <w:rsid w:val="2BC63FD4"/>
    <w:rsid w:val="2C0D4F8D"/>
    <w:rsid w:val="2C376A9B"/>
    <w:rsid w:val="2C3A1B18"/>
    <w:rsid w:val="2C3F0EDD"/>
    <w:rsid w:val="2C4C4F3B"/>
    <w:rsid w:val="2C60078F"/>
    <w:rsid w:val="2C646B95"/>
    <w:rsid w:val="2C7E1414"/>
    <w:rsid w:val="2C810E08"/>
    <w:rsid w:val="2C8E59C0"/>
    <w:rsid w:val="2CBA6A70"/>
    <w:rsid w:val="2CD504F2"/>
    <w:rsid w:val="2D0F4C79"/>
    <w:rsid w:val="2D1D55AF"/>
    <w:rsid w:val="2D2B1461"/>
    <w:rsid w:val="2DC147E3"/>
    <w:rsid w:val="2EA90867"/>
    <w:rsid w:val="2EAD7087"/>
    <w:rsid w:val="2F454A5C"/>
    <w:rsid w:val="2FC43258"/>
    <w:rsid w:val="2FE467A7"/>
    <w:rsid w:val="302C011A"/>
    <w:rsid w:val="302C34A7"/>
    <w:rsid w:val="303A22C6"/>
    <w:rsid w:val="304940D8"/>
    <w:rsid w:val="30517430"/>
    <w:rsid w:val="30C3032E"/>
    <w:rsid w:val="30F37EDC"/>
    <w:rsid w:val="31055CDB"/>
    <w:rsid w:val="313C17BF"/>
    <w:rsid w:val="314A714A"/>
    <w:rsid w:val="315423FA"/>
    <w:rsid w:val="324507AD"/>
    <w:rsid w:val="3344327C"/>
    <w:rsid w:val="338B4F0A"/>
    <w:rsid w:val="33CC223D"/>
    <w:rsid w:val="345179FF"/>
    <w:rsid w:val="34814F15"/>
    <w:rsid w:val="34826328"/>
    <w:rsid w:val="34984755"/>
    <w:rsid w:val="34E959C3"/>
    <w:rsid w:val="34F85D6A"/>
    <w:rsid w:val="34FC2804"/>
    <w:rsid w:val="34FF4777"/>
    <w:rsid w:val="35120222"/>
    <w:rsid w:val="3518714F"/>
    <w:rsid w:val="353D3435"/>
    <w:rsid w:val="354A6EEA"/>
    <w:rsid w:val="356B1CF3"/>
    <w:rsid w:val="35AF70D3"/>
    <w:rsid w:val="36FD79CA"/>
    <w:rsid w:val="37654E9C"/>
    <w:rsid w:val="3784633D"/>
    <w:rsid w:val="38213B8C"/>
    <w:rsid w:val="382373DA"/>
    <w:rsid w:val="383B0B04"/>
    <w:rsid w:val="38591578"/>
    <w:rsid w:val="38AC16A8"/>
    <w:rsid w:val="38CF7D58"/>
    <w:rsid w:val="38F0269B"/>
    <w:rsid w:val="3A372F4A"/>
    <w:rsid w:val="3A7C1D7A"/>
    <w:rsid w:val="3AAD7959"/>
    <w:rsid w:val="3AD068AC"/>
    <w:rsid w:val="3ADB44C6"/>
    <w:rsid w:val="3AED5FA8"/>
    <w:rsid w:val="3B285284"/>
    <w:rsid w:val="3B2C319C"/>
    <w:rsid w:val="3B2D2566"/>
    <w:rsid w:val="3B387B37"/>
    <w:rsid w:val="3B68647D"/>
    <w:rsid w:val="3BAF2C97"/>
    <w:rsid w:val="3C074E47"/>
    <w:rsid w:val="3C756255"/>
    <w:rsid w:val="3C9E39FD"/>
    <w:rsid w:val="3C9F4DD0"/>
    <w:rsid w:val="3D0D46DF"/>
    <w:rsid w:val="3D254A9A"/>
    <w:rsid w:val="3D3C5A02"/>
    <w:rsid w:val="3D430E91"/>
    <w:rsid w:val="3D723C25"/>
    <w:rsid w:val="3D8F5CCA"/>
    <w:rsid w:val="3D910454"/>
    <w:rsid w:val="3D964F1B"/>
    <w:rsid w:val="3E0C2560"/>
    <w:rsid w:val="3EB02237"/>
    <w:rsid w:val="3EB80B41"/>
    <w:rsid w:val="3EE65C63"/>
    <w:rsid w:val="3FCF6608"/>
    <w:rsid w:val="40476BB4"/>
    <w:rsid w:val="4092377C"/>
    <w:rsid w:val="40AA78B9"/>
    <w:rsid w:val="411E6EBB"/>
    <w:rsid w:val="41B079AE"/>
    <w:rsid w:val="41FF0A9A"/>
    <w:rsid w:val="42417218"/>
    <w:rsid w:val="43B55C44"/>
    <w:rsid w:val="448458F3"/>
    <w:rsid w:val="44A633D7"/>
    <w:rsid w:val="450B6BAA"/>
    <w:rsid w:val="45531639"/>
    <w:rsid w:val="45EC57D9"/>
    <w:rsid w:val="465467E3"/>
    <w:rsid w:val="466D03B6"/>
    <w:rsid w:val="467A4130"/>
    <w:rsid w:val="46ED3D62"/>
    <w:rsid w:val="46F030A7"/>
    <w:rsid w:val="46FE5A27"/>
    <w:rsid w:val="472165E1"/>
    <w:rsid w:val="472D42FC"/>
    <w:rsid w:val="472D7E58"/>
    <w:rsid w:val="474447A0"/>
    <w:rsid w:val="474B1F88"/>
    <w:rsid w:val="47B50093"/>
    <w:rsid w:val="47CE3835"/>
    <w:rsid w:val="47E938E8"/>
    <w:rsid w:val="47F548C0"/>
    <w:rsid w:val="48543A65"/>
    <w:rsid w:val="48551120"/>
    <w:rsid w:val="489A6008"/>
    <w:rsid w:val="48CE1A32"/>
    <w:rsid w:val="492B6619"/>
    <w:rsid w:val="49356079"/>
    <w:rsid w:val="4957634E"/>
    <w:rsid w:val="496F10FC"/>
    <w:rsid w:val="49881CCB"/>
    <w:rsid w:val="49975FBC"/>
    <w:rsid w:val="49D13AE4"/>
    <w:rsid w:val="49E1480A"/>
    <w:rsid w:val="49FB653F"/>
    <w:rsid w:val="4A4B3E0B"/>
    <w:rsid w:val="4A5D44B5"/>
    <w:rsid w:val="4A6437D4"/>
    <w:rsid w:val="4A8F086C"/>
    <w:rsid w:val="4AB070BD"/>
    <w:rsid w:val="4AE46E2A"/>
    <w:rsid w:val="4B086260"/>
    <w:rsid w:val="4B792C11"/>
    <w:rsid w:val="4C6C6665"/>
    <w:rsid w:val="4C993854"/>
    <w:rsid w:val="4C9D782D"/>
    <w:rsid w:val="4CBA0C3C"/>
    <w:rsid w:val="4CC773C4"/>
    <w:rsid w:val="4CE81B67"/>
    <w:rsid w:val="4CF077D9"/>
    <w:rsid w:val="4D211BA8"/>
    <w:rsid w:val="4E816CDB"/>
    <w:rsid w:val="4EC5185F"/>
    <w:rsid w:val="4F0516BA"/>
    <w:rsid w:val="4F7A2315"/>
    <w:rsid w:val="4F9273F2"/>
    <w:rsid w:val="4FB31056"/>
    <w:rsid w:val="501D04C6"/>
    <w:rsid w:val="50224539"/>
    <w:rsid w:val="50675167"/>
    <w:rsid w:val="509B115C"/>
    <w:rsid w:val="50E705D7"/>
    <w:rsid w:val="50F773EF"/>
    <w:rsid w:val="50FA6AF3"/>
    <w:rsid w:val="51040E29"/>
    <w:rsid w:val="51AC2CF6"/>
    <w:rsid w:val="51CF2789"/>
    <w:rsid w:val="51EE696A"/>
    <w:rsid w:val="52E60BBD"/>
    <w:rsid w:val="53537FC2"/>
    <w:rsid w:val="537A576C"/>
    <w:rsid w:val="538D6EF1"/>
    <w:rsid w:val="53E24E79"/>
    <w:rsid w:val="54051CBA"/>
    <w:rsid w:val="54627517"/>
    <w:rsid w:val="54C301E3"/>
    <w:rsid w:val="54CD3E95"/>
    <w:rsid w:val="54FE1085"/>
    <w:rsid w:val="5507618C"/>
    <w:rsid w:val="555313D1"/>
    <w:rsid w:val="555465EE"/>
    <w:rsid w:val="5630606F"/>
    <w:rsid w:val="56431446"/>
    <w:rsid w:val="564D2F1F"/>
    <w:rsid w:val="56601D30"/>
    <w:rsid w:val="56864980"/>
    <w:rsid w:val="56BD287A"/>
    <w:rsid w:val="57617D64"/>
    <w:rsid w:val="579023A5"/>
    <w:rsid w:val="579D2991"/>
    <w:rsid w:val="57EF105C"/>
    <w:rsid w:val="58831FCD"/>
    <w:rsid w:val="58A81A34"/>
    <w:rsid w:val="597D4298"/>
    <w:rsid w:val="59CC3500"/>
    <w:rsid w:val="5A17089F"/>
    <w:rsid w:val="5A2B78A9"/>
    <w:rsid w:val="5AC204A2"/>
    <w:rsid w:val="5ADE079F"/>
    <w:rsid w:val="5ADF2CEC"/>
    <w:rsid w:val="5B74302C"/>
    <w:rsid w:val="5B93792A"/>
    <w:rsid w:val="5B9F4190"/>
    <w:rsid w:val="5BBE44A1"/>
    <w:rsid w:val="5C0F2120"/>
    <w:rsid w:val="5CC2508E"/>
    <w:rsid w:val="5CC95CE6"/>
    <w:rsid w:val="5CF04714"/>
    <w:rsid w:val="5CF641B7"/>
    <w:rsid w:val="5CFA7B5F"/>
    <w:rsid w:val="5CFD12BC"/>
    <w:rsid w:val="5D872105"/>
    <w:rsid w:val="5DCE519B"/>
    <w:rsid w:val="5DDC2951"/>
    <w:rsid w:val="5E042794"/>
    <w:rsid w:val="5E8E75A3"/>
    <w:rsid w:val="5E9860A7"/>
    <w:rsid w:val="5EBC232F"/>
    <w:rsid w:val="5EC0678A"/>
    <w:rsid w:val="5ED877D8"/>
    <w:rsid w:val="5EE240B6"/>
    <w:rsid w:val="5F1A5C6D"/>
    <w:rsid w:val="5F2F7A39"/>
    <w:rsid w:val="5FA814DF"/>
    <w:rsid w:val="5FE82FD2"/>
    <w:rsid w:val="5FED58DF"/>
    <w:rsid w:val="6040616F"/>
    <w:rsid w:val="60B168B0"/>
    <w:rsid w:val="60C5514D"/>
    <w:rsid w:val="60D96503"/>
    <w:rsid w:val="60DD148F"/>
    <w:rsid w:val="60FF3D49"/>
    <w:rsid w:val="61305322"/>
    <w:rsid w:val="6159154D"/>
    <w:rsid w:val="61994C8C"/>
    <w:rsid w:val="61A65755"/>
    <w:rsid w:val="61BA65BF"/>
    <w:rsid w:val="628F77C1"/>
    <w:rsid w:val="62922B86"/>
    <w:rsid w:val="62B83782"/>
    <w:rsid w:val="62F67905"/>
    <w:rsid w:val="63344D9C"/>
    <w:rsid w:val="6372336A"/>
    <w:rsid w:val="63852965"/>
    <w:rsid w:val="63B719CA"/>
    <w:rsid w:val="63B87749"/>
    <w:rsid w:val="63E92F01"/>
    <w:rsid w:val="64063AB3"/>
    <w:rsid w:val="64255857"/>
    <w:rsid w:val="64371776"/>
    <w:rsid w:val="64371EBE"/>
    <w:rsid w:val="64565DD5"/>
    <w:rsid w:val="646903D7"/>
    <w:rsid w:val="647B624F"/>
    <w:rsid w:val="64B47B11"/>
    <w:rsid w:val="64E2382D"/>
    <w:rsid w:val="652C145A"/>
    <w:rsid w:val="652E3534"/>
    <w:rsid w:val="6614440A"/>
    <w:rsid w:val="678E46C4"/>
    <w:rsid w:val="6800730B"/>
    <w:rsid w:val="681B5ADF"/>
    <w:rsid w:val="685E210F"/>
    <w:rsid w:val="686065CC"/>
    <w:rsid w:val="689D00AB"/>
    <w:rsid w:val="68A94442"/>
    <w:rsid w:val="68BC5CCF"/>
    <w:rsid w:val="694B1CA9"/>
    <w:rsid w:val="696848C8"/>
    <w:rsid w:val="69D87C9F"/>
    <w:rsid w:val="69F0323B"/>
    <w:rsid w:val="6A333F49"/>
    <w:rsid w:val="6A3D7B02"/>
    <w:rsid w:val="6A6F3824"/>
    <w:rsid w:val="6AB204F0"/>
    <w:rsid w:val="6AE125CF"/>
    <w:rsid w:val="6AF97ECD"/>
    <w:rsid w:val="6B356F25"/>
    <w:rsid w:val="6C6121CE"/>
    <w:rsid w:val="6C7822A9"/>
    <w:rsid w:val="6C92282C"/>
    <w:rsid w:val="6C9B0687"/>
    <w:rsid w:val="6CCD0C34"/>
    <w:rsid w:val="6D2B360C"/>
    <w:rsid w:val="6DD94EB7"/>
    <w:rsid w:val="6ED65668"/>
    <w:rsid w:val="6F5F3C10"/>
    <w:rsid w:val="6F7D619A"/>
    <w:rsid w:val="6F9F35B4"/>
    <w:rsid w:val="6FCA71E0"/>
    <w:rsid w:val="6FD827A7"/>
    <w:rsid w:val="703145D9"/>
    <w:rsid w:val="706C1141"/>
    <w:rsid w:val="706E7C9E"/>
    <w:rsid w:val="707324D0"/>
    <w:rsid w:val="70CF5032"/>
    <w:rsid w:val="71856DEF"/>
    <w:rsid w:val="71A130D0"/>
    <w:rsid w:val="71DA004A"/>
    <w:rsid w:val="726B69B0"/>
    <w:rsid w:val="728A0291"/>
    <w:rsid w:val="729F531D"/>
    <w:rsid w:val="72CF47E7"/>
    <w:rsid w:val="72ED48AE"/>
    <w:rsid w:val="730361B9"/>
    <w:rsid w:val="734466F5"/>
    <w:rsid w:val="738D5656"/>
    <w:rsid w:val="73EA2043"/>
    <w:rsid w:val="742740AC"/>
    <w:rsid w:val="743A2B40"/>
    <w:rsid w:val="745F7336"/>
    <w:rsid w:val="74923BF4"/>
    <w:rsid w:val="74C44810"/>
    <w:rsid w:val="74CF773B"/>
    <w:rsid w:val="750202C6"/>
    <w:rsid w:val="75475CD9"/>
    <w:rsid w:val="75B354EE"/>
    <w:rsid w:val="75BC3DFE"/>
    <w:rsid w:val="768D3BBF"/>
    <w:rsid w:val="76A06528"/>
    <w:rsid w:val="76DB2792"/>
    <w:rsid w:val="77091498"/>
    <w:rsid w:val="77BA7B83"/>
    <w:rsid w:val="77EA05CE"/>
    <w:rsid w:val="785D1817"/>
    <w:rsid w:val="786C5947"/>
    <w:rsid w:val="78861E4A"/>
    <w:rsid w:val="78D37FAF"/>
    <w:rsid w:val="78F57EFF"/>
    <w:rsid w:val="79BF5E05"/>
    <w:rsid w:val="79F71BE1"/>
    <w:rsid w:val="7A0D60DE"/>
    <w:rsid w:val="7A0F5025"/>
    <w:rsid w:val="7A16003B"/>
    <w:rsid w:val="7A367DDC"/>
    <w:rsid w:val="7A6A4943"/>
    <w:rsid w:val="7AE600D4"/>
    <w:rsid w:val="7AEC35AA"/>
    <w:rsid w:val="7B0A28DC"/>
    <w:rsid w:val="7B0B390C"/>
    <w:rsid w:val="7B8109A5"/>
    <w:rsid w:val="7BBA0FB3"/>
    <w:rsid w:val="7BF21F72"/>
    <w:rsid w:val="7C9B21DA"/>
    <w:rsid w:val="7CAC5049"/>
    <w:rsid w:val="7CE31C56"/>
    <w:rsid w:val="7D5A1A2C"/>
    <w:rsid w:val="7D686286"/>
    <w:rsid w:val="7D757A64"/>
    <w:rsid w:val="7D921F97"/>
    <w:rsid w:val="7DA34981"/>
    <w:rsid w:val="7DA83736"/>
    <w:rsid w:val="7DB9757F"/>
    <w:rsid w:val="7E104461"/>
    <w:rsid w:val="7F39186C"/>
    <w:rsid w:val="7F6E5771"/>
    <w:rsid w:val="7FCE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qFormat="1"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line="360" w:lineRule="auto"/>
      <w:jc w:val="center"/>
      <w:outlineLvl w:val="0"/>
    </w:pPr>
    <w:rPr>
      <w:rFonts w:ascii="方正小标宋简体" w:hAnsi="方正小标宋简体" w:eastAsia="方正小标宋简体" w:cs="方正小标宋简体"/>
      <w:b/>
      <w:kern w:val="44"/>
      <w:sz w:val="32"/>
      <w:szCs w:val="32"/>
    </w:rPr>
  </w:style>
  <w:style w:type="paragraph" w:styleId="3">
    <w:name w:val="heading 2"/>
    <w:basedOn w:val="1"/>
    <w:next w:val="1"/>
    <w:link w:val="44"/>
    <w:unhideWhenUsed/>
    <w:qFormat/>
    <w:uiPriority w:val="0"/>
    <w:pPr>
      <w:snapToGrid w:val="0"/>
      <w:jc w:val="center"/>
      <w:outlineLvl w:val="1"/>
    </w:pPr>
    <w:rPr>
      <w:rFonts w:ascii="仿宋_GB2312" w:hAnsi="仿宋_GB2312" w:eastAsia="仿宋_GB2312" w:cs="仿宋_GB2312"/>
      <w:b/>
      <w:bCs/>
      <w:sz w:val="32"/>
      <w:szCs w:val="32"/>
    </w:rPr>
  </w:style>
  <w:style w:type="paragraph" w:styleId="4">
    <w:name w:val="heading 3"/>
    <w:basedOn w:val="3"/>
    <w:next w:val="1"/>
    <w:link w:val="34"/>
    <w:unhideWhenUsed/>
    <w:qFormat/>
    <w:uiPriority w:val="0"/>
    <w:pPr>
      <w:numPr>
        <w:ilvl w:val="0"/>
        <w:numId w:val="1"/>
      </w:numPr>
      <w:jc w:val="left"/>
      <w:outlineLvl w:val="2"/>
    </w:p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qFormat/>
    <w:uiPriority w:val="0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6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7">
    <w:name w:val="annotation text"/>
    <w:basedOn w:val="1"/>
    <w:link w:val="42"/>
    <w:qFormat/>
    <w:uiPriority w:val="0"/>
  </w:style>
  <w:style w:type="paragraph" w:styleId="8">
    <w:name w:val="toc 5"/>
    <w:basedOn w:val="1"/>
    <w:next w:val="1"/>
    <w:qFormat/>
    <w:uiPriority w:val="0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9">
    <w:name w:val="toc 3"/>
    <w:basedOn w:val="1"/>
    <w:next w:val="1"/>
    <w:qFormat/>
    <w:uiPriority w:val="39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10">
    <w:name w:val="toc 8"/>
    <w:basedOn w:val="1"/>
    <w:next w:val="1"/>
    <w:qFormat/>
    <w:uiPriority w:val="0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11">
    <w:name w:val="Balloon Text"/>
    <w:basedOn w:val="1"/>
    <w:link w:val="41"/>
    <w:qFormat/>
    <w:uiPriority w:val="0"/>
    <w:rPr>
      <w:sz w:val="18"/>
      <w:szCs w:val="18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toc 1"/>
    <w:basedOn w:val="1"/>
    <w:next w:val="1"/>
    <w:qFormat/>
    <w:uiPriority w:val="39"/>
    <w:pPr>
      <w:tabs>
        <w:tab w:val="right" w:leader="dot" w:pos="8296"/>
      </w:tabs>
      <w:spacing w:before="120" w:after="120"/>
      <w:jc w:val="center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5">
    <w:name w:val="toc 4"/>
    <w:basedOn w:val="1"/>
    <w:next w:val="1"/>
    <w:qFormat/>
    <w:uiPriority w:val="0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16">
    <w:name w:val="toc 6"/>
    <w:basedOn w:val="1"/>
    <w:next w:val="1"/>
    <w:qFormat/>
    <w:uiPriority w:val="0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17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18">
    <w:name w:val="toc 2"/>
    <w:basedOn w:val="1"/>
    <w:next w:val="1"/>
    <w:qFormat/>
    <w:uiPriority w:val="39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19">
    <w:name w:val="toc 9"/>
    <w:basedOn w:val="1"/>
    <w:next w:val="1"/>
    <w:qFormat/>
    <w:uiPriority w:val="0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20">
    <w:name w:val="Normal (Web)"/>
    <w:basedOn w:val="1"/>
    <w:qFormat/>
    <w:uiPriority w:val="0"/>
    <w:rPr>
      <w:rFonts w:ascii="Calibri" w:hAnsi="Calibri" w:cs="Times New Roman"/>
    </w:rPr>
  </w:style>
  <w:style w:type="paragraph" w:styleId="21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2">
    <w:name w:val="annotation subject"/>
    <w:basedOn w:val="7"/>
    <w:next w:val="7"/>
    <w:link w:val="43"/>
    <w:qFormat/>
    <w:uiPriority w:val="0"/>
    <w:rPr>
      <w:b/>
      <w:bCs/>
    </w:rPr>
  </w:style>
  <w:style w:type="table" w:styleId="24">
    <w:name w:val="Table Grid"/>
    <w:basedOn w:val="2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</w:rPr>
  </w:style>
  <w:style w:type="character" w:styleId="27">
    <w:name w:val="FollowedHyperlink"/>
    <w:basedOn w:val="25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qFormat/>
    <w:uiPriority w:val="99"/>
    <w:rPr>
      <w:color w:val="0000FF"/>
      <w:u w:val="single"/>
    </w:rPr>
  </w:style>
  <w:style w:type="character" w:styleId="29">
    <w:name w:val="annotation reference"/>
    <w:basedOn w:val="25"/>
    <w:qFormat/>
    <w:uiPriority w:val="0"/>
    <w:rPr>
      <w:sz w:val="21"/>
      <w:szCs w:val="21"/>
    </w:rPr>
  </w:style>
  <w:style w:type="character" w:customStyle="1" w:styleId="30">
    <w:name w:val="font91"/>
    <w:basedOn w:val="25"/>
    <w:qFormat/>
    <w:uiPriority w:val="0"/>
    <w:rPr>
      <w:rFonts w:ascii="Arial" w:hAnsi="Arial" w:cs="Arial"/>
      <w:color w:val="000000"/>
      <w:sz w:val="16"/>
      <w:szCs w:val="16"/>
      <w:u w:val="none"/>
    </w:rPr>
  </w:style>
  <w:style w:type="character" w:customStyle="1" w:styleId="31">
    <w:name w:val="font51"/>
    <w:basedOn w:val="25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32">
    <w:name w:val="文字"/>
    <w:qFormat/>
    <w:uiPriority w:val="0"/>
    <w:pPr>
      <w:adjustRightInd w:val="0"/>
      <w:snapToGrid w:val="0"/>
      <w:spacing w:line="360" w:lineRule="auto"/>
      <w:ind w:firstLine="560" w:firstLineChars="200"/>
    </w:pPr>
    <w:rPr>
      <w:rFonts w:ascii="仿宋_GB2312" w:hAnsi="仿宋_GB2312" w:eastAsia="仿宋_GB2312" w:cs="仿宋_GB2312"/>
      <w:bCs/>
      <w:kern w:val="44"/>
      <w:sz w:val="28"/>
      <w:szCs w:val="28"/>
      <w:lang w:val="en-US" w:eastAsia="zh-CN" w:bidi="ar-SA"/>
    </w:rPr>
  </w:style>
  <w:style w:type="paragraph" w:styleId="3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4">
    <w:name w:val="标题 3 字符"/>
    <w:link w:val="4"/>
    <w:semiHidden/>
    <w:qFormat/>
    <w:uiPriority w:val="0"/>
    <w:rPr>
      <w:rFonts w:ascii="仿宋_GB2312" w:hAnsi="仿宋_GB2312" w:eastAsia="仿宋_GB2312" w:cs="仿宋_GB2312"/>
      <w:b/>
      <w:bCs/>
      <w:sz w:val="32"/>
      <w:szCs w:val="32"/>
      <w:lang w:val="en-US" w:eastAsia="zh-CN" w:bidi="ar-SA"/>
    </w:rPr>
  </w:style>
  <w:style w:type="character" w:customStyle="1" w:styleId="35">
    <w:name w:val="未处理的提及1"/>
    <w:basedOn w:val="2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标题 字符"/>
    <w:basedOn w:val="25"/>
    <w:link w:val="21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7">
    <w:name w:val="不明显强调1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表格文字"/>
    <w:basedOn w:val="32"/>
    <w:qFormat/>
    <w:uiPriority w:val="0"/>
    <w:pPr>
      <w:ind w:left="-2" w:leftChars="-1" w:firstLine="0" w:firstLineChars="0"/>
    </w:pPr>
  </w:style>
  <w:style w:type="character" w:customStyle="1" w:styleId="39">
    <w:name w:val="未处理的提及2"/>
    <w:basedOn w:val="25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40">
    <w:name w:val="无格式表格 21"/>
    <w:basedOn w:val="23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41">
    <w:name w:val="批注框文本 字符"/>
    <w:basedOn w:val="25"/>
    <w:link w:val="11"/>
    <w:qFormat/>
    <w:uiPriority w:val="0"/>
    <w:rPr>
      <w:rFonts w:ascii="宋体" w:hAnsi="宋体" w:cs="宋体"/>
      <w:sz w:val="18"/>
      <w:szCs w:val="18"/>
    </w:rPr>
  </w:style>
  <w:style w:type="character" w:customStyle="1" w:styleId="42">
    <w:name w:val="批注文字 字符"/>
    <w:basedOn w:val="25"/>
    <w:link w:val="7"/>
    <w:qFormat/>
    <w:uiPriority w:val="0"/>
    <w:rPr>
      <w:rFonts w:ascii="宋体" w:hAnsi="宋体" w:cs="宋体"/>
      <w:sz w:val="24"/>
      <w:szCs w:val="24"/>
    </w:rPr>
  </w:style>
  <w:style w:type="character" w:customStyle="1" w:styleId="43">
    <w:name w:val="批注主题 字符"/>
    <w:basedOn w:val="42"/>
    <w:link w:val="22"/>
    <w:qFormat/>
    <w:uiPriority w:val="0"/>
    <w:rPr>
      <w:rFonts w:ascii="宋体" w:hAnsi="宋体" w:cs="宋体"/>
      <w:b/>
      <w:bCs/>
      <w:sz w:val="24"/>
      <w:szCs w:val="24"/>
    </w:rPr>
  </w:style>
  <w:style w:type="character" w:customStyle="1" w:styleId="44">
    <w:name w:val="标题 2 字符"/>
    <w:link w:val="3"/>
    <w:qFormat/>
    <w:uiPriority w:val="0"/>
    <w:rPr>
      <w:rFonts w:ascii="仿宋_GB2312" w:hAnsi="仿宋_GB2312" w:eastAsia="仿宋_GB2312" w:cs="仿宋_GB2312"/>
      <w:b/>
      <w:bCs/>
      <w:sz w:val="32"/>
      <w:szCs w:val="32"/>
      <w:lang w:val="en-US" w:eastAsia="zh-CN" w:bidi="ar-SA"/>
    </w:rPr>
  </w:style>
  <w:style w:type="table" w:customStyle="1" w:styleId="45">
    <w:name w:val="清单表 3 - 着色 11"/>
    <w:basedOn w:val="23"/>
    <w:qFormat/>
    <w:uiPriority w:val="48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B9BD5" w:themeColor="accent1" w:sz="4" w:space="0"/>
          <w:left w:val="nil"/>
        </w:tcBorders>
      </w:tcPr>
    </w:tblStylePr>
    <w:tblStylePr w:type="swCell">
      <w:tcPr>
        <w:tcBorders>
          <w:top w:val="double" w:color="5B9BD5" w:themeColor="accent1" w:sz="4" w:space="0"/>
          <w:right w:val="nil"/>
        </w:tcBorders>
      </w:tcPr>
    </w:tblStylePr>
  </w:style>
  <w:style w:type="character" w:customStyle="1" w:styleId="46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421170-282B-CB47-A1ED-672013FA72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集团总部</Company>
  <Pages>7</Pages>
  <Words>361</Words>
  <Characters>411</Characters>
  <Lines>55</Lines>
  <Paragraphs>15</Paragraphs>
  <TotalTime>83</TotalTime>
  <ScaleCrop>false</ScaleCrop>
  <LinksUpToDate>false</LinksUpToDate>
  <CharactersWithSpaces>442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2025-03-16T05:36:00Z</dcterms:created>
  <dc:creator>任毅</dc:creator>
  <cp:lastModifiedBy>蓝天小云</cp:lastModifiedBy>
  <dcterms:modified xsi:type="dcterms:W3CDTF">2025-09-12T05:12:44Z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69B2ADB5A24B4895ACC8D6450E190A22</vt:lpwstr>
  </property>
  <property fmtid="{D5CDD505-2E9C-101B-9397-08002B2CF9AE}" pid="4" name="KSOTemplateDocerSaveRecord">
    <vt:lpwstr>eyJoZGlkIjoiYTAyYWMzNzNkNTc2NDA5ZjJhMjk3NmNmMDFlMDMyNGIiLCJ1c2VySWQiOiIzNTY3OTY0OTMifQ==</vt:lpwstr>
  </property>
</Properties>
</file>