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BC147">
      <w:pPr>
        <w:pStyle w:val="21"/>
        <w:snapToGrid w:val="0"/>
        <w:spacing w:before="500"/>
        <w:ind w:left="0" w:leftChars="0" w:firstLine="640" w:firstLineChars="145"/>
        <w:rPr>
          <w:sz w:val="44"/>
        </w:rPr>
      </w:pPr>
    </w:p>
    <w:p w14:paraId="61230950">
      <w:pPr>
        <w:pStyle w:val="21"/>
        <w:snapToGrid w:val="0"/>
        <w:spacing w:before="500"/>
        <w:ind w:left="0" w:leftChars="0" w:firstLine="640" w:firstLineChars="145"/>
        <w:rPr>
          <w:sz w:val="44"/>
        </w:rPr>
      </w:pPr>
    </w:p>
    <w:p w14:paraId="531FE702">
      <w:pPr>
        <w:pStyle w:val="21"/>
        <w:snapToGrid w:val="0"/>
        <w:spacing w:before="500"/>
        <w:ind w:left="0" w:leftChars="0" w:firstLine="640" w:firstLineChars="145"/>
        <w:jc w:val="both"/>
        <w:rPr>
          <w:sz w:val="44"/>
        </w:rPr>
      </w:pPr>
    </w:p>
    <w:p w14:paraId="0CF9F03C">
      <w:pPr>
        <w:pStyle w:val="21"/>
        <w:snapToGrid w:val="0"/>
        <w:spacing w:before="500" w:line="240" w:lineRule="auto"/>
        <w:ind w:left="0" w:leftChars="0" w:firstLine="0" w:firstLineChars="0"/>
        <w:jc w:val="center"/>
        <w:rPr>
          <w:sz w:val="72"/>
          <w:szCs w:val="52"/>
        </w:rPr>
      </w:pPr>
      <w:r>
        <w:rPr>
          <w:rFonts w:hint="eastAsia"/>
          <w:sz w:val="72"/>
          <w:szCs w:val="52"/>
        </w:rPr>
        <w:t>一周资讯速递</w:t>
      </w:r>
    </w:p>
    <w:p w14:paraId="76058253">
      <w:pPr>
        <w:pStyle w:val="21"/>
        <w:snapToGrid w:val="0"/>
        <w:spacing w:before="500" w:line="240" w:lineRule="auto"/>
        <w:ind w:left="0" w:leftChars="0" w:firstLine="0" w:firstLineChars="0"/>
        <w:rPr>
          <w:sz w:val="44"/>
        </w:rPr>
      </w:pPr>
      <w:r>
        <w:rPr>
          <w:rFonts w:hint="eastAsia"/>
          <w:sz w:val="44"/>
        </w:rPr>
        <w:t>（11.</w:t>
      </w:r>
      <w:r>
        <w:rPr>
          <w:rFonts w:hint="eastAsia"/>
          <w:sz w:val="44"/>
          <w:lang w:val="en-US" w:eastAsia="zh-CN"/>
        </w:rPr>
        <w:t>14</w:t>
      </w:r>
      <w:r>
        <w:rPr>
          <w:rFonts w:hint="eastAsia"/>
          <w:sz w:val="44"/>
        </w:rPr>
        <w:t>-11.</w:t>
      </w:r>
      <w:r>
        <w:rPr>
          <w:rFonts w:hint="eastAsia"/>
          <w:sz w:val="44"/>
          <w:lang w:val="en-US" w:eastAsia="zh-CN"/>
        </w:rPr>
        <w:t>21</w:t>
      </w:r>
      <w:r>
        <w:rPr>
          <w:rFonts w:hint="eastAsia"/>
          <w:sz w:val="44"/>
        </w:rPr>
        <w:t>）</w:t>
      </w:r>
    </w:p>
    <w:p w14:paraId="730C2F2E">
      <w:pPr>
        <w:pStyle w:val="21"/>
        <w:snapToGrid w:val="0"/>
        <w:spacing w:before="500" w:line="240" w:lineRule="auto"/>
        <w:ind w:left="0" w:leftChars="0" w:firstLine="0" w:firstLineChars="0"/>
        <w:jc w:val="center"/>
        <w:rPr>
          <w:sz w:val="28"/>
          <w:szCs w:val="21"/>
        </w:rPr>
      </w:pPr>
      <w:r>
        <w:rPr>
          <w:rFonts w:hint="eastAsia"/>
          <w:sz w:val="28"/>
          <w:szCs w:val="21"/>
        </w:rPr>
        <w:t>中国移动通信集团湖北有限公司 东湖智库</w:t>
      </w:r>
    </w:p>
    <w:p w14:paraId="2616C638">
      <w:pPr>
        <w:pStyle w:val="21"/>
        <w:snapToGrid w:val="0"/>
        <w:spacing w:before="500" w:line="240" w:lineRule="auto"/>
        <w:ind w:left="0" w:leftChars="0" w:firstLine="640" w:firstLineChars="145"/>
        <w:rPr>
          <w:sz w:val="44"/>
        </w:rPr>
      </w:pPr>
      <w:r>
        <w:rPr>
          <w:rFonts w:hint="eastAsia"/>
          <w:sz w:val="44"/>
        </w:rPr>
        <w:br w:type="page"/>
      </w:r>
    </w:p>
    <w:p w14:paraId="09072FCA">
      <w:pPr>
        <w:pStyle w:val="4"/>
        <w:ind w:left="0" w:leftChars="0" w:firstLine="261" w:firstLineChars="145"/>
      </w:pPr>
    </w:p>
    <w:sdt>
      <w:sdtPr>
        <w:rPr>
          <w:rFonts w:hint="eastAsia" w:ascii="黑体" w:hAnsi="黑体" w:eastAsia="黑体" w:cs="黑体"/>
          <w:color w:val="auto"/>
          <w:kern w:val="2"/>
          <w:sz w:val="32"/>
          <w:szCs w:val="32"/>
          <w:lang w:val="zh-CN"/>
        </w:rPr>
        <w:id w:val="-1919944586"/>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14:paraId="4CAF9028">
          <w:pPr>
            <w:pStyle w:val="44"/>
            <w:spacing w:line="360" w:lineRule="exact"/>
            <w:ind w:left="0" w:leftChars="0" w:firstLine="464" w:firstLineChars="145"/>
            <w:jc w:val="center"/>
            <w:rPr>
              <w:rFonts w:hint="eastAsia" w:ascii="黑体" w:hAnsi="黑体" w:eastAsia="黑体" w:cs="黑体"/>
              <w:color w:val="auto"/>
              <w:sz w:val="32"/>
              <w:szCs w:val="32"/>
            </w:rPr>
          </w:pPr>
          <w:r>
            <w:rPr>
              <w:rFonts w:hint="eastAsia" w:ascii="黑体" w:hAnsi="黑体" w:eastAsia="黑体" w:cs="黑体"/>
              <w:color w:val="auto"/>
              <w:sz w:val="32"/>
              <w:szCs w:val="32"/>
              <w:lang w:val="zh-CN"/>
            </w:rPr>
            <w:t>目</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val="zh-CN"/>
            </w:rPr>
            <w:t>录</w:t>
          </w:r>
        </w:p>
        <w:p w14:paraId="6246EC1D">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_Toc17095 </w:instrText>
          </w:r>
          <w:r>
            <w:rPr>
              <w:b/>
              <w:bCs/>
              <w:i w:val="0"/>
              <w:iCs w:val="0"/>
              <w:sz w:val="24"/>
              <w:szCs w:val="24"/>
            </w:rPr>
            <w:fldChar w:fldCharType="separate"/>
          </w:r>
          <w:r>
            <w:rPr>
              <w:rFonts w:hint="eastAsia"/>
              <w:b/>
              <w:bCs/>
              <w:i w:val="0"/>
              <w:iCs w:val="0"/>
              <w:sz w:val="24"/>
              <w:szCs w:val="24"/>
              <w:lang w:val="en-US" w:eastAsia="zh-CN"/>
            </w:rPr>
            <w:t>重</w:t>
          </w:r>
          <w:r>
            <w:rPr>
              <w:rFonts w:hint="eastAsia"/>
              <w:b/>
              <w:bCs/>
              <w:i w:val="0"/>
              <w:iCs w:val="0"/>
              <w:sz w:val="24"/>
              <w:szCs w:val="24"/>
            </w:rPr>
            <w:t xml:space="preserve">点 · </w:t>
          </w:r>
          <w:r>
            <w:rPr>
              <w:rFonts w:hint="eastAsia"/>
              <w:b/>
              <w:bCs/>
              <w:i w:val="0"/>
              <w:iCs w:val="0"/>
              <w:sz w:val="24"/>
              <w:szCs w:val="24"/>
              <w:lang w:val="en-US" w:eastAsia="zh-CN"/>
            </w:rPr>
            <w:t>关注</w:t>
          </w:r>
          <w:r>
            <w:rPr>
              <w:b/>
              <w:bCs/>
              <w:i w:val="0"/>
              <w:iCs w:val="0"/>
              <w:sz w:val="24"/>
              <w:szCs w:val="24"/>
            </w:rPr>
            <w:fldChar w:fldCharType="end"/>
          </w:r>
        </w:p>
        <w:p w14:paraId="5A7A9373">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i w:val="0"/>
              <w:iCs w:val="0"/>
              <w:sz w:val="24"/>
              <w:szCs w:val="24"/>
            </w:rPr>
            <w:fldChar w:fldCharType="begin"/>
          </w:r>
          <w:r>
            <w:rPr>
              <w:i w:val="0"/>
              <w:iCs w:val="0"/>
              <w:sz w:val="24"/>
              <w:szCs w:val="24"/>
            </w:rPr>
            <w:instrText xml:space="preserve"> HYPERLINK \l _Toc23885 </w:instrText>
          </w:r>
          <w:r>
            <w:rPr>
              <w:i w:val="0"/>
              <w:iCs w:val="0"/>
              <w:sz w:val="24"/>
              <w:szCs w:val="24"/>
            </w:rPr>
            <w:fldChar w:fldCharType="separate"/>
          </w:r>
          <w:r>
            <w:rPr>
              <w:rFonts w:hint="eastAsia"/>
              <w:i w:val="0"/>
              <w:iCs w:val="0"/>
              <w:sz w:val="24"/>
              <w:szCs w:val="24"/>
            </w:rPr>
            <w:t>一、 国务院常务会部署“两重”建设</w:t>
          </w:r>
          <w:r>
            <w:rPr>
              <w:rFonts w:hint="eastAsia"/>
              <w:i w:val="0"/>
              <w:iCs w:val="0"/>
              <w:sz w:val="24"/>
              <w:szCs w:val="24"/>
              <w:lang w:eastAsia="zh-CN"/>
            </w:rPr>
            <w:t>、促进消费</w:t>
          </w:r>
          <w:r>
            <w:rPr>
              <w:rFonts w:hint="eastAsia"/>
              <w:i w:val="0"/>
              <w:iCs w:val="0"/>
              <w:sz w:val="24"/>
              <w:szCs w:val="24"/>
              <w:lang w:val="en-US" w:eastAsia="zh-CN"/>
            </w:rPr>
            <w:t>等有关工作</w:t>
          </w:r>
          <w:r>
            <w:rPr>
              <w:i w:val="0"/>
              <w:iCs w:val="0"/>
              <w:sz w:val="24"/>
              <w:szCs w:val="24"/>
            </w:rPr>
            <w:fldChar w:fldCharType="end"/>
          </w:r>
        </w:p>
        <w:p w14:paraId="34268EE9">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_Toc32356 </w:instrText>
          </w:r>
          <w:r>
            <w:rPr>
              <w:b/>
              <w:bCs/>
              <w:i w:val="0"/>
              <w:iCs w:val="0"/>
              <w:sz w:val="24"/>
              <w:szCs w:val="24"/>
            </w:rPr>
            <w:fldChar w:fldCharType="separate"/>
          </w:r>
          <w:r>
            <w:rPr>
              <w:rFonts w:hint="eastAsia"/>
              <w:b/>
              <w:bCs/>
              <w:i w:val="0"/>
              <w:iCs w:val="0"/>
              <w:sz w:val="24"/>
              <w:szCs w:val="24"/>
            </w:rPr>
            <w:t>中</w:t>
          </w:r>
          <w:r>
            <w:rPr>
              <w:rFonts w:hint="eastAsia"/>
              <w:b/>
              <w:bCs/>
              <w:i w:val="0"/>
              <w:iCs w:val="0"/>
              <w:sz w:val="24"/>
              <w:szCs w:val="24"/>
              <w:lang w:val="en-US" w:eastAsia="zh-CN"/>
            </w:rPr>
            <w:t xml:space="preserve"> </w:t>
          </w:r>
          <w:r>
            <w:rPr>
              <w:rFonts w:hint="eastAsia"/>
              <w:b/>
              <w:bCs/>
              <w:i w:val="0"/>
              <w:iCs w:val="0"/>
              <w:sz w:val="24"/>
              <w:szCs w:val="24"/>
            </w:rPr>
            <w:t>央</w:t>
          </w:r>
          <w:r>
            <w:rPr>
              <w:b/>
              <w:bCs/>
              <w:i w:val="0"/>
              <w:iCs w:val="0"/>
              <w:sz w:val="24"/>
              <w:szCs w:val="24"/>
            </w:rPr>
            <w:fldChar w:fldCharType="end"/>
          </w:r>
        </w:p>
        <w:p w14:paraId="7786A9BB">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_Toc24942 </w:instrText>
          </w:r>
          <w:r>
            <w:rPr>
              <w:i w:val="0"/>
              <w:iCs w:val="0"/>
              <w:sz w:val="24"/>
              <w:szCs w:val="24"/>
            </w:rPr>
            <w:fldChar w:fldCharType="separate"/>
          </w:r>
          <w:r>
            <w:rPr>
              <w:rFonts w:hint="eastAsia"/>
              <w:i w:val="0"/>
              <w:iCs w:val="0"/>
              <w:sz w:val="24"/>
              <w:szCs w:val="24"/>
            </w:rPr>
            <w:t>一、 《高标准数字园区建设指南》</w:t>
          </w:r>
          <w:r>
            <w:rPr>
              <w:i w:val="0"/>
              <w:iCs w:val="0"/>
              <w:sz w:val="24"/>
              <w:szCs w:val="24"/>
            </w:rPr>
            <w:fldChar w:fldCharType="end"/>
          </w:r>
        </w:p>
        <w:p w14:paraId="6A7CCEBC">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_Toc3538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《关于加快建设现代化国有林场的意见》</w:t>
          </w:r>
          <w:r>
            <w:rPr>
              <w:i w:val="0"/>
              <w:iCs w:val="0"/>
              <w:sz w:val="24"/>
              <w:szCs w:val="24"/>
            </w:rPr>
            <w:fldChar w:fldCharType="end"/>
          </w:r>
        </w:p>
        <w:p w14:paraId="27809228">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_Toc20175 </w:instrText>
          </w:r>
          <w:r>
            <w:rPr>
              <w:i w:val="0"/>
              <w:iCs w:val="0"/>
              <w:sz w:val="24"/>
              <w:szCs w:val="24"/>
            </w:rPr>
            <w:fldChar w:fldCharType="separate"/>
          </w:r>
          <w:r>
            <w:rPr>
              <w:rFonts w:hint="eastAsia"/>
              <w:i w:val="0"/>
              <w:iCs w:val="0"/>
              <w:sz w:val="24"/>
              <w:szCs w:val="24"/>
              <w:lang w:eastAsia="zh-CN"/>
            </w:rPr>
            <w:t>三、 《石油天然气基础设施规划建设与运营管理办法》</w:t>
          </w:r>
          <w:r>
            <w:rPr>
              <w:i w:val="0"/>
              <w:iCs w:val="0"/>
              <w:sz w:val="24"/>
              <w:szCs w:val="24"/>
            </w:rPr>
            <w:fldChar w:fldCharType="end"/>
          </w:r>
        </w:p>
        <w:p w14:paraId="703E80FF">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_Toc9547 </w:instrText>
          </w:r>
          <w:r>
            <w:rPr>
              <w:i w:val="0"/>
              <w:iCs w:val="0"/>
              <w:sz w:val="24"/>
              <w:szCs w:val="24"/>
            </w:rPr>
            <w:fldChar w:fldCharType="separate"/>
          </w:r>
          <w:r>
            <w:rPr>
              <w:rFonts w:hint="eastAsia"/>
              <w:i w:val="0"/>
              <w:iCs w:val="0"/>
              <w:sz w:val="24"/>
              <w:szCs w:val="24"/>
            </w:rPr>
            <w:t>四、 《关于促进新能源集成融合发展的指导意见》</w:t>
          </w:r>
          <w:r>
            <w:rPr>
              <w:i w:val="0"/>
              <w:iCs w:val="0"/>
              <w:sz w:val="24"/>
              <w:szCs w:val="24"/>
            </w:rPr>
            <w:fldChar w:fldCharType="end"/>
          </w:r>
        </w:p>
        <w:p w14:paraId="3EC7096C">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_Toc20913 </w:instrText>
          </w:r>
          <w:r>
            <w:rPr>
              <w:b/>
              <w:bCs/>
              <w:i w:val="0"/>
              <w:iCs w:val="0"/>
              <w:sz w:val="24"/>
              <w:szCs w:val="24"/>
            </w:rPr>
            <w:fldChar w:fldCharType="separate"/>
          </w:r>
          <w:r>
            <w:rPr>
              <w:rFonts w:hint="eastAsia"/>
              <w:b/>
              <w:bCs/>
              <w:i w:val="0"/>
              <w:iCs w:val="0"/>
              <w:sz w:val="24"/>
              <w:szCs w:val="24"/>
            </w:rPr>
            <w:t>湖北省</w:t>
          </w:r>
          <w:r>
            <w:rPr>
              <w:b/>
              <w:bCs/>
              <w:i w:val="0"/>
              <w:iCs w:val="0"/>
              <w:sz w:val="24"/>
              <w:szCs w:val="24"/>
            </w:rPr>
            <w:fldChar w:fldCharType="end"/>
          </w:r>
        </w:p>
        <w:p w14:paraId="13B63CBA">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_Toc2139 </w:instrText>
          </w:r>
          <w:r>
            <w:rPr>
              <w:i w:val="0"/>
              <w:iCs w:val="0"/>
              <w:sz w:val="24"/>
              <w:szCs w:val="24"/>
            </w:rPr>
            <w:fldChar w:fldCharType="separate"/>
          </w:r>
          <w:r>
            <w:rPr>
              <w:rFonts w:hint="eastAsia"/>
              <w:i w:val="0"/>
              <w:iCs w:val="0"/>
              <w:sz w:val="24"/>
              <w:szCs w:val="24"/>
            </w:rPr>
            <w:t>一、 《关于加快推进科技创新和产业创新融合发展的实施方案》</w:t>
          </w:r>
          <w:r>
            <w:rPr>
              <w:i w:val="0"/>
              <w:iCs w:val="0"/>
              <w:sz w:val="24"/>
              <w:szCs w:val="24"/>
            </w:rPr>
            <w:fldChar w:fldCharType="end"/>
          </w:r>
        </w:p>
        <w:p w14:paraId="69085138">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_Toc3707 </w:instrText>
          </w:r>
          <w:r>
            <w:rPr>
              <w:i w:val="0"/>
              <w:iCs w:val="0"/>
              <w:sz w:val="24"/>
              <w:szCs w:val="24"/>
            </w:rPr>
            <w:fldChar w:fldCharType="separate"/>
          </w:r>
          <w:r>
            <w:rPr>
              <w:rFonts w:hint="eastAsia"/>
              <w:i w:val="0"/>
              <w:iCs w:val="0"/>
              <w:sz w:val="24"/>
              <w:szCs w:val="24"/>
            </w:rPr>
            <w:t>二、 《关于开展湖北省数字经济创新型企业入库培育工作的通知 》</w:t>
          </w:r>
          <w:r>
            <w:rPr>
              <w:i w:val="0"/>
              <w:iCs w:val="0"/>
              <w:sz w:val="24"/>
              <w:szCs w:val="24"/>
            </w:rPr>
            <w:fldChar w:fldCharType="end"/>
          </w:r>
        </w:p>
        <w:p w14:paraId="2547AA78">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_Toc9395 </w:instrText>
          </w:r>
          <w:r>
            <w:rPr>
              <w:b/>
              <w:bCs/>
              <w:i w:val="0"/>
              <w:iCs w:val="0"/>
              <w:sz w:val="24"/>
              <w:szCs w:val="24"/>
            </w:rPr>
            <w:fldChar w:fldCharType="separate"/>
          </w:r>
          <w:r>
            <w:rPr>
              <w:rFonts w:hint="eastAsia"/>
              <w:b/>
              <w:bCs/>
              <w:i w:val="0"/>
              <w:iCs w:val="0"/>
              <w:sz w:val="24"/>
              <w:szCs w:val="24"/>
            </w:rPr>
            <w:t>热点 · 资讯</w:t>
          </w:r>
          <w:r>
            <w:rPr>
              <w:b/>
              <w:bCs/>
              <w:i w:val="0"/>
              <w:iCs w:val="0"/>
              <w:sz w:val="24"/>
              <w:szCs w:val="24"/>
            </w:rPr>
            <w:fldChar w:fldCharType="end"/>
          </w:r>
        </w:p>
        <w:p w14:paraId="56635B3C">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_Toc13168 </w:instrText>
          </w:r>
          <w:r>
            <w:rPr>
              <w:i w:val="0"/>
              <w:iCs w:val="0"/>
              <w:sz w:val="24"/>
              <w:szCs w:val="24"/>
            </w:rPr>
            <w:fldChar w:fldCharType="separate"/>
          </w:r>
          <w:r>
            <w:rPr>
              <w:rFonts w:hint="eastAsia"/>
              <w:i w:val="0"/>
              <w:iCs w:val="0"/>
              <w:sz w:val="24"/>
              <w:szCs w:val="24"/>
            </w:rPr>
            <w:t>一、 湖北省算力券申领正式开始</w:t>
          </w:r>
          <w:r>
            <w:rPr>
              <w:i w:val="0"/>
              <w:iCs w:val="0"/>
              <w:sz w:val="24"/>
              <w:szCs w:val="24"/>
            </w:rPr>
            <w:fldChar w:fldCharType="end"/>
          </w:r>
        </w:p>
        <w:p w14:paraId="1278189B">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_Toc29051 </w:instrText>
          </w:r>
          <w:r>
            <w:rPr>
              <w:i w:val="0"/>
              <w:iCs w:val="0"/>
              <w:sz w:val="24"/>
              <w:szCs w:val="24"/>
            </w:rPr>
            <w:fldChar w:fldCharType="separate"/>
          </w:r>
          <w:r>
            <w:rPr>
              <w:rFonts w:hint="eastAsia"/>
              <w:i w:val="0"/>
              <w:iCs w:val="0"/>
              <w:sz w:val="24"/>
              <w:szCs w:val="24"/>
            </w:rPr>
            <w:t>二、 王忠林主持研究推进金融服务中小微企业工作</w:t>
          </w:r>
          <w:r>
            <w:rPr>
              <w:i w:val="0"/>
              <w:iCs w:val="0"/>
              <w:sz w:val="24"/>
              <w:szCs w:val="24"/>
            </w:rPr>
            <w:fldChar w:fldCharType="end"/>
          </w:r>
        </w:p>
        <w:p w14:paraId="546FED3B">
          <w:pPr>
            <w:pStyle w:val="16"/>
            <w:tabs>
              <w:tab w:val="right" w:pos="8960"/>
            </w:tabs>
            <w:ind w:left="0" w:leftChars="0" w:firstLine="0" w:firstLineChars="0"/>
            <w:rPr>
              <w:i w:val="0"/>
              <w:iCs w:val="0"/>
              <w:sz w:val="24"/>
              <w:szCs w:val="24"/>
            </w:rPr>
          </w:pPr>
          <w:r>
            <w:rPr>
              <w:i w:val="0"/>
              <w:iCs w:val="0"/>
              <w:sz w:val="24"/>
              <w:szCs w:val="24"/>
            </w:rPr>
            <w:fldChar w:fldCharType="end"/>
          </w:r>
        </w:p>
      </w:sdtContent>
    </w:sdt>
    <w:p w14:paraId="1A10656A">
      <w:pPr>
        <w:widowControl/>
        <w:spacing w:line="240" w:lineRule="auto"/>
        <w:ind w:left="0" w:leftChars="0" w:firstLine="232" w:firstLineChars="145"/>
        <w:jc w:val="left"/>
        <w:rPr>
          <w:rFonts w:ascii="Times New Roman" w:hAnsi="Times New Roman" w:eastAsia="宋体"/>
          <w:sz w:val="16"/>
          <w:szCs w:val="16"/>
        </w:rPr>
      </w:pPr>
      <w:r>
        <w:rPr>
          <w:rFonts w:ascii="Times New Roman" w:hAnsi="Times New Roman" w:eastAsia="宋体"/>
          <w:sz w:val="16"/>
          <w:szCs w:val="16"/>
        </w:rPr>
        <w:br w:type="page"/>
      </w:r>
    </w:p>
    <w:p w14:paraId="26C63806">
      <w:pPr>
        <w:pStyle w:val="21"/>
        <w:keepNext w:val="0"/>
        <w:keepLines w:val="0"/>
        <w:pageBreakBefore w:val="0"/>
        <w:widowControl w:val="0"/>
        <w:kinsoku/>
        <w:wordWrap/>
        <w:overflowPunct/>
        <w:topLinePunct w:val="0"/>
        <w:autoSpaceDE/>
        <w:autoSpaceDN/>
        <w:bidi w:val="0"/>
        <w:adjustRightInd/>
        <w:snapToGrid w:val="0"/>
        <w:spacing w:before="500"/>
        <w:ind w:left="0" w:leftChars="0" w:firstLine="160" w:firstLineChars="145"/>
        <w:jc w:val="center"/>
        <w:textAlignment w:val="auto"/>
        <w:rPr>
          <w:rFonts w:hint="eastAsia"/>
          <w:sz w:val="11"/>
          <w:szCs w:val="11"/>
          <w:lang w:val="en-US" w:eastAsia="zh-CN"/>
        </w:rPr>
      </w:pPr>
    </w:p>
    <w:p w14:paraId="465320E0">
      <w:pPr>
        <w:pStyle w:val="21"/>
        <w:keepNext w:val="0"/>
        <w:keepLines w:val="0"/>
        <w:pageBreakBefore w:val="0"/>
        <w:widowControl w:val="0"/>
        <w:kinsoku/>
        <w:wordWrap/>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 xml:space="preserve">  一周资讯速递</w:t>
      </w:r>
      <w:bookmarkStart w:id="0" w:name="OLE_LINK56"/>
      <w:r>
        <w:rPr>
          <w:rFonts w:hint="eastAsia"/>
          <w:sz w:val="44"/>
          <w:lang w:val="en-US" w:eastAsia="zh-CN"/>
        </w:rPr>
        <w:t>（</w:t>
      </w:r>
      <w:r>
        <w:rPr>
          <w:rFonts w:hint="eastAsia"/>
          <w:sz w:val="44"/>
        </w:rPr>
        <w:t>11.</w:t>
      </w:r>
      <w:r>
        <w:rPr>
          <w:rFonts w:hint="eastAsia"/>
          <w:sz w:val="44"/>
          <w:lang w:val="en-US" w:eastAsia="zh-CN"/>
        </w:rPr>
        <w:t>14</w:t>
      </w:r>
      <w:r>
        <w:rPr>
          <w:rFonts w:hint="eastAsia"/>
          <w:sz w:val="44"/>
        </w:rPr>
        <w:t>-11.</w:t>
      </w:r>
      <w:bookmarkEnd w:id="0"/>
      <w:r>
        <w:rPr>
          <w:rFonts w:hint="eastAsia"/>
          <w:sz w:val="44"/>
          <w:lang w:val="en-US" w:eastAsia="zh-CN"/>
        </w:rPr>
        <w:t>21</w:t>
      </w:r>
      <w:r>
        <w:rPr>
          <w:rFonts w:hint="eastAsia"/>
          <w:sz w:val="44"/>
          <w:lang w:eastAsia="zh-CN"/>
        </w:rPr>
        <w:t>）</w:t>
      </w:r>
    </w:p>
    <w:p w14:paraId="1031BF4F">
      <w:pPr>
        <w:ind w:left="0" w:leftChars="0" w:firstLine="0" w:firstLineChars="0"/>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14:paraId="36BEDBBA">
      <w:pPr>
        <w:keepNext w:val="0"/>
        <w:keepLines w:val="0"/>
        <w:pageBreakBefore w:val="0"/>
        <w:widowControl w:val="0"/>
        <w:kinsoku/>
        <w:wordWrap/>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14:paraId="6BC6B186">
      <w:pPr>
        <w:keepNext w:val="0"/>
        <w:keepLines w:val="0"/>
        <w:pageBreakBefore w:val="0"/>
        <w:widowControl w:val="0"/>
        <w:kinsoku/>
        <w:wordWrap/>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14:paraId="326FFCF7">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Start w:id="1" w:name="OLE_LINK24"/>
    </w:p>
    <w:bookmarkEnd w:id="1"/>
    <w:p w14:paraId="45F45B69">
      <w:pPr>
        <w:snapToGrid w:val="0"/>
        <w:spacing w:line="240" w:lineRule="auto"/>
        <w:ind w:left="0" w:leftChars="0" w:firstLine="464" w:firstLineChars="145"/>
        <w:jc w:val="center"/>
        <w:rPr>
          <w:rFonts w:hint="eastAsia" w:ascii="Times New Roman" w:hAnsi="Times New Roman" w:eastAsia="宋体"/>
        </w:rPr>
      </w:pPr>
    </w:p>
    <w:p w14:paraId="2BD4B44C">
      <w:pPr>
        <w:snapToGrid w:val="0"/>
        <w:spacing w:line="240" w:lineRule="auto"/>
        <w:ind w:left="0" w:leftChars="0" w:firstLine="46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14:paraId="63CB6482">
      <w:pPr>
        <w:pStyle w:val="5"/>
        <w:bidi w:val="0"/>
        <w:rPr>
          <w:rFonts w:hint="eastAsia"/>
        </w:rPr>
      </w:pPr>
      <w:bookmarkStart w:id="2" w:name="_Toc23885"/>
      <w:r>
        <w:rPr>
          <w:rFonts w:hint="eastAsia"/>
        </w:rPr>
        <w:t>国务院常务会部署“两重”建设</w:t>
      </w:r>
      <w:r>
        <w:rPr>
          <w:rFonts w:hint="eastAsia"/>
          <w:lang w:eastAsia="zh-CN"/>
        </w:rPr>
        <w:t>、促进消费</w:t>
      </w:r>
      <w:r>
        <w:rPr>
          <w:rFonts w:hint="eastAsia"/>
          <w:lang w:val="en-US" w:eastAsia="zh-CN"/>
        </w:rPr>
        <w:t>等有关工作</w:t>
      </w:r>
      <w:bookmarkEnd w:id="2"/>
    </w:p>
    <w:p w14:paraId="6F52F29A">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lang w:eastAsia="zh-CN"/>
        </w:rPr>
      </w:pPr>
      <w:r>
        <w:rPr>
          <w:rFonts w:hint="eastAsia"/>
        </w:rPr>
        <w:t>2025年11月14日，国务院常务会召开，研究部署</w:t>
      </w:r>
      <w:r>
        <w:rPr>
          <w:rFonts w:hint="eastAsia"/>
          <w:lang w:val="en-US" w:eastAsia="zh-CN"/>
        </w:rPr>
        <w:t>以下</w:t>
      </w:r>
      <w:r>
        <w:rPr>
          <w:rFonts w:hint="eastAsia"/>
        </w:rPr>
        <w:t>方面重点工作。</w:t>
      </w:r>
      <w:r>
        <w:rPr>
          <w:rFonts w:hint="eastAsia"/>
          <w:b/>
          <w:bCs/>
          <w:lang w:eastAsia="zh-CN"/>
        </w:rPr>
        <w:t>（</w:t>
      </w:r>
      <w:r>
        <w:rPr>
          <w:rFonts w:hint="eastAsia"/>
          <w:b/>
          <w:bCs/>
          <w:lang w:val="en-US" w:eastAsia="zh-CN"/>
        </w:rPr>
        <w:t>1</w:t>
      </w:r>
      <w:r>
        <w:rPr>
          <w:rFonts w:hint="eastAsia"/>
          <w:b/>
          <w:bCs/>
          <w:lang w:eastAsia="zh-CN"/>
        </w:rPr>
        <w:t>）研究深入实施“两重”建设有关工作</w:t>
      </w:r>
      <w:r>
        <w:rPr>
          <w:rFonts w:hint="eastAsia"/>
          <w:lang w:eastAsia="zh-CN"/>
        </w:rPr>
        <w:t>：会议指出，要把“两重”建设放在“十五五”全局中谋划和推进，牢牢把握战略性、前瞻性、全局性要求，强化部门协同，注重软硬结合，推动国家重大战略深入实施、重点领域安全能力稳步提升。要优化项目审核，更加注重创新要素投入、无形资产投资，促进新质生产力发展。要健全项目协调推进机制，严格工程质量和安全管理，同步做好资产管理、后续运维等工作。要合理安排项目建设与资金拨付节奏，强化项目和资金匹配，积极撬动超长期贷款、政策性金融等资金，引导更多民间资本参与，放大“两重”建设效应。</w:t>
      </w:r>
      <w:r>
        <w:rPr>
          <w:rFonts w:hint="eastAsia"/>
          <w:b/>
          <w:bCs/>
          <w:lang w:eastAsia="zh-CN"/>
        </w:rPr>
        <w:t>（</w:t>
      </w:r>
      <w:r>
        <w:rPr>
          <w:rFonts w:hint="eastAsia"/>
          <w:b/>
          <w:bCs/>
          <w:lang w:val="en-US" w:eastAsia="zh-CN"/>
        </w:rPr>
        <w:t>2</w:t>
      </w:r>
      <w:r>
        <w:rPr>
          <w:rFonts w:hint="eastAsia"/>
          <w:b/>
          <w:bCs/>
          <w:lang w:eastAsia="zh-CN"/>
        </w:rPr>
        <w:t>）部署增强消费品供需适配性进一步促进消费政策措施</w:t>
      </w:r>
      <w:r>
        <w:rPr>
          <w:rFonts w:hint="eastAsia"/>
          <w:lang w:eastAsia="zh-CN"/>
        </w:rPr>
        <w:t>：会议指出，增强供需适配性是进一步释放消费潜力、畅通经济循环的有效举措。要以消费升级引领产业升级，以优质供给更好满足多元需求，实现供需更高水平动态平衡。要加快新技术新模式创新应用，强化人工智能融合赋能，聚焦重点行业、重点领域开发新产品和增值服务，持续拓展新的消费增量。要积极支持企业扩大特色、高品质消费品供给，加快安全、性能、绿色等标准更新升级，完善认证体系。要围绕细分市场精准匹配不同人群需求，发展一批柔性制造工厂，推动生产高效响应消费者个性化需要。要培育消费新场景新业态，丰富消费金融产品和服务，营造良好消费环境。</w:t>
      </w:r>
    </w:p>
    <w:p w14:paraId="6E4A45D9">
      <w:pPr>
        <w:pStyle w:val="4"/>
        <w:spacing w:line="360" w:lineRule="auto"/>
        <w:ind w:left="0" w:leftChars="0" w:firstLine="0" w:firstLineChars="0"/>
        <w:rPr>
          <w:rFonts w:hint="eastAsia" w:cs="仿宋_GB2312"/>
          <w:sz w:val="20"/>
          <w:szCs w:val="20"/>
          <w:lang w:bidi="ar"/>
        </w:rPr>
      </w:pPr>
    </w:p>
    <w:p w14:paraId="075514CB">
      <w:pPr>
        <w:pStyle w:val="4"/>
        <w:spacing w:line="360" w:lineRule="auto"/>
        <w:ind w:left="0" w:leftChars="0" w:firstLine="0" w:firstLineChars="0"/>
        <w:rPr>
          <w:rFonts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14</w:t>
      </w:r>
      <w:r>
        <w:rPr>
          <w:rFonts w:hint="eastAsia" w:cs="仿宋_GB2312"/>
          <w:sz w:val="20"/>
          <w:szCs w:val="20"/>
          <w:lang w:bidi="ar"/>
        </w:rPr>
        <w:t>日</w:t>
      </w:r>
    </w:p>
    <w:p w14:paraId="735BB901">
      <w:pPr>
        <w:pStyle w:val="4"/>
        <w:spacing w:line="360" w:lineRule="auto"/>
        <w:ind w:left="0" w:leftChars="0" w:firstLine="0" w:firstLineChars="0"/>
        <w:rPr>
          <w:rFonts w:hint="eastAsia" w:eastAsia="仿宋_GB2312" w:cs="仿宋_GB2312"/>
          <w:sz w:val="20"/>
          <w:szCs w:val="20"/>
          <w:lang w:val="en-US" w:eastAsia="zh-CN" w:bidi="ar"/>
        </w:rPr>
      </w:pPr>
      <w:r>
        <w:rPr>
          <w:rFonts w:hint="eastAsia" w:cs="仿宋_GB2312"/>
          <w:sz w:val="20"/>
          <w:szCs w:val="20"/>
          <w:lang w:bidi="ar"/>
        </w:rPr>
        <w:t>发文单位:</w:t>
      </w:r>
      <w:r>
        <w:rPr>
          <w:rFonts w:hint="eastAsia" w:cs="仿宋_GB2312"/>
          <w:sz w:val="20"/>
          <w:szCs w:val="20"/>
          <w:lang w:val="en-US" w:eastAsia="zh-CN" w:bidi="ar"/>
        </w:rPr>
        <w:t>国务院</w:t>
      </w:r>
    </w:p>
    <w:p w14:paraId="18E24B63">
      <w:pPr>
        <w:pStyle w:val="4"/>
        <w:spacing w:line="360" w:lineRule="auto"/>
        <w:ind w:left="0" w:leftChars="0" w:firstLine="0" w:firstLineChars="0"/>
        <w:rPr>
          <w:rFonts w:cs="仿宋_GB2312"/>
          <w:sz w:val="20"/>
          <w:szCs w:val="20"/>
          <w:lang w:bidi="ar"/>
        </w:rPr>
      </w:pPr>
      <w:r>
        <w:rPr>
          <w:rFonts w:hint="eastAsia" w:cs="仿宋_GB2312"/>
          <w:sz w:val="20"/>
          <w:szCs w:val="20"/>
          <w:lang w:bidi="ar"/>
        </w:rPr>
        <w:t>原文链接:</w:t>
      </w:r>
      <w:r>
        <w:rPr>
          <w:rFonts w:cs="仿宋_GB2312"/>
          <w:sz w:val="20"/>
          <w:szCs w:val="20"/>
          <w:lang w:bidi="ar"/>
        </w:rPr>
        <w:t xml:space="preserve"> </w:t>
      </w:r>
    </w:p>
    <w:p w14:paraId="723F5D11">
      <w:pPr>
        <w:pStyle w:val="4"/>
        <w:spacing w:line="360" w:lineRule="auto"/>
        <w:ind w:left="0" w:leftChars="0" w:firstLine="0" w:firstLineChars="0"/>
        <w:rPr>
          <w:rFonts w:cs="仿宋_GB2312"/>
          <w:sz w:val="20"/>
          <w:szCs w:val="20"/>
          <w:lang w:bidi="ar"/>
        </w:rPr>
      </w:pPr>
      <w:r>
        <w:rPr>
          <w:rFonts w:hint="eastAsia" w:cs="仿宋_GB2312"/>
          <w:sz w:val="20"/>
          <w:szCs w:val="20"/>
          <w:lang w:bidi="ar"/>
        </w:rPr>
        <w:t>https://www.gov.cn/zhengce/202511/content_7048643.htm</w:t>
      </w:r>
    </w:p>
    <w:p w14:paraId="551296BD">
      <w:pPr>
        <w:pStyle w:val="26"/>
        <w:widowControl/>
        <w:spacing w:before="0" w:beforeAutospacing="0" w:after="0" w:afterAutospacing="0"/>
        <w:ind w:left="0" w:leftChars="0" w:firstLine="304" w:firstLineChars="145"/>
        <w:jc w:val="both"/>
        <w:rPr>
          <w:rFonts w:ascii="宋体" w:hAnsi="宋体" w:eastAsia="宋体" w:cs="宋体"/>
          <w:i/>
          <w:iCs/>
          <w:color w:val="666666"/>
          <w:sz w:val="21"/>
          <w:szCs w:val="21"/>
          <w:shd w:val="clear" w:color="auto" w:fill="FFFFFF"/>
        </w:rPr>
      </w:pPr>
    </w:p>
    <w:p w14:paraId="2B0CFB6A">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bookmarkStart w:id="3" w:name="_Toc214013977"/>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3"/>
    </w:p>
    <w:p w14:paraId="57233957">
      <w:pPr>
        <w:spacing w:line="240" w:lineRule="auto"/>
        <w:ind w:left="0" w:leftChars="0" w:firstLine="0" w:firstLineChars="0"/>
        <w:jc w:val="center"/>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14:paraId="0C0875CD">
      <w:pPr>
        <w:pStyle w:val="3"/>
        <w:ind w:left="0" w:leftChars="0" w:firstLine="0" w:firstLineChars="0"/>
        <w:jc w:val="center"/>
        <w:rPr>
          <w:rFonts w:ascii="黑体" w:hAnsi="黑体" w:eastAsia="黑体"/>
        </w:rPr>
      </w:pPr>
      <w:bookmarkStart w:id="4" w:name="_Toc32356"/>
      <w:bookmarkStart w:id="5" w:name="_Toc214013978"/>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4"/>
      <w:bookmarkEnd w:id="5"/>
    </w:p>
    <w:p w14:paraId="522830CF">
      <w:pPr>
        <w:pStyle w:val="4"/>
        <w:spacing w:line="240" w:lineRule="exact"/>
        <w:ind w:left="0" w:leftChars="0" w:firstLine="290" w:firstLineChars="145"/>
        <w:rPr>
          <w:rFonts w:cs="仿宋_GB2312"/>
          <w:sz w:val="20"/>
          <w:szCs w:val="20"/>
          <w:lang w:bidi="ar"/>
        </w:rPr>
      </w:pPr>
    </w:p>
    <w:p w14:paraId="7A69513A">
      <w:pPr>
        <w:pStyle w:val="5"/>
        <w:keepNext w:val="0"/>
        <w:keepLines w:val="0"/>
        <w:pageBreakBefore w:val="0"/>
        <w:widowControl/>
        <w:numPr>
          <w:ilvl w:val="0"/>
          <w:numId w:val="5"/>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6" w:name="_Toc24942"/>
      <w:bookmarkStart w:id="7" w:name="_Toc214013979"/>
      <w:r>
        <w:rPr>
          <w:rFonts w:hint="eastAsia"/>
        </w:rPr>
        <w:t>《高标准数字园区建设指南》</w:t>
      </w:r>
      <w:bookmarkEnd w:id="6"/>
    </w:p>
    <w:p w14:paraId="1AB6B1D5">
      <w:pPr>
        <w:rPr>
          <w:rFonts w:hint="eastAsia"/>
          <w:lang w:eastAsia="zh-CN"/>
        </w:rPr>
      </w:pPr>
      <w:r>
        <w:rPr>
          <w:rFonts w:hint="eastAsia"/>
          <w:lang w:eastAsia="zh-CN"/>
        </w:rPr>
        <w:t>建设高标准数字园区是促进园区高质量发展的关键举措，是推动制造业数字化转型的重要抓手。为贯彻落实《制造业数字化转型行动方案》（国办发〔2024〕25号）任务部署，加快打造一批高标准数字园区，引领带动各类园区加快数字化转型步伐，制定本指南。</w:t>
      </w:r>
    </w:p>
    <w:p w14:paraId="3C32AD37">
      <w:pPr>
        <w:rPr>
          <w:rFonts w:hint="eastAsia"/>
          <w:lang w:eastAsia="zh-CN"/>
        </w:rPr>
      </w:pPr>
      <w:r>
        <w:rPr>
          <w:rFonts w:hint="eastAsia"/>
          <w:lang w:eastAsia="zh-CN"/>
        </w:rPr>
        <w:t>指南明确，高标准数字园区依托国务院或省级人民政府批准设立的、以制造业和生产性服务业为主导产业的各类园区或“园中园”开展建设，并提出了产业数字化水平高、专业服务品质高、运营管理效率高、基础设施能级高等“四高”标准。指南指出，重点开展四方面建设任务。</w:t>
      </w:r>
      <w:r>
        <w:rPr>
          <w:rFonts w:hint="eastAsia"/>
          <w:b/>
          <w:bCs/>
          <w:lang w:eastAsia="zh-CN"/>
        </w:rPr>
        <w:t>一是推进产业数字化转型</w:t>
      </w:r>
      <w:r>
        <w:rPr>
          <w:rFonts w:hint="eastAsia"/>
          <w:lang w:eastAsia="zh-CN"/>
        </w:rPr>
        <w:t>，引导各类型企业广泛开展数字化转型，包括打造企业数字化转型标杆、开展链式数字化改造、强化中小企业数字化转型服务。</w:t>
      </w:r>
      <w:r>
        <w:rPr>
          <w:rFonts w:hint="eastAsia"/>
          <w:b/>
          <w:bCs/>
          <w:lang w:eastAsia="zh-CN"/>
        </w:rPr>
        <w:t>二是加强园区数字化服务</w:t>
      </w:r>
      <w:r>
        <w:rPr>
          <w:rFonts w:hint="eastAsia"/>
          <w:lang w:eastAsia="zh-CN"/>
        </w:rPr>
        <w:t>，围绕企业、人员、管理机构等主体的差异化需求，提供全方位的数字化服务，包括拓展数字化生产性服务、升级数字化生活性服务、优化数字化政务服务。</w:t>
      </w:r>
      <w:r>
        <w:rPr>
          <w:rFonts w:hint="eastAsia"/>
          <w:b/>
          <w:bCs/>
          <w:lang w:eastAsia="zh-CN"/>
        </w:rPr>
        <w:t>三是完善园区数字化管理</w:t>
      </w:r>
      <w:r>
        <w:rPr>
          <w:rFonts w:hint="eastAsia"/>
          <w:lang w:eastAsia="zh-CN"/>
        </w:rPr>
        <w:t>，从统筹发展与安全角度，提升园区数字化管理水平，包括加强园区资产数字化管理、完善经济运行数字化管理、推进绿色低碳数字化管理、强化安全应急数字化管理。</w:t>
      </w:r>
      <w:r>
        <w:rPr>
          <w:rFonts w:hint="eastAsia"/>
          <w:b/>
          <w:bCs/>
          <w:lang w:eastAsia="zh-CN"/>
        </w:rPr>
        <w:t>四是夯实数字化支撑能力</w:t>
      </w:r>
      <w:r>
        <w:rPr>
          <w:rFonts w:hint="eastAsia"/>
          <w:lang w:eastAsia="zh-CN"/>
        </w:rPr>
        <w:t>，引导园区加强数字化底座建设，包括健全数字化基础设施、构筑数据开发利用平台、提升数字化安全保障水平。</w:t>
      </w:r>
    </w:p>
    <w:p w14:paraId="207B417A">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发文日期:2025年11月1</w:t>
      </w:r>
      <w:r>
        <w:rPr>
          <w:rFonts w:hint="eastAsia" w:cs="仿宋_GB2312"/>
          <w:sz w:val="20"/>
          <w:szCs w:val="20"/>
          <w:lang w:val="en-US" w:eastAsia="zh-CN" w:bidi="ar"/>
        </w:rPr>
        <w:t>3</w:t>
      </w:r>
      <w:r>
        <w:rPr>
          <w:rFonts w:hint="eastAsia" w:cs="仿宋_GB2312"/>
          <w:sz w:val="20"/>
          <w:szCs w:val="20"/>
          <w:lang w:bidi="ar"/>
        </w:rPr>
        <w:t>日</w:t>
      </w:r>
    </w:p>
    <w:p w14:paraId="18B6B00B">
      <w:pPr>
        <w:pStyle w:val="4"/>
        <w:spacing w:line="360" w:lineRule="auto"/>
        <w:ind w:left="0" w:leftChars="0" w:firstLine="0" w:firstLineChars="0"/>
        <w:rPr>
          <w:rFonts w:hint="eastAsia"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工信部</w:t>
      </w:r>
    </w:p>
    <w:p w14:paraId="6FC4AFED">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p>
    <w:p w14:paraId="014C8B02">
      <w:pPr>
        <w:pStyle w:val="4"/>
        <w:spacing w:line="360" w:lineRule="auto"/>
        <w:ind w:left="0" w:leftChars="0" w:firstLine="0" w:firstLineChars="0"/>
        <w:rPr>
          <w:rFonts w:hint="eastAsia"/>
          <w:lang w:eastAsia="zh-CN"/>
        </w:rPr>
      </w:pPr>
      <w:r>
        <w:rPr>
          <w:rFonts w:hint="eastAsia" w:cs="仿宋_GB2312"/>
          <w:sz w:val="20"/>
          <w:szCs w:val="20"/>
          <w:lang w:bidi="ar"/>
        </w:rPr>
        <w:t>https://www.miit.gov.cn/zwgk/zcwj/wjfb/tz/art/2025/art_992172fa3cff4d9ab452fe2ef3f4eee8.html</w:t>
      </w:r>
    </w:p>
    <w:p w14:paraId="1EC81C77">
      <w:pPr>
        <w:pStyle w:val="5"/>
        <w:keepNext w:val="0"/>
        <w:keepLines w:val="0"/>
        <w:pageBreakBefore w:val="0"/>
        <w:widowControl/>
        <w:numPr>
          <w:ilvl w:val="0"/>
          <w:numId w:val="1"/>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8" w:name="_Toc3538"/>
      <w:r>
        <w:rPr>
          <w:rFonts w:hint="eastAsia"/>
          <w:lang w:eastAsia="zh-CN"/>
        </w:rPr>
        <w:t>《关于加快建设现代化国有林场的意见》</w:t>
      </w:r>
      <w:bookmarkEnd w:id="8"/>
    </w:p>
    <w:p w14:paraId="51885709">
      <w:pPr>
        <w:rPr>
          <w:rFonts w:hint="eastAsia"/>
          <w:lang w:eastAsia="zh-CN"/>
        </w:rPr>
      </w:pPr>
      <w:r>
        <w:rPr>
          <w:rFonts w:hint="eastAsia"/>
          <w:lang w:eastAsia="zh-CN"/>
        </w:rPr>
        <w:t>国有林场是保护培育森林资源、维护国家生态安全、提供生态产品的重要阵地。为巩固国有林场改革成果，加快建设现代化国有林场，国家发展改革委等部门联合印发意见。意见明确，以习近平新时代中国特色社会主义思想为指导，全面贯彻习近平生态文明思想，落实提质、兴业、利民要求，到2030年初步建成资源质量优良、生态功能稳定、产业发展充分的现代化国有林场体系，单位面积森林蓄积量提高约5%；到2035年现代化国有林场体系基本建成，单位面积森林蓄积量提高约11%。意见从</w:t>
      </w:r>
      <w:r>
        <w:rPr>
          <w:rFonts w:hint="eastAsia"/>
          <w:b/>
          <w:bCs/>
          <w:lang w:eastAsia="zh-CN"/>
        </w:rPr>
        <w:t>全面构筑现代化生态保护体系、大力发展现代化特色产业体系、加快升级现代化技术装备体系、探索健全现代化经营制度体系</w:t>
      </w:r>
      <w:r>
        <w:rPr>
          <w:rFonts w:hint="eastAsia"/>
          <w:lang w:eastAsia="zh-CN"/>
        </w:rPr>
        <w:t>等方面提出具体要求，包括明晰林场资源管理制度、提高生态保护管理能力、推进林草资源提质增效，深度服务生态工程建设、挖掘特色产业发展潜力、带动周边产业集群发展，推动适用装备升级换代、打造技术创新实践基地、加快补齐基础设施短板，分类完善林场管理体制、加快健全人才培养体系、鼓励建立分配激励机制等。国家发展改革委、国家林草局等部门将健全多元化政策保障机制，协同推进现代化国有林场建设。</w:t>
      </w:r>
    </w:p>
    <w:p w14:paraId="4076BA8C">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发文日期:2025年11月1</w:t>
      </w:r>
      <w:r>
        <w:rPr>
          <w:rFonts w:hint="eastAsia" w:cs="仿宋_GB2312"/>
          <w:sz w:val="20"/>
          <w:szCs w:val="20"/>
          <w:lang w:val="en-US" w:eastAsia="zh-CN" w:bidi="ar"/>
        </w:rPr>
        <w:t>7</w:t>
      </w:r>
      <w:r>
        <w:rPr>
          <w:rFonts w:hint="eastAsia" w:cs="仿宋_GB2312"/>
          <w:sz w:val="20"/>
          <w:szCs w:val="20"/>
          <w:lang w:bidi="ar"/>
        </w:rPr>
        <w:t>日</w:t>
      </w:r>
    </w:p>
    <w:p w14:paraId="3765286F">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国家发展改革委、财政部、人力资源社会保障部、自然资源部、交通运输部、国家林草局</w:t>
      </w:r>
    </w:p>
    <w:p w14:paraId="44C05016">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p>
    <w:p w14:paraId="0ED26DD5">
      <w:pPr>
        <w:pStyle w:val="4"/>
        <w:spacing w:line="360" w:lineRule="auto"/>
        <w:ind w:left="0" w:leftChars="0" w:firstLine="0" w:firstLineChars="0"/>
        <w:rPr>
          <w:rFonts w:cs="仿宋_GB2312"/>
          <w:sz w:val="20"/>
          <w:szCs w:val="20"/>
          <w:lang w:bidi="ar"/>
        </w:rPr>
      </w:pPr>
      <w:r>
        <w:rPr>
          <w:rFonts w:hint="eastAsia" w:cs="仿宋_GB2312"/>
          <w:sz w:val="20"/>
          <w:szCs w:val="20"/>
          <w:lang w:bidi="ar"/>
        </w:rPr>
        <w:t>https://www.ndrc.gov.cn/xxgk/zcfb/tz/202511/t20251117_1401657.html</w:t>
      </w:r>
    </w:p>
    <w:p w14:paraId="3B73F1C5">
      <w:pPr>
        <w:ind w:left="0" w:leftChars="0" w:firstLine="0" w:firstLineChars="0"/>
        <w:rPr>
          <w:rFonts w:hint="eastAsia"/>
          <w:lang w:eastAsia="zh-CN"/>
        </w:rPr>
      </w:pPr>
    </w:p>
    <w:p w14:paraId="39E60521">
      <w:pPr>
        <w:pStyle w:val="5"/>
        <w:bidi w:val="0"/>
        <w:rPr>
          <w:rFonts w:hint="eastAsia"/>
          <w:lang w:eastAsia="zh-CN"/>
        </w:rPr>
      </w:pPr>
      <w:bookmarkStart w:id="9" w:name="_Toc20175"/>
      <w:r>
        <w:rPr>
          <w:rFonts w:hint="eastAsia"/>
          <w:lang w:eastAsia="zh-CN"/>
        </w:rPr>
        <w:t>《石油天然气基础设施规划建设与运营管理办法》</w:t>
      </w:r>
      <w:bookmarkEnd w:id="9"/>
    </w:p>
    <w:p w14:paraId="5B163995">
      <w:pPr>
        <w:rPr>
          <w:rFonts w:hint="eastAsia"/>
          <w:lang w:eastAsia="zh-CN"/>
        </w:rPr>
      </w:pPr>
      <w:r>
        <w:rPr>
          <w:rFonts w:hint="eastAsia"/>
          <w:lang w:eastAsia="zh-CN"/>
        </w:rPr>
        <w:t>近日，国家发展改革委修订并颁布《石油天然气基础设施规划建设与运营管理办法》（国家发展改革委2025年第35号令，），自2026年1月1日起施行。《管理办法》修订背景包括落实党中央决策部署、油气体制改革需要以及完善油气行业管理体系。修订重点内容涵盖</w:t>
      </w:r>
      <w:r>
        <w:rPr>
          <w:rFonts w:hint="eastAsia"/>
          <w:b/>
          <w:bCs/>
          <w:lang w:eastAsia="zh-CN"/>
        </w:rPr>
        <w:t>服务油气行业绿色低碳发展、完善油气基础设施规划体系、理顺油气管网基础设施投资建设机制、立足“全国一张网”优化管网运营机制、理顺设施接入使用与公平开放关系、加强天然气储备并完善储气调峰市场机制</w:t>
      </w:r>
      <w:r>
        <w:rPr>
          <w:rFonts w:hint="eastAsia"/>
          <w:lang w:eastAsia="zh-CN"/>
        </w:rPr>
        <w:t>，以及明确法律责任和规范名词解释等。在健全自然垄断环节监管机制方面，《管理办法》将区分自然垄断环节和竞争性环节，加强规划引领，促进油气管网提质增效，并针对不同能源类型基础设施提出发展策略。国家发展改革委、国家能源局将加强组织协调和宣贯解读，推动《管理办法》落实及配套细则完善，近期重点编制“十五五”全国油气发展规划，制定油气设施接入和使用的指导意见。</w:t>
      </w:r>
    </w:p>
    <w:p w14:paraId="28C6D7F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14</w:t>
      </w:r>
      <w:r>
        <w:rPr>
          <w:rFonts w:hint="eastAsia" w:cs="仿宋_GB2312"/>
          <w:sz w:val="20"/>
          <w:szCs w:val="20"/>
          <w:lang w:bidi="ar"/>
        </w:rPr>
        <w:t>日</w:t>
      </w:r>
    </w:p>
    <w:p w14:paraId="03AEC218">
      <w:pPr>
        <w:pStyle w:val="4"/>
        <w:spacing w:line="360" w:lineRule="auto"/>
        <w:ind w:left="0" w:leftChars="0" w:firstLine="0" w:firstLineChars="0"/>
        <w:rPr>
          <w:rFonts w:cs="仿宋_GB2312"/>
          <w:sz w:val="20"/>
          <w:szCs w:val="20"/>
          <w:lang w:bidi="ar"/>
        </w:rPr>
      </w:pPr>
      <w:r>
        <w:rPr>
          <w:rFonts w:hint="eastAsia" w:cs="仿宋_GB2312"/>
          <w:sz w:val="20"/>
          <w:szCs w:val="20"/>
          <w:lang w:bidi="ar"/>
        </w:rPr>
        <w:t>发文单位:国家能源局</w:t>
      </w:r>
    </w:p>
    <w:p w14:paraId="56F60C3A">
      <w:pPr>
        <w:pStyle w:val="4"/>
        <w:spacing w:line="360" w:lineRule="auto"/>
        <w:ind w:left="0" w:leftChars="0" w:firstLine="0" w:firstLineChars="0"/>
      </w:pPr>
      <w:r>
        <w:rPr>
          <w:rFonts w:hint="eastAsia" w:cs="仿宋_GB2312"/>
          <w:sz w:val="20"/>
          <w:szCs w:val="20"/>
          <w:lang w:bidi="ar"/>
        </w:rPr>
        <w:t>原文链接:</w:t>
      </w:r>
      <w:r>
        <w:t xml:space="preserve"> </w:t>
      </w:r>
    </w:p>
    <w:p w14:paraId="588E2512">
      <w:pPr>
        <w:pStyle w:val="4"/>
        <w:spacing w:line="360" w:lineRule="auto"/>
        <w:ind w:left="0" w:leftChars="0" w:firstLine="0" w:firstLineChars="0"/>
      </w:pPr>
      <w:r>
        <w:rPr>
          <w:rFonts w:hint="eastAsia"/>
        </w:rPr>
        <w:t>https://www.ndrc.gov.cn/xxgk/zcfb/fzggwl/202511/t20251113_1401596.html</w:t>
      </w:r>
    </w:p>
    <w:p w14:paraId="7E7A36DB">
      <w:pPr>
        <w:pStyle w:val="5"/>
        <w:keepNext w:val="0"/>
        <w:keepLines w:val="0"/>
        <w:pageBreakBefore w:val="0"/>
        <w:widowControl/>
        <w:numPr>
          <w:ilvl w:val="0"/>
          <w:numId w:val="1"/>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10" w:name="_Toc9547"/>
      <w:r>
        <w:rPr>
          <w:rFonts w:hint="eastAsia"/>
        </w:rPr>
        <w:t>《关于促进新能源集成融合发展的指导意见》</w:t>
      </w:r>
      <w:bookmarkEnd w:id="10"/>
    </w:p>
    <w:p w14:paraId="310049AE">
      <w:pPr>
        <w:ind w:left="0" w:leftChars="0" w:firstLine="640" w:firstLineChars="200"/>
        <w:rPr>
          <w:rFonts w:hint="eastAsia"/>
        </w:rPr>
      </w:pPr>
      <w:r>
        <w:rPr>
          <w:rFonts w:hint="eastAsia"/>
        </w:rPr>
        <w:t>近日，国家能源局印发《关于促进新能源集成融合发展的指导意见》，围绕新能源多维度一体化开发、与多产业协同及多元化非电利用等方向，明确统筹优化发展方式与布局的任务举措，推动新能源从“单兵作战”向“集成融合”转变，以提升发展质量与效益。《意见》</w:t>
      </w:r>
      <w:r>
        <w:rPr>
          <w:rFonts w:hint="eastAsia"/>
          <w:lang w:val="en-US" w:eastAsia="zh-CN"/>
        </w:rPr>
        <w:t>明确主要目标，</w:t>
      </w:r>
      <w:r>
        <w:rPr>
          <w:rFonts w:hint="eastAsia"/>
          <w:b/>
          <w:bCs/>
          <w:lang w:val="en-US" w:eastAsia="zh-CN"/>
        </w:rPr>
        <w:t>到2030年，集成融合发展成为新能源发展的重要方式，新能源可靠替代水平明显增强，市场竞争力显著提升，有力支撑经济社会发展全面绿色转型，为加快中国式现代化建设提供更加安全可靠的绿色能源保障</w:t>
      </w:r>
      <w:r>
        <w:rPr>
          <w:rFonts w:hint="eastAsia"/>
        </w:rPr>
        <w:t>。</w:t>
      </w:r>
    </w:p>
    <w:p w14:paraId="3711D984">
      <w:pPr>
        <w:ind w:left="0" w:leftChars="0" w:firstLine="640" w:firstLineChars="200"/>
        <w:rPr>
          <w:rFonts w:hint="eastAsia"/>
        </w:rPr>
      </w:pPr>
      <w:r>
        <w:rPr>
          <w:rFonts w:hint="eastAsia"/>
        </w:rPr>
        <w:t>《意见》明确实施路径：一是加强多能互补，优化“沙戈荒”大基地电源结构，发展水风光一体化基地及省内风光气储等互补模式；二是推进开发空间集约复合，通过大基地集约化建设、存量设施升级、海上能源立体开发等提高空间利用效率；三是推动一体化聚合运营，从技术升级、高效运营、智能管控、资源聚合层面提升新能源可靠性与市场竞争力。</w:t>
      </w:r>
    </w:p>
    <w:p w14:paraId="758BF213">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18</w:t>
      </w:r>
      <w:r>
        <w:rPr>
          <w:rFonts w:hint="eastAsia" w:cs="仿宋_GB2312"/>
          <w:sz w:val="20"/>
          <w:szCs w:val="20"/>
          <w:lang w:bidi="ar"/>
        </w:rPr>
        <w:t>日</w:t>
      </w:r>
    </w:p>
    <w:p w14:paraId="10A35EFA">
      <w:pPr>
        <w:pStyle w:val="4"/>
        <w:spacing w:line="360" w:lineRule="auto"/>
        <w:ind w:left="0" w:leftChars="0" w:firstLine="0" w:firstLineChars="0"/>
        <w:rPr>
          <w:rFonts w:cs="仿宋_GB2312"/>
          <w:sz w:val="20"/>
          <w:szCs w:val="20"/>
          <w:lang w:bidi="ar"/>
        </w:rPr>
      </w:pPr>
      <w:r>
        <w:rPr>
          <w:rFonts w:hint="eastAsia" w:cs="仿宋_GB2312"/>
          <w:sz w:val="20"/>
          <w:szCs w:val="20"/>
          <w:lang w:bidi="ar"/>
        </w:rPr>
        <w:t>发文单位:国家能源局</w:t>
      </w:r>
    </w:p>
    <w:p w14:paraId="6326AA94">
      <w:pPr>
        <w:pStyle w:val="4"/>
        <w:spacing w:line="360" w:lineRule="auto"/>
        <w:ind w:left="0" w:leftChars="0" w:firstLine="0" w:firstLineChars="0"/>
        <w:rPr>
          <w:rFonts w:hint="eastAsia" w:cs="仿宋_GB2312"/>
          <w:sz w:val="20"/>
          <w:szCs w:val="20"/>
          <w:lang w:bidi="ar"/>
        </w:rPr>
      </w:pPr>
      <w:r>
        <w:rPr>
          <w:rFonts w:hint="eastAsia" w:cs="仿宋_GB2312"/>
          <w:sz w:val="20"/>
          <w:szCs w:val="20"/>
          <w:lang w:bidi="ar"/>
        </w:rPr>
        <w:t>原文链接:</w:t>
      </w:r>
    </w:p>
    <w:p w14:paraId="4A6F4646">
      <w:pPr>
        <w:pStyle w:val="4"/>
        <w:spacing w:line="360" w:lineRule="auto"/>
        <w:ind w:left="0" w:leftChars="0" w:firstLine="0" w:firstLineChars="0"/>
        <w:rPr>
          <w:rFonts w:hint="eastAsia" w:cs="仿宋_GB2312"/>
          <w:sz w:val="20"/>
          <w:szCs w:val="20"/>
          <w:lang w:bidi="ar"/>
        </w:rPr>
      </w:pPr>
      <w:r>
        <w:rPr>
          <w:rFonts w:hint="eastAsia" w:cs="仿宋_GB2312"/>
          <w:sz w:val="20"/>
          <w:szCs w:val="20"/>
          <w:lang w:bidi="ar"/>
        </w:rPr>
        <w:t>https://www.nea.gov.cn/20251112/79210278a3184efea9ccf2d546fdf1b7/c.html</w:t>
      </w:r>
    </w:p>
    <w:bookmarkEnd w:id="7"/>
    <w:p w14:paraId="13ECDD1D">
      <w:pPr>
        <w:ind w:left="0" w:leftChars="0" w:firstLine="290" w:firstLineChars="145"/>
        <w:rPr>
          <w:rFonts w:hint="eastAsia" w:eastAsia="仿宋_GB2312"/>
          <w:lang w:eastAsia="zh-CN"/>
        </w:rPr>
      </w:pPr>
      <w:r>
        <w:rPr>
          <w:rFonts w:hint="eastAsia" w:cs="仿宋_GB2312"/>
          <w:sz w:val="20"/>
          <w:szCs w:val="20"/>
          <w:lang w:val="en-US" w:eastAsia="zh-CN" w:bidi="ar"/>
        </w:rPr>
        <w:t xml:space="preserve"> </w:t>
      </w:r>
    </w:p>
    <w:p w14:paraId="28732029">
      <w:pPr>
        <w:snapToGrid w:val="0"/>
        <w:spacing w:line="240" w:lineRule="auto"/>
        <w:ind w:left="0" w:leftChars="0" w:firstLine="0" w:firstLineChars="0"/>
        <w:jc w:val="center"/>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14:paraId="7A5D4C23">
      <w:pPr>
        <w:pStyle w:val="3"/>
        <w:ind w:left="0" w:leftChars="0" w:firstLine="0" w:firstLineChars="0"/>
        <w:jc w:val="center"/>
        <w:rPr>
          <w:rFonts w:hint="eastAsia" w:ascii="黑体" w:hAnsi="黑体" w:eastAsia="黑体"/>
        </w:rPr>
      </w:pPr>
      <w:bookmarkStart w:id="11" w:name="_Toc214013984"/>
      <w:bookmarkStart w:id="12" w:name="_Toc20913"/>
      <w:r>
        <w:rPr>
          <w:rFonts w:hint="eastAsia" w:ascii="黑体" w:hAnsi="黑体" w:eastAsia="黑体"/>
        </w:rPr>
        <w:t>湖北省</w:t>
      </w:r>
      <w:bookmarkEnd w:id="11"/>
      <w:bookmarkEnd w:id="12"/>
    </w:p>
    <w:p w14:paraId="3D5D0EFB">
      <w:pPr>
        <w:pStyle w:val="5"/>
        <w:numPr>
          <w:ilvl w:val="0"/>
          <w:numId w:val="6"/>
        </w:numPr>
        <w:bidi w:val="0"/>
        <w:rPr>
          <w:rFonts w:hint="eastAsia"/>
        </w:rPr>
      </w:pPr>
      <w:bookmarkStart w:id="13" w:name="_Toc2139"/>
      <w:r>
        <w:rPr>
          <w:rFonts w:hint="eastAsia"/>
        </w:rPr>
        <w:t>《关于加快推进科技创新和产业创新融合发展的实施方案》</w:t>
      </w:r>
      <w:bookmarkEnd w:id="13"/>
    </w:p>
    <w:p w14:paraId="0DC2C96E">
      <w:pPr>
        <w:rPr>
          <w:rFonts w:hint="eastAsia"/>
        </w:rPr>
      </w:pPr>
      <w:r>
        <w:rPr>
          <w:rFonts w:hint="eastAsia"/>
        </w:rPr>
        <w:t>为深入贯彻习近平总书记考察湖北重要讲话精神，奋力打造具有全国影响力的科技创新高地，加快构建体现湖北优势的现代化产业体系，根据省委、省政府工作部署，省经信厅牵头起草了《关于加快推进科技创新和产业创新融合发展的实施方案》。该方案坚持需求牵引、供给驱动，旨在健全以企业为主体的产学研用协同创新体系，培育壮大高新技术产业，夯实科技供给源头，畅通成果转化通道，加快构建体现湖北优势的现代化产业体系。</w:t>
      </w:r>
    </w:p>
    <w:p w14:paraId="660AEE85">
      <w:pPr>
        <w:rPr>
          <w:rFonts w:hint="eastAsia"/>
          <w:lang w:eastAsia="zh-CN"/>
        </w:rPr>
      </w:pPr>
      <w:r>
        <w:rPr>
          <w:rFonts w:hint="eastAsia"/>
        </w:rPr>
        <w:t>《实施方案》包括3个部分、共24条，重点围绕创新体系“怎么构建”、创新活力“怎么释放”、创新生态“怎么营造”，从创新系统、科技供给、成果转化、高新技术产业和金融服务等方面，明确细化了科技创新和产业创新融合发展的实施路径及政策要点。</w:t>
      </w:r>
      <w:r>
        <w:rPr>
          <w:rFonts w:hint="eastAsia"/>
          <w:b/>
          <w:bCs/>
        </w:rPr>
        <w:t>一是优化创新体系</w:t>
      </w:r>
      <w:r>
        <w:rPr>
          <w:rFonts w:hint="eastAsia"/>
          <w:lang w:eastAsia="zh-CN"/>
        </w:rPr>
        <w:t>。建设高效能科技创新系统，增强高质量科技供给，推进科技成果转化，培育发展高新技术产业，强化金融服务支持。</w:t>
      </w:r>
      <w:r>
        <w:rPr>
          <w:rFonts w:hint="eastAsia"/>
          <w:b/>
          <w:bCs/>
          <w:lang w:eastAsia="zh-CN"/>
        </w:rPr>
        <w:t>二是深入推进改革</w:t>
      </w:r>
      <w:r>
        <w:rPr>
          <w:rFonts w:hint="eastAsia"/>
          <w:lang w:eastAsia="zh-CN"/>
        </w:rPr>
        <w:t>。深化以增加知识价值为导向的新型收入分配改革，深化教育科技人才体制机制一体改革，深化以要素配置为重点的高质量市场化改革。</w:t>
      </w:r>
      <w:r>
        <w:rPr>
          <w:rFonts w:hint="eastAsia"/>
          <w:b/>
          <w:bCs/>
          <w:lang w:eastAsia="zh-CN"/>
        </w:rPr>
        <w:t>三是营造创新生态</w:t>
      </w:r>
      <w:r>
        <w:rPr>
          <w:rFonts w:hint="eastAsia"/>
          <w:lang w:eastAsia="zh-CN"/>
        </w:rPr>
        <w:t>。重构创新政策体系，健全平台运营机制，优化创新氛围环境，强化创新服务保障。</w:t>
      </w:r>
    </w:p>
    <w:p w14:paraId="68F2B6B0">
      <w:pPr>
        <w:rPr>
          <w:rFonts w:hint="eastAsia"/>
          <w:lang w:eastAsia="zh-CN"/>
        </w:rPr>
      </w:pPr>
    </w:p>
    <w:p w14:paraId="58E90EC1">
      <w:pPr>
        <w:pStyle w:val="4"/>
        <w:spacing w:line="360" w:lineRule="auto"/>
        <w:ind w:left="0" w:leftChars="0" w:firstLine="0" w:firstLineChars="0"/>
        <w:rPr>
          <w:rFonts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17</w:t>
      </w:r>
      <w:r>
        <w:rPr>
          <w:rFonts w:hint="eastAsia" w:cs="仿宋_GB2312"/>
          <w:sz w:val="20"/>
          <w:szCs w:val="20"/>
          <w:lang w:bidi="ar"/>
        </w:rPr>
        <w:t>日</w:t>
      </w:r>
    </w:p>
    <w:p w14:paraId="2797B65C">
      <w:pPr>
        <w:pStyle w:val="4"/>
        <w:spacing w:line="360" w:lineRule="auto"/>
        <w:ind w:left="0" w:leftChars="0" w:firstLine="0" w:firstLineChars="0"/>
        <w:rPr>
          <w:rFonts w:hint="eastAsia" w:eastAsia="仿宋_GB2312" w:cs="仿宋_GB2312"/>
          <w:sz w:val="20"/>
          <w:szCs w:val="20"/>
          <w:lang w:val="en-US" w:eastAsia="zh-CN" w:bidi="ar"/>
        </w:rPr>
      </w:pPr>
      <w:r>
        <w:rPr>
          <w:rFonts w:hint="eastAsia" w:cs="仿宋_GB2312"/>
          <w:sz w:val="20"/>
          <w:szCs w:val="20"/>
          <w:lang w:bidi="ar"/>
        </w:rPr>
        <w:t>发文单位:</w:t>
      </w:r>
      <w:r>
        <w:rPr>
          <w:rFonts w:hint="eastAsia" w:cs="仿宋_GB2312"/>
          <w:sz w:val="20"/>
          <w:szCs w:val="20"/>
          <w:lang w:val="en-US" w:eastAsia="zh-CN" w:bidi="ar"/>
        </w:rPr>
        <w:t>湖北省经信厅</w:t>
      </w:r>
    </w:p>
    <w:p w14:paraId="7312BF35">
      <w:pPr>
        <w:pStyle w:val="4"/>
        <w:spacing w:line="360" w:lineRule="auto"/>
        <w:ind w:left="0" w:leftChars="0" w:firstLine="0" w:firstLineChars="0"/>
        <w:rPr>
          <w:rFonts w:cs="仿宋_GB2312"/>
          <w:sz w:val="20"/>
          <w:szCs w:val="20"/>
          <w:lang w:bidi="ar"/>
        </w:rPr>
      </w:pPr>
      <w:r>
        <w:rPr>
          <w:rFonts w:hint="eastAsia" w:cs="仿宋_GB2312"/>
          <w:sz w:val="20"/>
          <w:szCs w:val="20"/>
          <w:lang w:bidi="ar"/>
        </w:rPr>
        <w:t>原文链接:</w:t>
      </w:r>
      <w:r>
        <w:rPr>
          <w:rFonts w:cs="仿宋_GB2312"/>
          <w:sz w:val="20"/>
          <w:szCs w:val="20"/>
          <w:lang w:bidi="ar"/>
        </w:rPr>
        <w:t xml:space="preserve"> </w:t>
      </w:r>
    </w:p>
    <w:p w14:paraId="1D9A2F7C">
      <w:pPr>
        <w:pStyle w:val="4"/>
        <w:spacing w:line="360" w:lineRule="auto"/>
        <w:ind w:left="0" w:leftChars="0" w:firstLine="0" w:firstLineChars="0"/>
        <w:rPr>
          <w:rFonts w:hint="eastAsia" w:cs="仿宋_GB2312"/>
          <w:sz w:val="20"/>
          <w:szCs w:val="20"/>
          <w:lang w:eastAsia="zh-CN" w:bidi="ar"/>
        </w:rPr>
      </w:pPr>
      <w:r>
        <w:rPr>
          <w:rFonts w:hint="eastAsia" w:cs="仿宋_GB2312"/>
          <w:sz w:val="20"/>
          <w:szCs w:val="20"/>
          <w:lang w:eastAsia="zh-CN" w:bidi="ar"/>
        </w:rPr>
        <w:t>https://www.hubei.gov.cn/hbfb/bmdt/202511/t20251117_5814813.shtml</w:t>
      </w:r>
    </w:p>
    <w:p w14:paraId="718E0E73">
      <w:pPr>
        <w:ind w:left="0" w:leftChars="0" w:firstLine="0" w:firstLineChars="0"/>
        <w:rPr>
          <w:rFonts w:hint="eastAsia" w:ascii="黑体" w:hAnsi="黑体" w:eastAsia="黑体"/>
        </w:rPr>
      </w:pPr>
    </w:p>
    <w:p w14:paraId="664FEEE5">
      <w:pPr>
        <w:pStyle w:val="5"/>
        <w:numPr>
          <w:ilvl w:val="0"/>
          <w:numId w:val="6"/>
        </w:numPr>
        <w:bidi w:val="0"/>
        <w:rPr>
          <w:rFonts w:hint="eastAsia"/>
        </w:rPr>
      </w:pPr>
      <w:bookmarkStart w:id="14" w:name="_Toc3707"/>
      <w:bookmarkStart w:id="15" w:name="_Toc214013985"/>
      <w:r>
        <w:rPr>
          <w:rFonts w:hint="eastAsia"/>
        </w:rPr>
        <w:t>《关于开展湖北省数字经济创新型企业入库培育工作的通</w:t>
      </w:r>
    </w:p>
    <w:p w14:paraId="0C3D7B08">
      <w:pPr>
        <w:pStyle w:val="5"/>
        <w:numPr>
          <w:numId w:val="0"/>
        </w:numPr>
        <w:bidi w:val="0"/>
        <w:ind w:leftChars="0"/>
        <w:rPr>
          <w:rFonts w:hint="eastAsia"/>
        </w:rPr>
      </w:pPr>
      <w:r>
        <w:rPr>
          <w:rFonts w:hint="eastAsia"/>
        </w:rPr>
        <w:t>知》</w:t>
      </w:r>
      <w:bookmarkEnd w:id="14"/>
    </w:p>
    <w:p w14:paraId="592C7C3C">
      <w:pPr>
        <w:ind w:left="0" w:leftChars="0" w:firstLine="640" w:firstLineChars="200"/>
        <w:rPr>
          <w:rFonts w:hint="eastAsia"/>
        </w:rPr>
      </w:pPr>
      <w:r>
        <w:rPr>
          <w:rFonts w:hint="eastAsia"/>
        </w:rPr>
        <w:t>为贯彻落实国家《关于加强数字经济创新型企业培育的若干措施》精神，做好国家数创企业分级分类入库前期储备，湖北省数据局拟开展省级数字经济创新型企业入库培育工作。数字经济创新型企业是以数据为关键生产要素，以数字技术、应用场景、数据价值创新为核心驱动的企业，是发展新质生产力的重要实践主体。</w:t>
      </w:r>
    </w:p>
    <w:p w14:paraId="7E229D5D">
      <w:pPr>
        <w:ind w:left="0" w:leftChars="0" w:firstLine="640" w:firstLineChars="200"/>
        <w:rPr>
          <w:rFonts w:hint="eastAsia"/>
        </w:rPr>
      </w:pPr>
      <w:r>
        <w:rPr>
          <w:rFonts w:hint="eastAsia"/>
        </w:rPr>
        <w:t>申报企业需具备独立法人资格，注册地在湖北或设有分支机构，所属行业属于数字经济核心产业范畴，且近两年未被列入严重失信主体名单。入库企业分为生态主导型、高成长性、初创型三类，分别设置不同条件。其中，生态主导型企业上一年度主营业务收入原则上不低于10亿元，需拥有国字头资格证书等；高成长性企业上一年度营业收入达1亿元及以上且正增长；初创型企业需在“四新”经济方面具有独特优势。</w:t>
      </w:r>
    </w:p>
    <w:p w14:paraId="3FC4D19E">
      <w:pPr>
        <w:ind w:left="0" w:leftChars="0" w:firstLine="640" w:firstLineChars="200"/>
        <w:rPr>
          <w:rFonts w:hint="eastAsia"/>
        </w:rPr>
      </w:pPr>
      <w:r>
        <w:rPr>
          <w:rFonts w:hint="eastAsia"/>
        </w:rPr>
        <w:t>入库程序包括企业申请、市州推报、复审发布及遴选重点。企业需于12月15日至25日通过湖北公共数据开放网提交申请，市州数据主管部门于12月15日至30日完成初审。省数据局将对入库企业加强政策支持，包括推荐纳入国家培育库、重点推荐宣传、引导用好“算力券”“上云券”等，还将推动金融政策工具向数创企业倾斜。</w:t>
      </w:r>
      <w:bookmarkStart w:id="20" w:name="_GoBack"/>
      <w:bookmarkEnd w:id="20"/>
    </w:p>
    <w:p w14:paraId="2F0D0D2A">
      <w:pPr>
        <w:ind w:left="0" w:leftChars="0" w:firstLine="0" w:firstLineChars="0"/>
        <w:rPr>
          <w:rFonts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14</w:t>
      </w:r>
      <w:r>
        <w:rPr>
          <w:rFonts w:hint="eastAsia" w:cs="仿宋_GB2312"/>
          <w:sz w:val="20"/>
          <w:szCs w:val="20"/>
          <w:lang w:bidi="ar"/>
        </w:rPr>
        <w:t>日</w:t>
      </w:r>
    </w:p>
    <w:p w14:paraId="16412F1A">
      <w:pPr>
        <w:pStyle w:val="4"/>
        <w:spacing w:line="360" w:lineRule="auto"/>
        <w:ind w:left="0" w:leftChars="0" w:firstLine="0" w:firstLineChars="0"/>
        <w:rPr>
          <w:rFonts w:cs="仿宋_GB2312"/>
          <w:sz w:val="20"/>
          <w:szCs w:val="20"/>
          <w:lang w:bidi="ar"/>
        </w:rPr>
      </w:pPr>
      <w:r>
        <w:rPr>
          <w:rFonts w:hint="eastAsia" w:cs="仿宋_GB2312"/>
          <w:sz w:val="20"/>
          <w:szCs w:val="20"/>
          <w:lang w:bidi="ar"/>
        </w:rPr>
        <w:t>发文单位:湖北省数据局</w:t>
      </w:r>
    </w:p>
    <w:p w14:paraId="1A12B4B5">
      <w:pPr>
        <w:pStyle w:val="4"/>
        <w:spacing w:line="360" w:lineRule="auto"/>
        <w:ind w:left="0" w:leftChars="0" w:firstLine="0" w:firstLineChars="0"/>
        <w:rPr>
          <w:rFonts w:cs="仿宋_GB2312"/>
          <w:sz w:val="20"/>
          <w:szCs w:val="20"/>
          <w:lang w:bidi="ar"/>
        </w:rPr>
      </w:pPr>
      <w:r>
        <w:rPr>
          <w:rFonts w:hint="eastAsia" w:cs="仿宋_GB2312"/>
          <w:sz w:val="20"/>
          <w:szCs w:val="20"/>
          <w:lang w:bidi="ar"/>
        </w:rPr>
        <w:t>原文链接:</w:t>
      </w:r>
      <w:r>
        <w:rPr>
          <w:rFonts w:cs="仿宋_GB2312"/>
          <w:sz w:val="20"/>
          <w:szCs w:val="20"/>
          <w:lang w:bidi="ar"/>
        </w:rPr>
        <w:t xml:space="preserve"> </w:t>
      </w:r>
    </w:p>
    <w:p w14:paraId="66E312D3">
      <w:pPr>
        <w:pStyle w:val="4"/>
        <w:spacing w:line="360" w:lineRule="auto"/>
        <w:ind w:left="0" w:leftChars="0" w:firstLine="0" w:firstLineChars="0"/>
        <w:rPr>
          <w:rFonts w:cs="仿宋_GB2312"/>
          <w:sz w:val="20"/>
          <w:szCs w:val="20"/>
          <w:lang w:bidi="ar"/>
        </w:rPr>
      </w:pPr>
      <w:r>
        <w:rPr>
          <w:rFonts w:hint="eastAsia" w:cs="仿宋_GB2312"/>
          <w:sz w:val="20"/>
          <w:szCs w:val="20"/>
          <w:lang w:bidi="ar"/>
        </w:rPr>
        <w:t>https://sjj.hubei.gov.cn/bmdt/tzgg/202511/t20251114_5813300.shtml</w:t>
      </w:r>
    </w:p>
    <w:bookmarkEnd w:id="15"/>
    <w:p w14:paraId="47532CA2">
      <w:pPr>
        <w:snapToGrid w:val="0"/>
        <w:ind w:left="0" w:leftChars="0" w:firstLine="290" w:firstLineChars="145"/>
        <w:rPr>
          <w:rFonts w:hint="eastAsia" w:ascii="宋体" w:hAnsi="宋体" w:eastAsia="宋体" w:cs="宋体"/>
          <w:i/>
          <w:iCs/>
          <w:color w:val="666666"/>
          <w:kern w:val="0"/>
          <w:sz w:val="21"/>
          <w:szCs w:val="21"/>
          <w:shd w:val="clear" w:color="auto" w:fill="FFFFFF"/>
          <w:lang w:eastAsia="zh-CN" w:bidi="ar"/>
        </w:rPr>
      </w:pPr>
      <w:r>
        <w:rPr>
          <w:rFonts w:hint="eastAsia" w:eastAsia="宋体" w:cs="仿宋_GB2312"/>
          <w:sz w:val="20"/>
          <w:szCs w:val="20"/>
          <w:lang w:val="en-US" w:eastAsia="zh-CN" w:bidi="ar"/>
        </w:rPr>
        <w:t xml:space="preserve"> </w:t>
      </w:r>
    </w:p>
    <w:p w14:paraId="7F690698">
      <w:pPr>
        <w:pStyle w:val="2"/>
        <w:ind w:left="0" w:leftChars="0" w:firstLine="0" w:firstLineChars="0"/>
        <w:rPr>
          <w:rFonts w:hint="eastAsia" w:ascii="黑体" w:hAnsi="黑体" w:eastAsia="黑体"/>
        </w:rPr>
      </w:pPr>
      <w:bookmarkStart w:id="16" w:name="_Toc214013989"/>
      <w:bookmarkStart w:id="17" w:name="_Toc9395"/>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16"/>
      <w:bookmarkEnd w:id="17"/>
    </w:p>
    <w:p w14:paraId="1C68405E">
      <w:pPr>
        <w:pStyle w:val="5"/>
        <w:numPr>
          <w:ilvl w:val="0"/>
          <w:numId w:val="7"/>
        </w:numPr>
        <w:bidi w:val="0"/>
        <w:rPr>
          <w:rFonts w:hint="eastAsia"/>
        </w:rPr>
      </w:pPr>
      <w:bookmarkStart w:id="18" w:name="_Toc13168"/>
      <w:r>
        <w:rPr>
          <w:rFonts w:hint="eastAsia"/>
        </w:rPr>
        <w:t>湖北省算力券申领正式开始</w:t>
      </w:r>
      <w:bookmarkEnd w:id="18"/>
    </w:p>
    <w:p w14:paraId="3C62F80B">
      <w:pPr>
        <w:rPr>
          <w:rFonts w:hint="eastAsia"/>
        </w:rPr>
      </w:pPr>
      <w:r>
        <w:rPr>
          <w:rFonts w:hint="eastAsia"/>
        </w:rPr>
        <w:t>近日，湖北省数据局发布相关通知，武汉算力公共服务平台已开通湖北省算力券申领入口。该平台是省级算力券发放的三大官方入口之一，同时也是唯一的地市级发放平台。根据此前《湖北省加快算网存用协同发展的若干措施》（鄂政办发〔2025〕30号）文件规定，</w:t>
      </w:r>
      <w:r>
        <w:rPr>
          <w:rFonts w:hint="eastAsia"/>
          <w:b/>
          <w:bCs/>
        </w:rPr>
        <w:t>2025年省级财政将发放5000万元“算力券”，对用算主体在智算、超算算力资源方面的实际使用费用，按10%予以补贴，单个主体每年最高可获补贴100万元</w:t>
      </w:r>
      <w:r>
        <w:rPr>
          <w:rFonts w:hint="eastAsia"/>
        </w:rPr>
        <w:t>。省级算力券的具体申领条件、申报流程及申领时间等详细信息，可登录武汉算力公共服务平台省级算力券申领专区进行查看。此外，武汉市数据局将持续做好政策宣贯和申领对接服务，切实降低武汉企业的用算成本。</w:t>
      </w:r>
    </w:p>
    <w:p w14:paraId="67AF7844">
      <w:pPr>
        <w:pStyle w:val="4"/>
        <w:spacing w:line="360" w:lineRule="auto"/>
        <w:ind w:left="0" w:leftChars="0" w:firstLine="0" w:firstLineChars="0"/>
        <w:rPr>
          <w:rFonts w:hint="eastAsia" w:cs="仿宋_GB2312"/>
          <w:sz w:val="20"/>
          <w:szCs w:val="20"/>
          <w:lang w:bidi="ar"/>
        </w:rPr>
      </w:pPr>
    </w:p>
    <w:p w14:paraId="0A2D3888">
      <w:pPr>
        <w:pStyle w:val="4"/>
        <w:spacing w:line="360" w:lineRule="auto"/>
        <w:ind w:left="0" w:leftChars="0" w:firstLine="0" w:firstLineChars="0"/>
        <w:rPr>
          <w:rFonts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13</w:t>
      </w:r>
      <w:r>
        <w:rPr>
          <w:rFonts w:hint="eastAsia" w:cs="仿宋_GB2312"/>
          <w:sz w:val="20"/>
          <w:szCs w:val="20"/>
          <w:lang w:bidi="ar"/>
        </w:rPr>
        <w:t>日</w:t>
      </w:r>
    </w:p>
    <w:p w14:paraId="2AFEA27B">
      <w:pPr>
        <w:pStyle w:val="4"/>
        <w:spacing w:line="360" w:lineRule="auto"/>
        <w:ind w:left="0" w:leftChars="0" w:firstLine="0" w:firstLineChars="0"/>
        <w:rPr>
          <w:rFonts w:hint="default" w:eastAsia="仿宋_GB2312" w:cs="仿宋_GB2312"/>
          <w:sz w:val="20"/>
          <w:szCs w:val="20"/>
          <w:lang w:val="en-US" w:eastAsia="zh-CN" w:bidi="ar"/>
        </w:rPr>
      </w:pPr>
      <w:r>
        <w:rPr>
          <w:rFonts w:hint="eastAsia" w:cs="仿宋_GB2312"/>
          <w:sz w:val="20"/>
          <w:szCs w:val="20"/>
          <w:lang w:bidi="ar"/>
        </w:rPr>
        <w:t>发文单位:</w:t>
      </w:r>
      <w:r>
        <w:rPr>
          <w:rFonts w:hint="eastAsia" w:cs="仿宋_GB2312"/>
          <w:sz w:val="20"/>
          <w:szCs w:val="20"/>
          <w:lang w:val="en-US" w:eastAsia="zh-CN" w:bidi="ar"/>
        </w:rPr>
        <w:t>湖北省数据局</w:t>
      </w:r>
    </w:p>
    <w:p w14:paraId="693AD46F">
      <w:pPr>
        <w:pStyle w:val="4"/>
        <w:spacing w:line="360" w:lineRule="auto"/>
        <w:ind w:left="0" w:leftChars="0" w:firstLine="0" w:firstLineChars="0"/>
        <w:rPr>
          <w:rFonts w:cs="仿宋_GB2312"/>
          <w:sz w:val="20"/>
          <w:szCs w:val="20"/>
          <w:lang w:bidi="ar"/>
        </w:rPr>
      </w:pPr>
      <w:r>
        <w:rPr>
          <w:rFonts w:hint="eastAsia" w:cs="仿宋_GB2312"/>
          <w:sz w:val="20"/>
          <w:szCs w:val="20"/>
          <w:lang w:bidi="ar"/>
        </w:rPr>
        <w:t>原文链接:</w:t>
      </w:r>
      <w:r>
        <w:rPr>
          <w:rFonts w:cs="仿宋_GB2312"/>
          <w:sz w:val="20"/>
          <w:szCs w:val="20"/>
          <w:lang w:bidi="ar"/>
        </w:rPr>
        <w:t xml:space="preserve"> </w:t>
      </w:r>
    </w:p>
    <w:p w14:paraId="4491E368">
      <w:pPr>
        <w:pStyle w:val="4"/>
        <w:spacing w:line="360" w:lineRule="auto"/>
        <w:ind w:left="0" w:leftChars="0" w:firstLine="0" w:firstLineChars="0"/>
        <w:rPr>
          <w:rFonts w:cs="仿宋_GB2312"/>
          <w:sz w:val="20"/>
          <w:szCs w:val="20"/>
          <w:lang w:bidi="ar"/>
        </w:rPr>
      </w:pPr>
      <w:r>
        <w:rPr>
          <w:rFonts w:hint="eastAsia" w:cs="仿宋_GB2312"/>
          <w:sz w:val="20"/>
          <w:szCs w:val="20"/>
          <w:lang w:bidi="ar"/>
        </w:rPr>
        <w:t>https://sjj.hubei.gov.cn/bmdt/tzgg/202511/t20251113_5812513.shtml</w:t>
      </w:r>
    </w:p>
    <w:p w14:paraId="48A47EFF">
      <w:pPr>
        <w:ind w:left="0" w:leftChars="0" w:firstLine="0" w:firstLineChars="0"/>
        <w:rPr>
          <w:rFonts w:hint="eastAsia"/>
          <w:lang w:bidi="ar"/>
        </w:rPr>
      </w:pPr>
    </w:p>
    <w:p w14:paraId="49FB5137">
      <w:pPr>
        <w:pStyle w:val="5"/>
        <w:numPr>
          <w:ilvl w:val="0"/>
          <w:numId w:val="7"/>
        </w:numPr>
        <w:bidi w:val="0"/>
        <w:rPr>
          <w:rFonts w:hint="eastAsia"/>
          <w:lang w:bidi="ar"/>
        </w:rPr>
      </w:pPr>
      <w:bookmarkStart w:id="19" w:name="_Toc29051"/>
      <w:r>
        <w:rPr>
          <w:rFonts w:hint="eastAsia"/>
        </w:rPr>
        <w:t>王忠林主持研究推进金融服务中小微企业工作</w:t>
      </w:r>
      <w:bookmarkEnd w:id="19"/>
    </w:p>
    <w:p w14:paraId="122F6860">
      <w:pPr>
        <w:ind w:left="0" w:leftChars="0" w:firstLine="640" w:firstLineChars="200"/>
        <w:rPr>
          <w:rFonts w:hint="eastAsia"/>
          <w:lang w:bidi="ar"/>
        </w:rPr>
      </w:pPr>
      <w:r>
        <w:rPr>
          <w:rFonts w:hint="eastAsia"/>
          <w:lang w:bidi="ar"/>
        </w:rPr>
        <w:t>11月18日，省委书记、省人大常委会主任王忠林主持研究推进金融服务中小微企业工作。他强调，要深入学习贯彻党的二十届四中全会精神和习近平总书记关于金融工作的重要论述，以“301”线上信用贷款模式为抓手，推动更多金融“活水”流向中小微企业，持续提升金融服务实体经济质效，为加快建成中部地区崛起重要战略支点注入强劲动能。</w:t>
      </w:r>
    </w:p>
    <w:p w14:paraId="38D351C1">
      <w:pPr>
        <w:ind w:left="0" w:leftChars="0" w:firstLine="640" w:firstLineChars="200"/>
        <w:rPr>
          <w:rFonts w:hint="eastAsia"/>
          <w:lang w:val="en-US" w:eastAsia="zh-CN" w:bidi="ar"/>
        </w:rPr>
      </w:pPr>
      <w:r>
        <w:rPr>
          <w:rFonts w:hint="eastAsia"/>
          <w:lang w:bidi="ar"/>
        </w:rPr>
        <w:t>会上，省直有关部门汇报了我省“301”（三分钟申请、零质押零担保、一分钟放款）线上信用贷款模式运用推广情况，部分金融机构和企业结合实际提出意见建议。王忠林指出，近年来我省积极引导金融机构探索推广“301”模式，取得明显成效。创新金融供给、优化金融生态，是贯彻落实党中央决策部署的具体行动，要持续推动“301”模式走深走实。王忠林强调，信用体系建设是深化“301”模式的前提和基础，要坚持权威性、公正性、公开性、共享性原则，政银企合作打造全省统一信用服务平台。要坚持数智赋能，建立省级金融主题数据库，完善“301”模式标准体系，丰富应用场景。要健全风险防范处置机制，落实信用贷款风险补偿政策，严厉打击骗贷行为。各有关部门和金融单位要形成工作合力，加大典型案例宣传推介，常态化开展政银企对接活动，为加快建设金融强国贡献更多湖北力量。</w:t>
      </w:r>
      <w:r>
        <w:rPr>
          <w:rFonts w:hint="eastAsia"/>
          <w:lang w:val="en-US" w:eastAsia="zh-CN" w:bidi="ar"/>
        </w:rPr>
        <w:t xml:space="preserve"> </w:t>
      </w:r>
    </w:p>
    <w:p w14:paraId="1393CB48">
      <w:pPr>
        <w:ind w:left="0" w:leftChars="0" w:firstLine="640" w:firstLineChars="200"/>
        <w:rPr>
          <w:rFonts w:hint="eastAsia"/>
          <w:lang w:val="en-US" w:eastAsia="zh-CN" w:bidi="ar"/>
        </w:rPr>
      </w:pPr>
    </w:p>
    <w:p w14:paraId="3905DC96">
      <w:pPr>
        <w:pStyle w:val="4"/>
        <w:spacing w:line="360" w:lineRule="auto"/>
        <w:ind w:left="0" w:leftChars="0" w:firstLine="0" w:firstLineChars="0"/>
        <w:rPr>
          <w:rFonts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18</w:t>
      </w:r>
      <w:r>
        <w:rPr>
          <w:rFonts w:hint="eastAsia" w:cs="仿宋_GB2312"/>
          <w:sz w:val="20"/>
          <w:szCs w:val="20"/>
          <w:lang w:bidi="ar"/>
        </w:rPr>
        <w:t>日</w:t>
      </w:r>
    </w:p>
    <w:p w14:paraId="734797F9">
      <w:pPr>
        <w:pStyle w:val="4"/>
        <w:spacing w:line="360" w:lineRule="auto"/>
        <w:ind w:left="0" w:leftChars="0" w:firstLine="0" w:firstLineChars="0"/>
        <w:rPr>
          <w:rFonts w:hint="default" w:eastAsia="仿宋_GB2312" w:cs="仿宋_GB2312"/>
          <w:sz w:val="20"/>
          <w:szCs w:val="20"/>
          <w:lang w:val="en-US" w:eastAsia="zh-CN" w:bidi="ar"/>
        </w:rPr>
      </w:pPr>
      <w:r>
        <w:rPr>
          <w:rFonts w:hint="eastAsia" w:cs="仿宋_GB2312"/>
          <w:sz w:val="20"/>
          <w:szCs w:val="20"/>
          <w:lang w:bidi="ar"/>
        </w:rPr>
        <w:t>发文单位:</w:t>
      </w:r>
      <w:r>
        <w:rPr>
          <w:rFonts w:hint="eastAsia" w:cs="仿宋_GB2312"/>
          <w:sz w:val="20"/>
          <w:szCs w:val="20"/>
          <w:lang w:val="en-US" w:eastAsia="zh-CN" w:bidi="ar"/>
        </w:rPr>
        <w:t>湖北省人民政府</w:t>
      </w:r>
    </w:p>
    <w:p w14:paraId="7B728890">
      <w:pPr>
        <w:pStyle w:val="4"/>
        <w:spacing w:line="360" w:lineRule="auto"/>
        <w:ind w:left="0" w:leftChars="0" w:firstLine="0" w:firstLineChars="0"/>
        <w:rPr>
          <w:rFonts w:cs="仿宋_GB2312"/>
          <w:sz w:val="20"/>
          <w:szCs w:val="20"/>
          <w:lang w:bidi="ar"/>
        </w:rPr>
      </w:pPr>
      <w:r>
        <w:rPr>
          <w:rFonts w:hint="eastAsia" w:cs="仿宋_GB2312"/>
          <w:sz w:val="20"/>
          <w:szCs w:val="20"/>
          <w:lang w:bidi="ar"/>
        </w:rPr>
        <w:t>原文链接:</w:t>
      </w:r>
      <w:r>
        <w:rPr>
          <w:rFonts w:cs="仿宋_GB2312"/>
          <w:sz w:val="20"/>
          <w:szCs w:val="20"/>
          <w:lang w:bidi="ar"/>
        </w:rPr>
        <w:t xml:space="preserve"> </w:t>
      </w:r>
    </w:p>
    <w:p w14:paraId="64335D75">
      <w:pPr>
        <w:pStyle w:val="4"/>
        <w:spacing w:line="360" w:lineRule="auto"/>
        <w:ind w:left="0" w:leftChars="0" w:firstLine="0" w:firstLineChars="0"/>
        <w:rPr>
          <w:rFonts w:cs="仿宋_GB2312"/>
          <w:sz w:val="20"/>
          <w:szCs w:val="20"/>
          <w:lang w:bidi="ar"/>
        </w:rPr>
      </w:pPr>
      <w:r>
        <w:rPr>
          <w:rFonts w:hint="eastAsia" w:cs="仿宋_GB2312"/>
          <w:sz w:val="20"/>
          <w:szCs w:val="20"/>
          <w:lang w:bidi="ar"/>
        </w:rPr>
        <w:t>https://www.hubei.gov.cn/zwgk/hbyw/hbywqb/202511/t20251119_5815577.shtml</w:t>
      </w:r>
    </w:p>
    <w:p w14:paraId="6C9C5DE4">
      <w:pPr>
        <w:pStyle w:val="4"/>
        <w:spacing w:line="360" w:lineRule="auto"/>
        <w:ind w:left="0" w:leftChars="0" w:firstLine="0" w:firstLineChars="0"/>
      </w:pPr>
    </w:p>
    <w:sectPr>
      <w:headerReference r:id="rId5" w:type="default"/>
      <w:footerReference r:id="rId6" w:type="default"/>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5A8EB">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14:paraId="53748C9C">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BF90">
    <w:pPr>
      <w:pStyle w:val="18"/>
      <w:ind w:firstLine="360"/>
      <w:jc w:val="distribute"/>
      <w:rPr>
        <w:rFonts w:eastAsia="宋体"/>
        <w:i/>
        <w:iCs/>
      </w:rPr>
    </w:pPr>
    <w: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iCs/>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1DAE"/>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2A57C64"/>
    <w:rsid w:val="03506721"/>
    <w:rsid w:val="039C5442"/>
    <w:rsid w:val="03BD3D36"/>
    <w:rsid w:val="03DA3019"/>
    <w:rsid w:val="040C7B03"/>
    <w:rsid w:val="04765C43"/>
    <w:rsid w:val="04D356AB"/>
    <w:rsid w:val="050F64AF"/>
    <w:rsid w:val="06601CDF"/>
    <w:rsid w:val="067D27D9"/>
    <w:rsid w:val="078219B5"/>
    <w:rsid w:val="07E70D1A"/>
    <w:rsid w:val="0826583C"/>
    <w:rsid w:val="08683CDA"/>
    <w:rsid w:val="08753AC5"/>
    <w:rsid w:val="087607E6"/>
    <w:rsid w:val="08AD661F"/>
    <w:rsid w:val="09405381"/>
    <w:rsid w:val="09B037B4"/>
    <w:rsid w:val="0A434350"/>
    <w:rsid w:val="0AE20526"/>
    <w:rsid w:val="0B841E7A"/>
    <w:rsid w:val="0B922B80"/>
    <w:rsid w:val="0BDC6B84"/>
    <w:rsid w:val="0C2935A5"/>
    <w:rsid w:val="0C4F07D9"/>
    <w:rsid w:val="0CA37841"/>
    <w:rsid w:val="0E83792A"/>
    <w:rsid w:val="0E886CBA"/>
    <w:rsid w:val="0ED95576"/>
    <w:rsid w:val="0FBC07B5"/>
    <w:rsid w:val="10440482"/>
    <w:rsid w:val="10FC2F79"/>
    <w:rsid w:val="111057C3"/>
    <w:rsid w:val="11823249"/>
    <w:rsid w:val="120B217A"/>
    <w:rsid w:val="12134735"/>
    <w:rsid w:val="123B7AAA"/>
    <w:rsid w:val="125F2DFF"/>
    <w:rsid w:val="13874EC8"/>
    <w:rsid w:val="142C6563"/>
    <w:rsid w:val="14C64FA3"/>
    <w:rsid w:val="156404B5"/>
    <w:rsid w:val="15B11221"/>
    <w:rsid w:val="15C7773F"/>
    <w:rsid w:val="161A531E"/>
    <w:rsid w:val="16FC4447"/>
    <w:rsid w:val="17680B0C"/>
    <w:rsid w:val="17B83DC4"/>
    <w:rsid w:val="17D14750"/>
    <w:rsid w:val="17FD7FE9"/>
    <w:rsid w:val="190E24E6"/>
    <w:rsid w:val="1918096B"/>
    <w:rsid w:val="194C3CCF"/>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E14059F"/>
    <w:rsid w:val="1EE44AF0"/>
    <w:rsid w:val="1F3E7A96"/>
    <w:rsid w:val="1F6B1967"/>
    <w:rsid w:val="20041B75"/>
    <w:rsid w:val="20252704"/>
    <w:rsid w:val="20DA0A66"/>
    <w:rsid w:val="20E51F26"/>
    <w:rsid w:val="2103535F"/>
    <w:rsid w:val="21A9142B"/>
    <w:rsid w:val="21E6176B"/>
    <w:rsid w:val="231A50A3"/>
    <w:rsid w:val="23C0562A"/>
    <w:rsid w:val="243A4E0B"/>
    <w:rsid w:val="24AC6718"/>
    <w:rsid w:val="25DB28FA"/>
    <w:rsid w:val="266876DA"/>
    <w:rsid w:val="2776664F"/>
    <w:rsid w:val="27992ED1"/>
    <w:rsid w:val="28ED036A"/>
    <w:rsid w:val="290A5904"/>
    <w:rsid w:val="29355D18"/>
    <w:rsid w:val="29CD2F7F"/>
    <w:rsid w:val="2A1B05EA"/>
    <w:rsid w:val="2A6508F8"/>
    <w:rsid w:val="2B8A4E7D"/>
    <w:rsid w:val="2BCF3A5F"/>
    <w:rsid w:val="2BDC1404"/>
    <w:rsid w:val="2BE713BB"/>
    <w:rsid w:val="2C2C73FB"/>
    <w:rsid w:val="2C8A4A20"/>
    <w:rsid w:val="2D6708C5"/>
    <w:rsid w:val="2D856BEC"/>
    <w:rsid w:val="2DAD387D"/>
    <w:rsid w:val="2DE44242"/>
    <w:rsid w:val="2F0A3A24"/>
    <w:rsid w:val="2F3E7A4E"/>
    <w:rsid w:val="302C1733"/>
    <w:rsid w:val="30656B3C"/>
    <w:rsid w:val="310247BE"/>
    <w:rsid w:val="310835FF"/>
    <w:rsid w:val="311B7998"/>
    <w:rsid w:val="31A1082A"/>
    <w:rsid w:val="32CA1293"/>
    <w:rsid w:val="33281481"/>
    <w:rsid w:val="33296443"/>
    <w:rsid w:val="33595EFA"/>
    <w:rsid w:val="3363215A"/>
    <w:rsid w:val="34076004"/>
    <w:rsid w:val="342E49F7"/>
    <w:rsid w:val="34935BC5"/>
    <w:rsid w:val="35725E7F"/>
    <w:rsid w:val="3619453F"/>
    <w:rsid w:val="36D42F37"/>
    <w:rsid w:val="36D746DA"/>
    <w:rsid w:val="37030542"/>
    <w:rsid w:val="38B764DA"/>
    <w:rsid w:val="397D4DF2"/>
    <w:rsid w:val="39B44138"/>
    <w:rsid w:val="39C678D5"/>
    <w:rsid w:val="3A1351F8"/>
    <w:rsid w:val="3B8D3677"/>
    <w:rsid w:val="3CA96714"/>
    <w:rsid w:val="3D1F0B21"/>
    <w:rsid w:val="3D485319"/>
    <w:rsid w:val="3D4D7047"/>
    <w:rsid w:val="3D8808B9"/>
    <w:rsid w:val="3DDD468F"/>
    <w:rsid w:val="3E410903"/>
    <w:rsid w:val="3EA04765"/>
    <w:rsid w:val="3ECA64CC"/>
    <w:rsid w:val="3F5274EE"/>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7A37DC"/>
    <w:rsid w:val="49263474"/>
    <w:rsid w:val="49303C95"/>
    <w:rsid w:val="499A7B7E"/>
    <w:rsid w:val="4A0E7992"/>
    <w:rsid w:val="4A880CE9"/>
    <w:rsid w:val="4AC544BB"/>
    <w:rsid w:val="4B226DD3"/>
    <w:rsid w:val="4B5E290F"/>
    <w:rsid w:val="4BCB5F67"/>
    <w:rsid w:val="4C14267B"/>
    <w:rsid w:val="4CB41768"/>
    <w:rsid w:val="4CE04F75"/>
    <w:rsid w:val="4D341C91"/>
    <w:rsid w:val="4F1D0E77"/>
    <w:rsid w:val="4F2418C1"/>
    <w:rsid w:val="4F252466"/>
    <w:rsid w:val="50804CA1"/>
    <w:rsid w:val="50D4623C"/>
    <w:rsid w:val="50DC7480"/>
    <w:rsid w:val="51097994"/>
    <w:rsid w:val="51CD567E"/>
    <w:rsid w:val="51DD2A0A"/>
    <w:rsid w:val="51FA302C"/>
    <w:rsid w:val="521E7BC5"/>
    <w:rsid w:val="523C0389"/>
    <w:rsid w:val="52C92E63"/>
    <w:rsid w:val="536313E2"/>
    <w:rsid w:val="54B8530B"/>
    <w:rsid w:val="550F374B"/>
    <w:rsid w:val="55EB0ED2"/>
    <w:rsid w:val="56167F05"/>
    <w:rsid w:val="5648454F"/>
    <w:rsid w:val="564A639B"/>
    <w:rsid w:val="565B7F3A"/>
    <w:rsid w:val="57146818"/>
    <w:rsid w:val="572465F5"/>
    <w:rsid w:val="574959B6"/>
    <w:rsid w:val="57592C33"/>
    <w:rsid w:val="57907A19"/>
    <w:rsid w:val="57B85C78"/>
    <w:rsid w:val="57CB3FEF"/>
    <w:rsid w:val="58572298"/>
    <w:rsid w:val="58A91308"/>
    <w:rsid w:val="59B51A6B"/>
    <w:rsid w:val="59D30900"/>
    <w:rsid w:val="5A2537F3"/>
    <w:rsid w:val="5A316BBC"/>
    <w:rsid w:val="5B310B71"/>
    <w:rsid w:val="5B49484F"/>
    <w:rsid w:val="5C89392A"/>
    <w:rsid w:val="5C915CF5"/>
    <w:rsid w:val="5CAA6A49"/>
    <w:rsid w:val="5D0F67F8"/>
    <w:rsid w:val="5D78571C"/>
    <w:rsid w:val="5DFF1BDB"/>
    <w:rsid w:val="5E572837"/>
    <w:rsid w:val="5EB236E5"/>
    <w:rsid w:val="5EF27BD4"/>
    <w:rsid w:val="5F5C5326"/>
    <w:rsid w:val="5FAB5C16"/>
    <w:rsid w:val="5FF2703A"/>
    <w:rsid w:val="607C09C6"/>
    <w:rsid w:val="61506B0B"/>
    <w:rsid w:val="625D6F2E"/>
    <w:rsid w:val="639F01FD"/>
    <w:rsid w:val="63FA5093"/>
    <w:rsid w:val="64B877C8"/>
    <w:rsid w:val="65B7249A"/>
    <w:rsid w:val="65C47781"/>
    <w:rsid w:val="66772F7A"/>
    <w:rsid w:val="66ED547A"/>
    <w:rsid w:val="67732727"/>
    <w:rsid w:val="68364FD5"/>
    <w:rsid w:val="693D1977"/>
    <w:rsid w:val="694E21FD"/>
    <w:rsid w:val="69E176EA"/>
    <w:rsid w:val="69F56662"/>
    <w:rsid w:val="69FB50E4"/>
    <w:rsid w:val="6A437E8F"/>
    <w:rsid w:val="6A6065EE"/>
    <w:rsid w:val="6AC03372"/>
    <w:rsid w:val="6AD97FDD"/>
    <w:rsid w:val="6B947D69"/>
    <w:rsid w:val="6BBD0307"/>
    <w:rsid w:val="6BE35E8E"/>
    <w:rsid w:val="6CE0643D"/>
    <w:rsid w:val="6D2B042A"/>
    <w:rsid w:val="6D317DF2"/>
    <w:rsid w:val="6DD715C1"/>
    <w:rsid w:val="6DFD2AD9"/>
    <w:rsid w:val="6E401E74"/>
    <w:rsid w:val="6E426C72"/>
    <w:rsid w:val="701E1630"/>
    <w:rsid w:val="713B6CCF"/>
    <w:rsid w:val="71CD4FC5"/>
    <w:rsid w:val="728141BC"/>
    <w:rsid w:val="72902B04"/>
    <w:rsid w:val="730D7F28"/>
    <w:rsid w:val="731C016A"/>
    <w:rsid w:val="733F4FD0"/>
    <w:rsid w:val="7542549A"/>
    <w:rsid w:val="75C254B8"/>
    <w:rsid w:val="7709372E"/>
    <w:rsid w:val="798B7A7B"/>
    <w:rsid w:val="799D3B64"/>
    <w:rsid w:val="7A39200E"/>
    <w:rsid w:val="7D297872"/>
    <w:rsid w:val="7D5B67C5"/>
    <w:rsid w:val="7D6A07B6"/>
    <w:rsid w:val="7D8B028D"/>
    <w:rsid w:val="7D9A2EA0"/>
    <w:rsid w:val="7DCC4BF0"/>
    <w:rsid w:val="7E3E551B"/>
    <w:rsid w:val="7EE44885"/>
    <w:rsid w:val="7F025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420"/>
      <w:jc w:val="left"/>
    </w:pPr>
    <w:rPr>
      <w:i/>
      <w:iCs/>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99"/>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12</Pages>
  <Words>4861</Words>
  <Characters>5609</Characters>
  <Lines>55</Lines>
  <Paragraphs>15</Paragraphs>
  <TotalTime>2</TotalTime>
  <ScaleCrop>false</ScaleCrop>
  <LinksUpToDate>false</LinksUpToDate>
  <CharactersWithSpaces>5647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蓝天小云</cp:lastModifiedBy>
  <cp:lastPrinted>2001-08-11T02:42:00Z</cp:lastPrinted>
  <dcterms:modified xsi:type="dcterms:W3CDTF">2025-11-21T05:35:38Z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31FCAFDD533742C78449E23413B536A3_13</vt:lpwstr>
  </property>
  <property fmtid="{D5CDD505-2E9C-101B-9397-08002B2CF9AE}" pid="4" name="KSOTemplateDocerSaveRecord">
    <vt:lpwstr>eyJoZGlkIjoiYTAyYWMzNzNkNTc2NDA5ZjJhMjk3NmNmMDFlMDMyNGIiLCJ1c2VySWQiOiIzNTY3OTY0OTMifQ==</vt:lpwstr>
  </property>
</Properties>
</file>