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snapToGrid w:val="0"/>
        <w:spacing w:before="500"/>
        <w:ind w:left="0" w:leftChars="0" w:firstLine="640" w:firstLineChars="145"/>
        <w:rPr>
          <w:sz w:val="44"/>
        </w:rPr>
      </w:pPr>
    </w:p>
    <w:p>
      <w:pPr>
        <w:pStyle w:val="21"/>
        <w:snapToGrid w:val="0"/>
        <w:spacing w:before="500"/>
        <w:ind w:left="0" w:leftChars="0" w:firstLine="640" w:firstLineChars="145"/>
        <w:rPr>
          <w:sz w:val="44"/>
        </w:rPr>
      </w:pPr>
      <w:bookmarkStart w:id="25" w:name="_GoBack"/>
      <w:bookmarkEnd w:id="25"/>
    </w:p>
    <w:p>
      <w:pPr>
        <w:pStyle w:val="21"/>
        <w:snapToGrid w:val="0"/>
        <w:spacing w:before="500"/>
        <w:ind w:left="0" w:leftChars="0" w:firstLine="640" w:firstLineChars="145"/>
        <w:jc w:val="both"/>
        <w:rPr>
          <w:sz w:val="44"/>
        </w:rPr>
      </w:pPr>
    </w:p>
    <w:p>
      <w:pPr>
        <w:pStyle w:val="21"/>
        <w:snapToGrid w:val="0"/>
        <w:spacing w:before="500" w:line="240" w:lineRule="auto"/>
        <w:ind w:left="0" w:leftChars="0" w:firstLine="0" w:firstLineChars="0"/>
        <w:jc w:val="center"/>
        <w:rPr>
          <w:sz w:val="72"/>
          <w:szCs w:val="52"/>
        </w:rPr>
      </w:pPr>
      <w:r>
        <w:rPr>
          <w:rFonts w:hint="eastAsia"/>
          <w:sz w:val="72"/>
          <w:szCs w:val="52"/>
        </w:rPr>
        <w:t>一周资讯速递</w:t>
      </w:r>
    </w:p>
    <w:p>
      <w:pPr>
        <w:pStyle w:val="21"/>
        <w:snapToGrid w:val="0"/>
        <w:spacing w:before="500" w:line="240" w:lineRule="auto"/>
        <w:ind w:left="0" w:leftChars="0" w:firstLine="0" w:firstLineChars="0"/>
        <w:rPr>
          <w:sz w:val="44"/>
        </w:rPr>
      </w:pPr>
      <w:r>
        <w:rPr>
          <w:rFonts w:hint="eastAsia"/>
          <w:sz w:val="44"/>
        </w:rPr>
        <w:t>（1</w:t>
      </w:r>
      <w:r>
        <w:rPr>
          <w:rFonts w:hint="eastAsia"/>
          <w:sz w:val="44"/>
          <w:lang w:val="en-US" w:eastAsia="zh-CN"/>
        </w:rPr>
        <w:t>2</w:t>
      </w:r>
      <w:r>
        <w:rPr>
          <w:rFonts w:hint="eastAsia"/>
          <w:sz w:val="44"/>
        </w:rPr>
        <w:t>.</w:t>
      </w:r>
      <w:r>
        <w:rPr>
          <w:rFonts w:hint="eastAsia"/>
          <w:sz w:val="44"/>
          <w:lang w:val="en-US" w:eastAsia="zh-CN"/>
        </w:rPr>
        <w:t>12</w:t>
      </w:r>
      <w:r>
        <w:rPr>
          <w:rFonts w:hint="eastAsia"/>
          <w:sz w:val="44"/>
        </w:rPr>
        <w:t>-1</w:t>
      </w:r>
      <w:r>
        <w:rPr>
          <w:rFonts w:hint="eastAsia"/>
          <w:sz w:val="44"/>
          <w:lang w:val="en-US" w:eastAsia="zh-CN"/>
        </w:rPr>
        <w:t>2</w:t>
      </w:r>
      <w:r>
        <w:rPr>
          <w:rFonts w:hint="eastAsia"/>
          <w:sz w:val="44"/>
        </w:rPr>
        <w:t>.1</w:t>
      </w:r>
      <w:r>
        <w:rPr>
          <w:rFonts w:hint="eastAsia"/>
          <w:sz w:val="44"/>
          <w:lang w:val="en-US" w:eastAsia="zh-CN"/>
        </w:rPr>
        <w:t>9</w:t>
      </w:r>
      <w:r>
        <w:rPr>
          <w:rFonts w:hint="eastAsia"/>
          <w:sz w:val="44"/>
        </w:rPr>
        <w:t>）</w:t>
      </w:r>
    </w:p>
    <w:p>
      <w:pPr>
        <w:pStyle w:val="21"/>
        <w:snapToGrid w:val="0"/>
        <w:spacing w:before="500" w:line="240" w:lineRule="auto"/>
        <w:ind w:left="0" w:leftChars="0" w:firstLine="0" w:firstLineChars="0"/>
        <w:jc w:val="center"/>
        <w:rPr>
          <w:sz w:val="28"/>
          <w:szCs w:val="21"/>
        </w:rPr>
      </w:pPr>
      <w:r>
        <w:rPr>
          <w:rFonts w:hint="eastAsia"/>
          <w:sz w:val="28"/>
          <w:szCs w:val="21"/>
        </w:rPr>
        <w:t>中国移动通信集团湖北有限公司东湖智库</w:t>
      </w:r>
    </w:p>
    <w:p>
      <w:pPr>
        <w:pStyle w:val="21"/>
        <w:snapToGrid w:val="0"/>
        <w:spacing w:before="500" w:line="240" w:lineRule="auto"/>
        <w:ind w:left="0" w:leftChars="0" w:firstLine="640" w:firstLineChars="145"/>
        <w:rPr>
          <w:sz w:val="44"/>
        </w:rPr>
      </w:pPr>
      <w:r>
        <w:rPr>
          <w:rFonts w:hint="eastAsia"/>
          <w:sz w:val="44"/>
        </w:rPr>
        <w:br w:type="page"/>
      </w:r>
    </w:p>
    <w:p>
      <w:pPr>
        <w:pStyle w:val="4"/>
        <w:ind w:left="0" w:leftChars="0" w:firstLine="261" w:firstLineChars="145"/>
      </w:pPr>
    </w:p>
    <w:sdt>
      <w:sdtPr>
        <w:rPr>
          <w:rFonts w:hint="eastAsia" w:ascii="黑体" w:hAnsi="黑体" w:eastAsia="黑体" w:cs="黑体"/>
          <w:color w:val="auto"/>
          <w:kern w:val="2"/>
          <w:sz w:val="32"/>
          <w:szCs w:val="32"/>
          <w:lang w:val="zh-CN"/>
        </w:rPr>
        <w:id w:val="-1919944586"/>
        <w:docPartObj>
          <w:docPartGallery w:val="Table of Contents"/>
          <w:docPartUnique/>
        </w:docPartObj>
      </w:sdtPr>
      <w:sdtEndPr>
        <w:rPr>
          <w:rFonts w:hint="eastAsia" w:ascii="仿宋_GB2312" w:hAnsi="Arial" w:eastAsia="仿宋_GB2312" w:cs="Times New Roman"/>
          <w:b/>
          <w:bCs/>
          <w:i w:val="0"/>
          <w:iCs w:val="0"/>
          <w:color w:val="auto"/>
          <w:kern w:val="2"/>
          <w:sz w:val="24"/>
          <w:szCs w:val="24"/>
          <w:lang w:val="zh-CN"/>
        </w:rPr>
      </w:sdtEndPr>
      <w:sdtContent>
        <w:p>
          <w:pPr>
            <w:pStyle w:val="44"/>
            <w:spacing w:line="360" w:lineRule="exact"/>
            <w:ind w:left="0" w:leftChars="0" w:firstLine="464" w:firstLineChars="145"/>
            <w:jc w:val="center"/>
            <w:rPr>
              <w:rFonts w:hint="eastAsia" w:ascii="黑体" w:hAnsi="黑体" w:eastAsia="黑体" w:cs="黑体"/>
              <w:color w:val="auto"/>
              <w:sz w:val="32"/>
              <w:szCs w:val="32"/>
            </w:rPr>
          </w:pPr>
          <w:r>
            <w:rPr>
              <w:rFonts w:hint="eastAsia" w:ascii="黑体" w:hAnsi="黑体" w:eastAsia="黑体" w:cs="黑体"/>
              <w:color w:val="auto"/>
              <w:sz w:val="32"/>
              <w:szCs w:val="32"/>
              <w:lang w:val="zh-CN"/>
            </w:rPr>
            <w:t>目录</w:t>
          </w:r>
        </w:p>
        <w:p>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_Toc17095 </w:instrText>
          </w:r>
          <w:r>
            <w:rPr>
              <w:b/>
              <w:bCs/>
              <w:i w:val="0"/>
              <w:iCs w:val="0"/>
              <w:sz w:val="24"/>
              <w:szCs w:val="24"/>
            </w:rPr>
            <w:fldChar w:fldCharType="separate"/>
          </w:r>
          <w:r>
            <w:rPr>
              <w:rFonts w:hint="eastAsia"/>
              <w:b/>
              <w:bCs/>
              <w:i w:val="0"/>
              <w:iCs w:val="0"/>
              <w:sz w:val="24"/>
              <w:szCs w:val="24"/>
              <w:lang w:val="en-US" w:eastAsia="zh-CN"/>
            </w:rPr>
            <w:t>重</w:t>
          </w:r>
          <w:r>
            <w:rPr>
              <w:rFonts w:hint="eastAsia"/>
              <w:b/>
              <w:bCs/>
              <w:i w:val="0"/>
              <w:iCs w:val="0"/>
              <w:sz w:val="24"/>
              <w:szCs w:val="24"/>
            </w:rPr>
            <w:t>点·</w:t>
          </w:r>
          <w:r>
            <w:rPr>
              <w:rFonts w:hint="eastAsia"/>
              <w:b/>
              <w:bCs/>
              <w:i w:val="0"/>
              <w:iCs w:val="0"/>
              <w:sz w:val="24"/>
              <w:szCs w:val="24"/>
              <w:lang w:val="en-US" w:eastAsia="zh-CN"/>
            </w:rPr>
            <w:t>关注</w:t>
          </w:r>
          <w:r>
            <w:rPr>
              <w:b/>
              <w:bCs/>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TOC \o "1-3" \n  \h \u </w:instrText>
          </w:r>
          <w:r>
            <w:rPr>
              <w:i w:val="0"/>
              <w:iCs w:val="0"/>
              <w:sz w:val="24"/>
              <w:szCs w:val="24"/>
            </w:rPr>
            <w:fldChar w:fldCharType="separate"/>
          </w:r>
          <w:r>
            <w:rPr>
              <w:i w:val="0"/>
              <w:iCs w:val="0"/>
              <w:sz w:val="24"/>
              <w:szCs w:val="24"/>
            </w:rPr>
            <w:fldChar w:fldCharType="begin"/>
          </w:r>
          <w:r>
            <w:rPr>
              <w:i w:val="0"/>
              <w:iCs w:val="0"/>
              <w:sz w:val="24"/>
              <w:szCs w:val="24"/>
            </w:rPr>
            <w:instrText xml:space="preserve"> HYPERLINK \l _Toc5270 </w:instrText>
          </w:r>
          <w:r>
            <w:rPr>
              <w:i w:val="0"/>
              <w:iCs w:val="0"/>
              <w:sz w:val="24"/>
              <w:szCs w:val="24"/>
            </w:rPr>
            <w:fldChar w:fldCharType="separate"/>
          </w:r>
          <w:r>
            <w:rPr>
              <w:rFonts w:hint="eastAsia"/>
              <w:i w:val="0"/>
              <w:iCs w:val="0"/>
              <w:sz w:val="24"/>
              <w:szCs w:val="24"/>
            </w:rPr>
            <w:t>一、 2025年中央经济工作会议，定调明年经济工作</w:t>
          </w:r>
          <w:r>
            <w:rPr>
              <w:i w:val="0"/>
              <w:iCs w:val="0"/>
              <w:sz w:val="24"/>
              <w:szCs w:val="24"/>
            </w:rPr>
            <w:fldChar w:fldCharType="end"/>
          </w:r>
        </w:p>
        <w:p>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_Toc14620 </w:instrText>
          </w:r>
          <w:r>
            <w:rPr>
              <w:b/>
              <w:bCs/>
              <w:i w:val="0"/>
              <w:iCs w:val="0"/>
              <w:sz w:val="24"/>
              <w:szCs w:val="24"/>
            </w:rPr>
            <w:fldChar w:fldCharType="separate"/>
          </w:r>
          <w:r>
            <w:rPr>
              <w:rFonts w:hint="eastAsia"/>
              <w:b/>
              <w:bCs/>
              <w:i w:val="0"/>
              <w:iCs w:val="0"/>
              <w:sz w:val="24"/>
              <w:szCs w:val="24"/>
            </w:rPr>
            <w:t>中央</w:t>
          </w:r>
          <w:r>
            <w:rPr>
              <w:b/>
              <w:bCs/>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_Toc13728 </w:instrText>
          </w:r>
          <w:r>
            <w:rPr>
              <w:i w:val="0"/>
              <w:iCs w:val="0"/>
              <w:sz w:val="24"/>
              <w:szCs w:val="24"/>
            </w:rPr>
            <w:fldChar w:fldCharType="separate"/>
          </w:r>
          <w:r>
            <w:rPr>
              <w:rFonts w:hint="eastAsia"/>
              <w:i w:val="0"/>
              <w:iCs w:val="0"/>
              <w:sz w:val="24"/>
              <w:szCs w:val="24"/>
            </w:rPr>
            <w:t xml:space="preserve">一、 </w:t>
          </w:r>
          <w:r>
            <w:rPr>
              <w:rFonts w:hint="eastAsia"/>
              <w:i w:val="0"/>
              <w:iCs w:val="0"/>
              <w:sz w:val="24"/>
              <w:szCs w:val="24"/>
              <w:lang w:eastAsia="zh-CN"/>
            </w:rPr>
            <w:t>《关于加强商务和金融协同更大力度提振消费的通知》</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_Toc20993 </w:instrText>
          </w:r>
          <w:r>
            <w:rPr>
              <w:i w:val="0"/>
              <w:iCs w:val="0"/>
              <w:sz w:val="24"/>
              <w:szCs w:val="24"/>
            </w:rPr>
            <w:fldChar w:fldCharType="separate"/>
          </w:r>
          <w:r>
            <w:rPr>
              <w:rFonts w:hint="eastAsia"/>
              <w:i w:val="0"/>
              <w:iCs w:val="0"/>
              <w:sz w:val="24"/>
              <w:szCs w:val="24"/>
            </w:rPr>
            <w:t xml:space="preserve">二、 </w:t>
          </w:r>
          <w:r>
            <w:rPr>
              <w:rFonts w:hint="eastAsia"/>
              <w:i w:val="0"/>
              <w:iCs w:val="0"/>
              <w:sz w:val="24"/>
              <w:szCs w:val="24"/>
              <w:lang w:eastAsia="zh-CN"/>
            </w:rPr>
            <w:t>《促进服务外包高质量发展行动计划》</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_Toc5766 </w:instrText>
          </w:r>
          <w:r>
            <w:rPr>
              <w:i w:val="0"/>
              <w:iCs w:val="0"/>
              <w:sz w:val="24"/>
              <w:szCs w:val="24"/>
            </w:rPr>
            <w:fldChar w:fldCharType="separate"/>
          </w:r>
          <w:r>
            <w:rPr>
              <w:rFonts w:hint="eastAsia"/>
              <w:i w:val="0"/>
              <w:iCs w:val="0"/>
              <w:sz w:val="24"/>
              <w:szCs w:val="24"/>
            </w:rPr>
            <w:t xml:space="preserve">三、 </w:t>
          </w:r>
          <w:r>
            <w:rPr>
              <w:rFonts w:hint="eastAsia"/>
              <w:i w:val="0"/>
              <w:iCs w:val="0"/>
              <w:sz w:val="24"/>
              <w:szCs w:val="24"/>
              <w:lang w:eastAsia="zh-CN"/>
            </w:rPr>
            <w:t>《关于提升网络交易平台产品和服务质量的指导意见》</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_Toc19884 </w:instrText>
          </w:r>
          <w:r>
            <w:rPr>
              <w:i w:val="0"/>
              <w:iCs w:val="0"/>
              <w:sz w:val="24"/>
              <w:szCs w:val="24"/>
            </w:rPr>
            <w:fldChar w:fldCharType="separate"/>
          </w:r>
          <w:r>
            <w:rPr>
              <w:rFonts w:hint="eastAsia"/>
              <w:i w:val="0"/>
              <w:iCs w:val="0"/>
              <w:sz w:val="24"/>
              <w:szCs w:val="24"/>
            </w:rPr>
            <w:t xml:space="preserve">四、 </w:t>
          </w:r>
          <w:r>
            <w:rPr>
              <w:rFonts w:hint="eastAsia"/>
              <w:i w:val="0"/>
              <w:iCs w:val="0"/>
              <w:sz w:val="24"/>
              <w:szCs w:val="24"/>
              <w:lang w:eastAsia="zh-CN"/>
            </w:rPr>
            <w:t>《煤炭清洁高效利用重点领域标杆水平和基准水平（2025年版）》</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_Toc25864 </w:instrText>
          </w:r>
          <w:r>
            <w:rPr>
              <w:i w:val="0"/>
              <w:iCs w:val="0"/>
              <w:sz w:val="24"/>
              <w:szCs w:val="24"/>
            </w:rPr>
            <w:fldChar w:fldCharType="separate"/>
          </w:r>
          <w:r>
            <w:rPr>
              <w:rFonts w:hint="eastAsia"/>
              <w:i w:val="0"/>
              <w:iCs w:val="0"/>
              <w:sz w:val="24"/>
              <w:szCs w:val="24"/>
            </w:rPr>
            <w:t xml:space="preserve">五、 </w:t>
          </w:r>
          <w:r>
            <w:rPr>
              <w:rFonts w:hint="eastAsia"/>
              <w:i w:val="0"/>
              <w:iCs w:val="0"/>
              <w:sz w:val="24"/>
              <w:szCs w:val="24"/>
              <w:lang w:eastAsia="zh-CN"/>
            </w:rPr>
            <w:t>《能源行业数据安全管理办法（试行）》</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_Toc18361 </w:instrText>
          </w:r>
          <w:r>
            <w:rPr>
              <w:i w:val="0"/>
              <w:iCs w:val="0"/>
              <w:sz w:val="24"/>
              <w:szCs w:val="24"/>
            </w:rPr>
            <w:fldChar w:fldCharType="separate"/>
          </w:r>
          <w:r>
            <w:rPr>
              <w:rFonts w:hint="eastAsia"/>
              <w:i w:val="0"/>
              <w:iCs w:val="0"/>
              <w:sz w:val="24"/>
              <w:szCs w:val="24"/>
            </w:rPr>
            <w:t xml:space="preserve">六、 </w:t>
          </w:r>
          <w:r>
            <w:rPr>
              <w:rFonts w:hint="eastAsia"/>
              <w:i w:val="0"/>
              <w:iCs w:val="0"/>
              <w:sz w:val="24"/>
              <w:szCs w:val="24"/>
              <w:lang w:eastAsia="zh-CN"/>
            </w:rPr>
            <w:t>《全民阅读促进条例》</w:t>
          </w:r>
          <w:r>
            <w:rPr>
              <w:i w:val="0"/>
              <w:iCs w:val="0"/>
              <w:sz w:val="24"/>
              <w:szCs w:val="24"/>
            </w:rPr>
            <w:fldChar w:fldCharType="end"/>
          </w:r>
        </w:p>
        <w:p>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_Toc18373 </w:instrText>
          </w:r>
          <w:r>
            <w:rPr>
              <w:b/>
              <w:bCs/>
              <w:i w:val="0"/>
              <w:iCs w:val="0"/>
              <w:sz w:val="24"/>
              <w:szCs w:val="24"/>
            </w:rPr>
            <w:fldChar w:fldCharType="separate"/>
          </w:r>
          <w:r>
            <w:rPr>
              <w:rFonts w:hint="eastAsia"/>
              <w:b/>
              <w:bCs/>
              <w:i w:val="0"/>
              <w:iCs w:val="0"/>
              <w:sz w:val="24"/>
              <w:szCs w:val="24"/>
            </w:rPr>
            <w:t>湖北省</w:t>
          </w:r>
          <w:r>
            <w:rPr>
              <w:b/>
              <w:bCs/>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_Toc10229 </w:instrText>
          </w:r>
          <w:r>
            <w:rPr>
              <w:i w:val="0"/>
              <w:iCs w:val="0"/>
              <w:sz w:val="24"/>
              <w:szCs w:val="24"/>
            </w:rPr>
            <w:fldChar w:fldCharType="separate"/>
          </w:r>
          <w:r>
            <w:rPr>
              <w:rFonts w:hint="eastAsia"/>
              <w:i w:val="0"/>
              <w:iCs w:val="0"/>
              <w:sz w:val="24"/>
              <w:szCs w:val="24"/>
            </w:rPr>
            <w:t>一、 《湖北省人民政府办公厅关于加快推进绿色智能建造产业发展的实施意见》</w:t>
          </w:r>
          <w:r>
            <w:rPr>
              <w:i w:val="0"/>
              <w:iCs w:val="0"/>
              <w:sz w:val="24"/>
              <w:szCs w:val="24"/>
            </w:rPr>
            <w:fldChar w:fldCharType="end"/>
          </w:r>
        </w:p>
        <w:p>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_Toc7255 </w:instrText>
          </w:r>
          <w:r>
            <w:rPr>
              <w:b/>
              <w:bCs/>
              <w:i w:val="0"/>
              <w:iCs w:val="0"/>
              <w:sz w:val="24"/>
              <w:szCs w:val="24"/>
            </w:rPr>
            <w:fldChar w:fldCharType="separate"/>
          </w:r>
          <w:r>
            <w:rPr>
              <w:rFonts w:hint="eastAsia"/>
              <w:b/>
              <w:bCs/>
              <w:i w:val="0"/>
              <w:iCs w:val="0"/>
              <w:sz w:val="24"/>
              <w:szCs w:val="24"/>
            </w:rPr>
            <w:t>热点·资讯</w:t>
          </w:r>
          <w:r>
            <w:rPr>
              <w:b/>
              <w:bCs/>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_Toc7821 </w:instrText>
          </w:r>
          <w:r>
            <w:rPr>
              <w:i w:val="0"/>
              <w:iCs w:val="0"/>
              <w:sz w:val="24"/>
              <w:szCs w:val="24"/>
            </w:rPr>
            <w:fldChar w:fldCharType="separate"/>
          </w:r>
          <w:r>
            <w:rPr>
              <w:rFonts w:hint="eastAsia"/>
              <w:i w:val="0"/>
              <w:iCs w:val="0"/>
              <w:sz w:val="24"/>
              <w:szCs w:val="24"/>
            </w:rPr>
            <w:t>一、 工信部许可两款L3级自动驾驶车型产品</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_Toc24395 </w:instrText>
          </w:r>
          <w:r>
            <w:rPr>
              <w:i w:val="0"/>
              <w:iCs w:val="0"/>
              <w:sz w:val="24"/>
              <w:szCs w:val="24"/>
            </w:rPr>
            <w:fldChar w:fldCharType="separate"/>
          </w:r>
          <w:r>
            <w:rPr>
              <w:rFonts w:hint="eastAsia"/>
              <w:i w:val="0"/>
              <w:iCs w:val="0"/>
              <w:sz w:val="24"/>
              <w:szCs w:val="24"/>
            </w:rPr>
            <w:t xml:space="preserve">二、 </w:t>
          </w:r>
          <w:r>
            <w:rPr>
              <w:rFonts w:hint="eastAsia"/>
              <w:i w:val="0"/>
              <w:iCs w:val="0"/>
              <w:sz w:val="24"/>
              <w:szCs w:val="24"/>
              <w:lang w:eastAsia="zh-CN"/>
            </w:rPr>
            <w:t>海南自由贸易港正式启动全岛封关</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_Toc22177 </w:instrText>
          </w:r>
          <w:r>
            <w:rPr>
              <w:i w:val="0"/>
              <w:iCs w:val="0"/>
              <w:sz w:val="24"/>
              <w:szCs w:val="24"/>
            </w:rPr>
            <w:fldChar w:fldCharType="separate"/>
          </w:r>
          <w:r>
            <w:rPr>
              <w:rFonts w:hint="eastAsia"/>
              <w:i w:val="0"/>
              <w:iCs w:val="0"/>
              <w:sz w:val="24"/>
              <w:szCs w:val="24"/>
            </w:rPr>
            <w:t>三、 王忠林主持召开省委常委会会议</w:t>
          </w:r>
          <w:r>
            <w:rPr>
              <w:rFonts w:hint="eastAsia"/>
              <w:i w:val="0"/>
              <w:iCs w:val="0"/>
              <w:sz w:val="24"/>
              <w:szCs w:val="24"/>
              <w:lang w:eastAsia="zh-CN"/>
            </w:rPr>
            <w:t>，</w:t>
          </w:r>
          <w:r>
            <w:rPr>
              <w:rFonts w:hint="eastAsia"/>
              <w:i w:val="0"/>
              <w:iCs w:val="0"/>
              <w:sz w:val="24"/>
              <w:szCs w:val="24"/>
            </w:rPr>
            <w:t>深入学习贯彻习近平总书记重要讲话精神</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_Toc21728 </w:instrText>
          </w:r>
          <w:r>
            <w:rPr>
              <w:i w:val="0"/>
              <w:iCs w:val="0"/>
              <w:sz w:val="24"/>
              <w:szCs w:val="24"/>
            </w:rPr>
            <w:fldChar w:fldCharType="separate"/>
          </w:r>
          <w:r>
            <w:rPr>
              <w:rFonts w:hint="eastAsia"/>
              <w:i w:val="0"/>
              <w:iCs w:val="0"/>
              <w:sz w:val="24"/>
              <w:szCs w:val="24"/>
            </w:rPr>
            <w:t>四、 王忠林主持研究推进世界知名文化旅游目的地建设</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_Toc14990 </w:instrText>
          </w:r>
          <w:r>
            <w:rPr>
              <w:i w:val="0"/>
              <w:iCs w:val="0"/>
              <w:sz w:val="24"/>
              <w:szCs w:val="24"/>
            </w:rPr>
            <w:fldChar w:fldCharType="separate"/>
          </w:r>
          <w:r>
            <w:rPr>
              <w:rFonts w:hint="eastAsia"/>
              <w:i w:val="0"/>
              <w:iCs w:val="0"/>
              <w:sz w:val="24"/>
              <w:szCs w:val="24"/>
            </w:rPr>
            <w:t>五、 王忠林在武汉大学调研时强调</w:t>
          </w:r>
          <w:r>
            <w:rPr>
              <w:rFonts w:hint="eastAsia"/>
              <w:i w:val="0"/>
              <w:iCs w:val="0"/>
              <w:sz w:val="24"/>
              <w:szCs w:val="24"/>
              <w:lang w:eastAsia="zh-CN"/>
            </w:rPr>
            <w:t>，</w:t>
          </w:r>
          <w:r>
            <w:rPr>
              <w:rFonts w:hint="eastAsia"/>
              <w:i w:val="0"/>
              <w:iCs w:val="0"/>
              <w:sz w:val="24"/>
              <w:szCs w:val="24"/>
            </w:rPr>
            <w:t>着力培养一批既懂科技又懂产业的领军型人才</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_Toc177 </w:instrText>
          </w:r>
          <w:r>
            <w:rPr>
              <w:i w:val="0"/>
              <w:iCs w:val="0"/>
              <w:sz w:val="24"/>
              <w:szCs w:val="24"/>
            </w:rPr>
            <w:fldChar w:fldCharType="separate"/>
          </w:r>
          <w:r>
            <w:rPr>
              <w:rFonts w:hint="eastAsia"/>
              <w:i w:val="0"/>
              <w:iCs w:val="0"/>
              <w:sz w:val="24"/>
              <w:szCs w:val="24"/>
            </w:rPr>
            <w:t>六、 李殿勋主持召开省政府2026年经济社会发展谋划会</w:t>
          </w:r>
          <w:r>
            <w:rPr>
              <w:i w:val="0"/>
              <w:iCs w:val="0"/>
              <w:sz w:val="24"/>
              <w:szCs w:val="24"/>
            </w:rPr>
            <w:fldChar w:fldCharType="end"/>
          </w:r>
        </w:p>
        <w:p>
          <w:pPr>
            <w:pStyle w:val="16"/>
            <w:tabs>
              <w:tab w:val="right" w:pos="8960"/>
            </w:tabs>
            <w:ind w:left="0" w:leftChars="0" w:firstLine="0" w:firstLineChars="0"/>
            <w:rPr>
              <w:i w:val="0"/>
              <w:iCs w:val="0"/>
              <w:sz w:val="24"/>
              <w:szCs w:val="24"/>
            </w:rPr>
          </w:pPr>
          <w:r>
            <w:rPr>
              <w:i w:val="0"/>
              <w:iCs w:val="0"/>
              <w:sz w:val="24"/>
              <w:szCs w:val="24"/>
            </w:rPr>
            <w:fldChar w:fldCharType="end"/>
          </w:r>
        </w:p>
      </w:sdtContent>
    </w:sdt>
    <w:p>
      <w:pPr>
        <w:widowControl/>
        <w:spacing w:line="240" w:lineRule="auto"/>
        <w:ind w:left="0" w:leftChars="0" w:firstLine="232" w:firstLineChars="145"/>
        <w:jc w:val="left"/>
        <w:rPr>
          <w:rFonts w:ascii="Times New Roman" w:hAnsi="Times New Roman" w:eastAsia="宋体"/>
          <w:sz w:val="16"/>
          <w:szCs w:val="16"/>
        </w:rPr>
      </w:pPr>
      <w:r>
        <w:rPr>
          <w:rFonts w:ascii="Times New Roman" w:hAnsi="Times New Roman" w:eastAsia="宋体"/>
          <w:sz w:val="16"/>
          <w:szCs w:val="16"/>
        </w:rPr>
        <w:br w:type="page"/>
      </w:r>
    </w:p>
    <w:p>
      <w:pPr>
        <w:pStyle w:val="21"/>
        <w:keepNext w:val="0"/>
        <w:keepLines w:val="0"/>
        <w:pageBreakBefore w:val="0"/>
        <w:widowControl w:val="0"/>
        <w:kinsoku/>
        <w:wordWrap/>
        <w:overflowPunct/>
        <w:topLinePunct w:val="0"/>
        <w:autoSpaceDE/>
        <w:autoSpaceDN/>
        <w:bidi w:val="0"/>
        <w:adjustRightInd/>
        <w:snapToGrid w:val="0"/>
        <w:spacing w:before="500"/>
        <w:ind w:left="0" w:leftChars="0" w:firstLine="160" w:firstLineChars="145"/>
        <w:jc w:val="center"/>
        <w:textAlignment w:val="auto"/>
        <w:rPr>
          <w:rFonts w:hint="eastAsia"/>
          <w:sz w:val="11"/>
          <w:szCs w:val="11"/>
          <w:lang w:val="en-US" w:eastAsia="zh-CN"/>
        </w:rPr>
      </w:pPr>
    </w:p>
    <w:p>
      <w:pPr>
        <w:pStyle w:val="21"/>
        <w:keepNext w:val="0"/>
        <w:keepLines w:val="0"/>
        <w:pageBreakBefore w:val="0"/>
        <w:widowControl w:val="0"/>
        <w:kinsoku/>
        <w:wordWrap/>
        <w:overflowPunct/>
        <w:topLinePunct w:val="0"/>
        <w:autoSpaceDE/>
        <w:autoSpaceDN/>
        <w:bidi w:val="0"/>
        <w:adjustRightInd/>
        <w:snapToGrid w:val="0"/>
        <w:spacing w:before="500"/>
        <w:ind w:left="0" w:leftChars="0" w:firstLine="0" w:firstLineChars="0"/>
        <w:jc w:val="center"/>
        <w:textAlignment w:val="auto"/>
        <w:rPr>
          <w:rFonts w:hint="default" w:eastAsia="仿宋_GB2312"/>
          <w:sz w:val="44"/>
          <w:lang w:val="en-US" w:eastAsia="zh-CN"/>
        </w:rPr>
      </w:pPr>
      <w:r>
        <w:rPr>
          <w:rFonts w:hint="eastAsia"/>
          <w:sz w:val="44"/>
          <w:lang w:val="en-US" w:eastAsia="zh-CN"/>
        </w:rPr>
        <w:t>一周资讯速递</w:t>
      </w:r>
      <w:bookmarkStart w:id="0" w:name="OLE_LINK56"/>
      <w:r>
        <w:rPr>
          <w:rFonts w:hint="eastAsia"/>
          <w:sz w:val="44"/>
          <w:lang w:val="en-US" w:eastAsia="zh-CN"/>
        </w:rPr>
        <w:t>（</w:t>
      </w:r>
      <w:r>
        <w:rPr>
          <w:rFonts w:hint="eastAsia"/>
          <w:sz w:val="44"/>
        </w:rPr>
        <w:t>1</w:t>
      </w:r>
      <w:r>
        <w:rPr>
          <w:rFonts w:hint="eastAsia"/>
          <w:sz w:val="44"/>
          <w:lang w:val="en-US" w:eastAsia="zh-CN"/>
        </w:rPr>
        <w:t>2</w:t>
      </w:r>
      <w:r>
        <w:rPr>
          <w:rFonts w:hint="eastAsia"/>
          <w:sz w:val="44"/>
        </w:rPr>
        <w:t>.</w:t>
      </w:r>
      <w:r>
        <w:rPr>
          <w:rFonts w:hint="eastAsia"/>
          <w:sz w:val="44"/>
          <w:lang w:val="en-US" w:eastAsia="zh-CN"/>
        </w:rPr>
        <w:t>12</w:t>
      </w:r>
      <w:r>
        <w:rPr>
          <w:rFonts w:hint="eastAsia"/>
          <w:sz w:val="44"/>
        </w:rPr>
        <w:t>-1</w:t>
      </w:r>
      <w:r>
        <w:rPr>
          <w:rFonts w:hint="eastAsia"/>
          <w:sz w:val="44"/>
          <w:lang w:val="en-US" w:eastAsia="zh-CN"/>
        </w:rPr>
        <w:t>2</w:t>
      </w:r>
      <w:r>
        <w:rPr>
          <w:rFonts w:hint="eastAsia"/>
          <w:sz w:val="44"/>
        </w:rPr>
        <w:t>.1</w:t>
      </w:r>
      <w:bookmarkEnd w:id="0"/>
      <w:r>
        <w:rPr>
          <w:rFonts w:hint="eastAsia"/>
          <w:sz w:val="44"/>
          <w:lang w:val="en-US" w:eastAsia="zh-CN"/>
        </w:rPr>
        <w:t>9</w:t>
      </w:r>
      <w:r>
        <w:rPr>
          <w:rFonts w:hint="eastAsia"/>
          <w:sz w:val="44"/>
          <w:lang w:eastAsia="zh-CN"/>
        </w:rPr>
        <w:t>）</w:t>
      </w:r>
    </w:p>
    <w:p>
      <w:pPr>
        <w:ind w:left="0" w:leftChars="0" w:firstLine="0" w:firstLineChars="0"/>
        <w:jc w:val="center"/>
        <w:rPr>
          <w:rFonts w:hint="default"/>
          <w:lang w:val="en-US"/>
        </w:rPr>
      </w:pPr>
      <w:r>
        <w:rPr>
          <w:rFonts w:hint="eastAsia" w:ascii="楷体_GB2312" w:eastAsia="楷体_GB2312"/>
          <w:sz w:val="28"/>
          <w:lang w:val="en-US" w:eastAsia="zh-CN"/>
        </w:rPr>
        <w:t>中国移动通信集团湖北有限公司东湖智库</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重点·关注</w:t>
      </w:r>
      <w:bookmarkStart w:id="1" w:name="OLE_LINK24"/>
    </w:p>
    <w:bookmarkEnd w:id="1"/>
    <w:p>
      <w:pPr>
        <w:snapToGrid w:val="0"/>
        <w:spacing w:line="240" w:lineRule="auto"/>
        <w:ind w:left="0" w:leftChars="0" w:firstLine="464" w:firstLineChars="145"/>
        <w:jc w:val="center"/>
        <w:rPr>
          <w:rFonts w:hint="eastAsia" w:ascii="Times New Roman" w:hAnsi="Times New Roman" w:eastAsia="宋体"/>
        </w:rPr>
      </w:pPr>
    </w:p>
    <w:p>
      <w:pPr>
        <w:snapToGrid w:val="0"/>
        <w:spacing w:line="240" w:lineRule="auto"/>
        <w:ind w:left="0" w:leftChars="0" w:firstLine="464" w:firstLineChars="145"/>
        <w:jc w:val="center"/>
        <w:rPr>
          <w:rFonts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pStyle w:val="5"/>
        <w:keepNext w:val="0"/>
        <w:keepLines w:val="0"/>
        <w:pageBreakBefore w:val="0"/>
        <w:widowControl/>
        <w:kinsoku/>
        <w:wordWrap/>
        <w:overflowPunct/>
        <w:topLinePunct w:val="0"/>
        <w:autoSpaceDE/>
        <w:autoSpaceDN/>
        <w:bidi w:val="0"/>
        <w:adjustRightInd/>
        <w:snapToGrid/>
        <w:spacing w:before="625" w:beforeLines="200"/>
        <w:ind w:left="0" w:leftChars="0" w:firstLine="0" w:firstLineChars="0"/>
        <w:jc w:val="left"/>
        <w:textAlignment w:val="auto"/>
      </w:pPr>
      <w:bookmarkStart w:id="2" w:name="_Toc5270"/>
      <w:r>
        <w:rPr>
          <w:rFonts w:hint="eastAsia"/>
        </w:rPr>
        <w:t>2025年中央经济工作会议，定调明年经济工作</w:t>
      </w:r>
      <w:bookmarkEnd w:id="2"/>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2025年中央经济工作会议近日召开，为明年经济工作明确总体方向和重点任务。会议围绕宏观经济运行、产业升级、民生保障等关键领域作出部署，强调统筹发展与安全，推动经济实现质的有效提升和量的合理增长。会议提出要精准实施宏观调控，保持政策连续性稳定性，着力扩大内需、稳定外需，促进形成强大国内市场；深化供给侧结构性改革，加快制造业高端化、智能化、绿色化转型，培育战略性新兴产业和未来产业；持续优化营商环境，激发各类经营主体活力，推动民营经济发展壮大；扎实推进乡村全面振兴和区域协调发展，加强基本民生保障，防范化解重点领域风险，为经济长期健康发展筑牢基础。</w:t>
      </w:r>
    </w:p>
    <w:p>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12</w:t>
      </w:r>
      <w:r>
        <w:rPr>
          <w:rFonts w:hint="eastAsia" w:cs="仿宋_GB2312"/>
          <w:sz w:val="20"/>
          <w:szCs w:val="20"/>
          <w:lang w:bidi="ar"/>
        </w:rPr>
        <w:t>日</w:t>
      </w:r>
    </w:p>
    <w:p>
      <w:pPr>
        <w:pStyle w:val="4"/>
        <w:spacing w:line="360" w:lineRule="auto"/>
        <w:ind w:left="0" w:leftChars="0" w:firstLine="0" w:firstLineChars="0"/>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央视网</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https://finance.cctv.com/2025/12/12/ARTIpXIh9IPj1KW1a35F2V0u251212.shtml</w:t>
      </w:r>
    </w:p>
    <w:p>
      <w:pPr>
        <w:pStyle w:val="26"/>
        <w:widowControl/>
        <w:spacing w:before="0" w:beforeAutospacing="0" w:after="0" w:afterAutospacing="0"/>
        <w:ind w:left="0" w:leftChars="0" w:firstLine="304" w:firstLineChars="145"/>
        <w:jc w:val="both"/>
        <w:rPr>
          <w:rFonts w:ascii="宋体" w:hAnsi="宋体" w:eastAsia="宋体" w:cs="宋体"/>
          <w:i/>
          <w:iCs/>
          <w:color w:val="666666"/>
          <w:sz w:val="21"/>
          <w:szCs w:val="21"/>
          <w:shd w:val="clear" w:color="auto" w:fill="FFFFFF"/>
        </w:rPr>
      </w:pPr>
    </w:p>
    <w:p>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bookmarkStart w:id="3" w:name="_Toc214013977"/>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政策·速递</w:t>
      </w:r>
      <w:bookmarkEnd w:id="3"/>
    </w:p>
    <w:p>
      <w:pPr>
        <w:spacing w:line="240" w:lineRule="auto"/>
        <w:ind w:left="0" w:leftChars="0" w:firstLine="0" w:firstLineChars="0"/>
        <w:jc w:val="center"/>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pPr>
        <w:pStyle w:val="3"/>
        <w:ind w:left="0" w:leftChars="0" w:firstLine="0" w:firstLineChars="0"/>
        <w:jc w:val="center"/>
        <w:rPr>
          <w:rFonts w:ascii="黑体" w:hAnsi="黑体" w:eastAsia="黑体"/>
        </w:rPr>
      </w:pPr>
      <w:bookmarkStart w:id="4" w:name="_Toc214013978"/>
      <w:bookmarkStart w:id="5" w:name="_Toc14620"/>
      <w:r>
        <w:rPr>
          <w:rFonts w:hint="eastAsia" w:ascii="黑体" w:hAnsi="黑体" w:eastAsia="黑体"/>
        </w:rPr>
        <w:t>中央</w:t>
      </w:r>
      <w:bookmarkEnd w:id="4"/>
      <w:bookmarkEnd w:id="5"/>
    </w:p>
    <w:p>
      <w:pPr>
        <w:pStyle w:val="4"/>
        <w:spacing w:line="240" w:lineRule="exact"/>
        <w:ind w:left="0" w:leftChars="0" w:firstLine="290" w:firstLineChars="145"/>
        <w:rPr>
          <w:rFonts w:cs="仿宋_GB2312"/>
          <w:sz w:val="20"/>
          <w:szCs w:val="20"/>
          <w:lang w:bidi="ar"/>
        </w:rPr>
      </w:pPr>
    </w:p>
    <w:p>
      <w:pPr>
        <w:pStyle w:val="5"/>
        <w:keepNext w:val="0"/>
        <w:keepLines w:val="0"/>
        <w:pageBreakBefore w:val="0"/>
        <w:widowControl/>
        <w:numPr>
          <w:ilvl w:val="0"/>
          <w:numId w:val="5"/>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6" w:name="_Toc13728"/>
      <w:bookmarkStart w:id="7" w:name="_Toc214013979"/>
      <w:r>
        <w:rPr>
          <w:rFonts w:hint="eastAsia"/>
          <w:lang w:eastAsia="zh-CN"/>
        </w:rPr>
        <w:t>《关于加强商务和金融协同更大力度提振消费的通知》</w:t>
      </w:r>
      <w:bookmarkEnd w:id="6"/>
    </w:p>
    <w:p>
      <w:pPr>
        <w:rPr>
          <w:rFonts w:hint="eastAsia"/>
          <w:lang w:eastAsia="zh-CN"/>
        </w:rPr>
      </w:pPr>
      <w:r>
        <w:rPr>
          <w:rFonts w:hint="eastAsia"/>
          <w:lang w:eastAsia="zh-CN"/>
        </w:rPr>
        <w:t>近日，为贯彻落实中央经济工作会议关于引导金融机构加力支持扩大内需的决策部署，商务部、中国人民银行、金融监管总局联合印发《关于加强商务和金融协同更大力度提振消费的通知》，从消费重点领域金融支持、多元化消费场景创新及政金企对接合作等方面提出具体举措。</w:t>
      </w:r>
    </w:p>
    <w:p>
      <w:pPr>
        <w:rPr>
          <w:rFonts w:hint="eastAsia"/>
          <w:lang w:eastAsia="zh-CN"/>
        </w:rPr>
      </w:pPr>
      <w:r>
        <w:rPr>
          <w:rFonts w:hint="eastAsia"/>
          <w:lang w:eastAsia="zh-CN"/>
        </w:rPr>
        <w:t>《通知》提出3方面11条政策措施。一是深化商务和金融系统协作。推动地方有关部门加强沟通交流和分工协作，鼓励有条件的地方健全沟通合作机制，强化财政资金、信贷资金与社会资本等合力，细化落实具体实施细则，共同打好政策“组合拳”。二是加大消费重点领域金融支持。鼓励金融机构围绕升级商品消费、扩大服务消费、培育新型消费、创新多元化消费场景、助力消费帮扶五大重点领域，优化金融产品服务，推动供需两端强化对接，提高对商品和服务消费的适配性，因地制宜推动新型消费发展，支持消费新业态新模式新场景建设，落实落细各项金融支持举措。三是扩大政金企对接合作。鼓励发挥“政金企”扩消费合力，开展多层次、多渠道、多样化的促消费活动和信息共享，做好精准对接服务，用足用好相关政策红利，更好满足相关经营主体和消费者需求。</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14</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商务部、中国人民银行、金融监管总局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https://www.gov.cn/zhengce/zhengceku/202512/content_7051167.htm</w:t>
      </w:r>
    </w:p>
    <w:p>
      <w:pPr>
        <w:pStyle w:val="5"/>
        <w:bidi w:val="0"/>
        <w:rPr>
          <w:rFonts w:hint="eastAsia"/>
        </w:rPr>
      </w:pPr>
      <w:bookmarkStart w:id="8" w:name="_Toc20993"/>
      <w:r>
        <w:rPr>
          <w:rFonts w:hint="eastAsia"/>
          <w:lang w:eastAsia="zh-CN"/>
        </w:rPr>
        <w:t>《促进服务外包高质量发展行动计划》</w:t>
      </w:r>
      <w:bookmarkEnd w:id="8"/>
    </w:p>
    <w:p>
      <w:pPr>
        <w:rPr>
          <w:rFonts w:hint="eastAsia"/>
          <w:lang w:eastAsia="zh-CN"/>
        </w:rPr>
      </w:pPr>
      <w:r>
        <w:rPr>
          <w:rFonts w:hint="eastAsia"/>
          <w:lang w:eastAsia="zh-CN"/>
        </w:rPr>
        <w:t>2025年12月</w:t>
      </w:r>
      <w:r>
        <w:rPr>
          <w:rFonts w:hint="eastAsia"/>
          <w:lang w:val="en-US" w:eastAsia="zh-CN"/>
        </w:rPr>
        <w:t>15日</w:t>
      </w:r>
      <w:r>
        <w:rPr>
          <w:rFonts w:hint="eastAsia"/>
          <w:lang w:eastAsia="zh-CN"/>
        </w:rPr>
        <w:t>，商务部等6部门联合印发《促进服务外包高质量发展行动计划》，行动计划提出，到2030年，培育一批具有国际竞争力的服务外包龙头企业，建设一批创新能力强、特色优势产业明显的服务外包集聚区，服务外包数字化、智能化、绿色化、融合化发展水平进一步提升，吸纳就业人数显著增长。服务外包成为创新提升服务贸易、创新发展数字贸易的重要组成部分。</w:t>
      </w:r>
    </w:p>
    <w:p>
      <w:pPr>
        <w:rPr>
          <w:rFonts w:hint="eastAsia"/>
          <w:lang w:eastAsia="zh-CN"/>
        </w:rPr>
      </w:pPr>
      <w:r>
        <w:rPr>
          <w:rFonts w:hint="eastAsia"/>
          <w:lang w:eastAsia="zh-CN"/>
        </w:rPr>
        <w:t>围绕实施平台载体提升行动、实施创新引领行动、实施主体培育行动、实施市场开拓行动、实施行业规范发展行动、实施人才培养行动等6方面重点任务，该行动计划提出了一系列具体措施。其中，创新引领方面，支持有条件的地方建立国际认可的数据安全和隐私保护机制，推动数字经济和实体经济深度融合，建设数字贸易产业集聚区；积极发展国际数据服务业务，探索建立境外数据存储、加工、交易的数据服务产业链；支持符合条件的中西部资源型城市发展云计算、超算、智算、人工智能等相关的服务外包业务等。主体培育方面，明确培育一批具有较强国际竞争力的服务外包领军企业和具有独特竞争优势的中小服务外包企业；指导地方政府利用现有资金渠道支持服务外包发展；支持创建一批国家级服务设计中心等。</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15</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商务部、中央网信办、国家发展改革委、工业和信息化部、财政部、海关总署</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https://www.mofcom.gov.cn/zwgk/zcfb/art/2025/art_2671292e7cb04c6a848c96a223aeb70a.html</w:t>
      </w:r>
    </w:p>
    <w:p>
      <w:pPr>
        <w:pStyle w:val="5"/>
        <w:bidi w:val="0"/>
        <w:rPr>
          <w:rFonts w:hint="eastAsia"/>
        </w:rPr>
      </w:pPr>
      <w:bookmarkStart w:id="9" w:name="_Toc5766"/>
      <w:r>
        <w:rPr>
          <w:rFonts w:hint="eastAsia"/>
          <w:lang w:eastAsia="zh-CN"/>
        </w:rPr>
        <w:t>《关于提升网络交易平台产品和服务质量的指导意见》</w:t>
      </w:r>
      <w:bookmarkEnd w:id="9"/>
    </w:p>
    <w:p>
      <w:pPr>
        <w:rPr>
          <w:rFonts w:hint="eastAsia"/>
          <w:lang w:eastAsia="zh-CN"/>
        </w:rPr>
      </w:pPr>
      <w:r>
        <w:rPr>
          <w:rFonts w:hint="eastAsia"/>
          <w:lang w:eastAsia="zh-CN"/>
        </w:rPr>
        <w:t>近日，市场监管总局、中央网信办等多部门联合印发《关于提升网络交易平台产品和服务质量的指导意见》，推动平台经济从“规模扩张”向“质量提升”转型。</w:t>
      </w:r>
      <w:r>
        <w:rPr>
          <w:rFonts w:hint="eastAsia"/>
          <w:lang w:val="en-US" w:eastAsia="zh-CN"/>
        </w:rPr>
        <w:t>提出目标，力争到2030年，平台产品和服务质量显著提升，重点领域产品质量突出问题得到有效治理，线上服务标准化、规范化程度明显提高，网络交易环境更加优化，形成一批具有国际竞争力的网络交易企业和品牌，消费者满意度大幅提升，推动平台经济创新和健康发展</w:t>
      </w:r>
      <w:r>
        <w:rPr>
          <w:rFonts w:hint="eastAsia"/>
          <w:lang w:eastAsia="zh-CN"/>
        </w:rPr>
        <w:t>。</w:t>
      </w:r>
    </w:p>
    <w:p>
      <w:pPr>
        <w:rPr>
          <w:rFonts w:hint="eastAsia"/>
          <w:lang w:eastAsia="zh-CN"/>
        </w:rPr>
      </w:pPr>
      <w:r>
        <w:rPr>
          <w:rFonts w:hint="eastAsia"/>
          <w:lang w:eastAsia="zh-CN"/>
        </w:rPr>
        <w:t>重点任务包括六方面：一是提升供给质量，推动网售产品线上线下同标同质，完善线上服务标准，运用3D、AR/VR等技术优化体验，培育优质网络经营主体与品牌；二是加强全面质量管理，平台需构建质量管理体系、建立首席质量官制度，平台内经营者要落实全链条质量管控，强化直播电商从业者质量素养；三是治理违法经营行为，严打假冒伪劣、虚假宣传、价格欺诈等乱象；四是强化质量监管，推行“产品数字护照”，运用大数据、人工智能等技术实现智慧监管与跨区域联动监管；五是营造放心消费环境，督促平台“亮照亮证亮规则”，优化售后服务与纠纷处理，设立极速退款、人工服务热线等便民措施；六是提升消费维权便利化，完善在线争议解决机制，开通快速处置通道与“一键举证”功能。</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12</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市场监管总局、中央网信办、工业和信息化部等十部门</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https://www.samr.gov.cn/zw/zfxxgk/fdzdgknr/zlfzs/art/2025/art_ec3ea3678786471ea0d717009ba1c18a.html</w:t>
      </w:r>
    </w:p>
    <w:p>
      <w:pPr>
        <w:pStyle w:val="5"/>
        <w:bidi w:val="0"/>
        <w:rPr>
          <w:rFonts w:hint="eastAsia"/>
        </w:rPr>
      </w:pPr>
      <w:bookmarkStart w:id="10" w:name="_Toc19884"/>
      <w:r>
        <w:rPr>
          <w:rFonts w:hint="eastAsia"/>
          <w:lang w:eastAsia="zh-CN"/>
        </w:rPr>
        <w:t>《煤炭清洁高效利用重点领域标杆水平和基准水平（2025年版）》</w:t>
      </w:r>
      <w:bookmarkEnd w:id="10"/>
    </w:p>
    <w:p>
      <w:pPr>
        <w:rPr>
          <w:rFonts w:hint="eastAsia"/>
          <w:lang w:eastAsia="zh-CN"/>
        </w:rPr>
      </w:pPr>
      <w:r>
        <w:rPr>
          <w:rFonts w:hint="eastAsia"/>
          <w:lang w:eastAsia="zh-CN"/>
        </w:rPr>
        <w:t>为推动煤炭产业向高端化、高附加值转型，国家发展改革委等六部门联合发布《煤炭清洁高效利用重点领域标杆水平和基准水平（2025年版）》。通知明确三方面重点任务：一是拓展重点领域范围，新增燃煤发电供热煤耗、煤制天然气等领域，动态调整标杆与基准水平，强化导向引领；二是分类实施改造升级，新建及有条件的存量项目力争达标杆水平，低于基准水平的存量项目需限期（一般不超过3年）改造或淘汰，同时加强技术研发与推广；三是加大政策支持，通过中央资金、金融信贷、优惠政策等引导社会资本参与，加快转型升级。通知自印发之日起执行，2022年版同时废止，旨在助力构建清洁低碳、安全高效的能源体系。</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19</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国家发展改革委、</w:t>
      </w:r>
      <w:r>
        <w:rPr>
          <w:rFonts w:hint="eastAsia" w:cs="仿宋_GB2312"/>
          <w:sz w:val="20"/>
          <w:szCs w:val="20"/>
          <w:lang w:val="en-US" w:eastAsia="zh-CN" w:bidi="ar"/>
        </w:rPr>
        <w:t>工信部</w:t>
      </w:r>
      <w:r>
        <w:rPr>
          <w:rFonts w:hint="eastAsia" w:cs="仿宋_GB2312"/>
          <w:sz w:val="20"/>
          <w:szCs w:val="20"/>
          <w:lang w:bidi="ar"/>
        </w:rPr>
        <w:t>、生态环境部、住房城乡建设部、市场监管总局、国家能源局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https://wap.miit.gov.cn/xwfb/gxdt/sjdt/art/2025/art_3f172e4ac7ca4c9d909bc8231aa6ba66.html</w:t>
      </w:r>
    </w:p>
    <w:p>
      <w:pPr>
        <w:pStyle w:val="5"/>
        <w:bidi w:val="0"/>
        <w:rPr>
          <w:rFonts w:hint="eastAsia"/>
        </w:rPr>
      </w:pPr>
      <w:bookmarkStart w:id="11" w:name="_Toc25864"/>
      <w:r>
        <w:rPr>
          <w:rFonts w:hint="eastAsia"/>
          <w:lang w:eastAsia="zh-CN"/>
        </w:rPr>
        <w:t>《能源行业数据安全管理办法（试行）》</w:t>
      </w:r>
      <w:bookmarkEnd w:id="11"/>
    </w:p>
    <w:p>
      <w:pPr>
        <w:rPr>
          <w:rFonts w:hint="eastAsia"/>
          <w:lang w:eastAsia="zh-CN"/>
        </w:rPr>
      </w:pPr>
      <w:r>
        <w:rPr>
          <w:rFonts w:hint="eastAsia"/>
          <w:lang w:eastAsia="zh-CN"/>
        </w:rPr>
        <w:t>为落实《中华人民共和国数据安全法》等法律法规，国家能源局制定《能源行业数据安全管理办法（试行）》，自2026年7月1日起施行。《办法》旨在规范能源行业数据处理活动，加强数据安全管理，防范风险，促进数据开发利用，保护合法权益，维护国家安全和发展利益。</w:t>
      </w:r>
    </w:p>
    <w:p>
      <w:pPr>
        <w:rPr>
          <w:rFonts w:hint="eastAsia"/>
          <w:lang w:eastAsia="zh-CN"/>
        </w:rPr>
      </w:pPr>
      <w:r>
        <w:rPr>
          <w:rFonts w:hint="eastAsia"/>
          <w:lang w:eastAsia="zh-CN"/>
        </w:rPr>
        <w:t>《办法》明确能源行业数据按重要性、精度、规模、安全风险等分为一般、重要、核心三级。能源数据处理者对自身数据安全负主体责任，法定代表人或主要负责人为第一责任人。国家能源局负责能源行业数据安全监督管理，省级能源主管部门负责本地区监督管理，能源央企监督管理各级子公司、控股企业数据处理活动。《办法》要求能源数据处理者建立健全数据安全管理制度，明确全生命周期管理要求，定期开展安全培训。存储处理重要数据的信息网络需落实三级及以上网络安全等级保护要求，核心数据相关信息网络按规定落实更高保护要求。重要数据处理者每年至少开展一次风险评估，核心数据处理者可采取优先使用商用密码等加强保护措施。同时，明确数据安全监测预警、应急处置及监督检查相关要求，违反规定将依法处理。</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12</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国家能源局</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https://www.nea.gov.cn/20251212/f8ee9d3f829641cb9cc4f1e9405e794a/c.html</w:t>
      </w:r>
    </w:p>
    <w:p>
      <w:pPr>
        <w:pStyle w:val="5"/>
        <w:bidi w:val="0"/>
        <w:rPr>
          <w:rFonts w:hint="eastAsia"/>
        </w:rPr>
      </w:pPr>
      <w:bookmarkStart w:id="12" w:name="_Toc18361"/>
      <w:r>
        <w:rPr>
          <w:rFonts w:hint="eastAsia"/>
          <w:lang w:eastAsia="zh-CN"/>
        </w:rPr>
        <w:t>《全民阅读促进条例》</w:t>
      </w:r>
      <w:bookmarkEnd w:id="12"/>
    </w:p>
    <w:p>
      <w:pPr>
        <w:rPr>
          <w:rFonts w:hint="eastAsia"/>
          <w:lang w:eastAsia="zh-CN"/>
        </w:rPr>
      </w:pPr>
      <w:r>
        <w:rPr>
          <w:rFonts w:hint="eastAsia"/>
          <w:lang w:eastAsia="zh-CN"/>
        </w:rPr>
        <w:t>《全民阅读促进条例》已由国务院第73次常务会议通过，将于2026年2月1日起施行。条例以习近平新时代中国特色社会主义思想为指导，坚持以人民为中心，构建“党委领导、政府主导、社会力量参与”的全民阅读促进体系。明确每年4月第四周为全民阅读活动周，要求县级以上政府将阅读经费纳入预算，支持优质出版物供给，培育阅读品牌活动。</w:t>
      </w:r>
    </w:p>
    <w:p>
      <w:pPr>
        <w:rPr>
          <w:rFonts w:hint="eastAsia"/>
          <w:lang w:eastAsia="zh-CN"/>
        </w:rPr>
      </w:pPr>
      <w:r>
        <w:rPr>
          <w:rFonts w:hint="eastAsia"/>
          <w:lang w:eastAsia="zh-CN"/>
        </w:rPr>
        <w:t>在推广服务方面，条例鼓励创新阅读载体与技术应用，规范社会力量参与推广活动，强调新闻媒体应营造阅读氛围。规定需科学规划城乡阅读设施，推动公共图书馆、农家书屋等免费开放，并支持实体书店发展与数字阅读服务。针对少年儿童、农村地区、民族地区、阅读障碍者等群体，条例提出专项保障措施，如制定阶梯阅读计划、乡村阅读计划，提供无障碍出版物等。同时，条例明确法律责任，对侵占阅读经费、设施管理失职等行为将依法追责。旨在通过制度保障，形成爱读书、读好书、善读书的社会风尚，助力建设社会主义文化强国。</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16</w:t>
      </w:r>
      <w:r>
        <w:rPr>
          <w:rFonts w:hint="eastAsia" w:cs="仿宋_GB2312"/>
          <w:sz w:val="20"/>
          <w:szCs w:val="20"/>
          <w:lang w:bidi="ar"/>
        </w:rPr>
        <w:t>日</w:t>
      </w:r>
    </w:p>
    <w:p>
      <w:pPr>
        <w:pStyle w:val="4"/>
        <w:spacing w:line="360" w:lineRule="auto"/>
        <w:ind w:left="0" w:leftChars="0" w:firstLine="0" w:firstLineChars="0"/>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spacing w:line="360" w:lineRule="auto"/>
        <w:ind w:left="0" w:leftChars="0" w:firstLine="0" w:firstLineChars="0"/>
        <w:rPr>
          <w:rFonts w:hint="eastAsia"/>
          <w:lang w:eastAsia="zh-CN"/>
        </w:rPr>
      </w:pPr>
      <w:r>
        <w:rPr>
          <w:rFonts w:cs="仿宋_GB2312"/>
          <w:sz w:val="20"/>
          <w:szCs w:val="20"/>
          <w:lang w:bidi="ar"/>
        </w:rPr>
        <w:t>原文链接:</w:t>
      </w:r>
      <w:r>
        <w:rPr>
          <w:rFonts w:hint="eastAsia" w:cs="仿宋_GB2312"/>
          <w:sz w:val="20"/>
          <w:szCs w:val="20"/>
          <w:lang w:bidi="ar"/>
        </w:rPr>
        <w:t>https://www.gov.cn/zhengce/content/202512/content_7051858.htm</w:t>
      </w:r>
    </w:p>
    <w:bookmarkEnd w:id="7"/>
    <w:p>
      <w:pPr>
        <w:ind w:left="0" w:leftChars="0" w:firstLine="464" w:firstLineChars="145"/>
      </w:pPr>
    </w:p>
    <w:p>
      <w:pPr>
        <w:snapToGrid w:val="0"/>
        <w:spacing w:line="240" w:lineRule="auto"/>
        <w:ind w:left="0" w:leftChars="0" w:firstLine="0" w:firstLineChars="0"/>
        <w:jc w:val="center"/>
        <w:rPr>
          <w:rFonts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inline>
        </w:drawing>
      </w:r>
    </w:p>
    <w:p>
      <w:pPr>
        <w:pStyle w:val="3"/>
        <w:ind w:left="0" w:leftChars="0" w:firstLine="0" w:firstLineChars="0"/>
        <w:jc w:val="center"/>
        <w:rPr>
          <w:rFonts w:hint="eastAsia" w:ascii="黑体" w:hAnsi="黑体" w:eastAsia="黑体"/>
        </w:rPr>
      </w:pPr>
      <w:bookmarkStart w:id="13" w:name="_Toc214013984"/>
      <w:bookmarkStart w:id="14" w:name="_Toc18373"/>
      <w:r>
        <w:rPr>
          <w:rFonts w:hint="eastAsia" w:ascii="黑体" w:hAnsi="黑体" w:eastAsia="黑体"/>
        </w:rPr>
        <w:t>湖北省</w:t>
      </w:r>
      <w:bookmarkEnd w:id="13"/>
      <w:bookmarkEnd w:id="14"/>
    </w:p>
    <w:p>
      <w:pPr>
        <w:pStyle w:val="5"/>
        <w:keepNext w:val="0"/>
        <w:keepLines w:val="0"/>
        <w:pageBreakBefore w:val="0"/>
        <w:widowControl/>
        <w:numPr>
          <w:ilvl w:val="0"/>
          <w:numId w:val="6"/>
        </w:numPr>
        <w:kinsoku/>
        <w:wordWrap/>
        <w:overflowPunct/>
        <w:topLinePunct w:val="0"/>
        <w:autoSpaceDE/>
        <w:autoSpaceDN/>
        <w:bidi w:val="0"/>
        <w:adjustRightInd/>
        <w:snapToGrid/>
        <w:spacing w:before="625" w:beforeLines="200"/>
        <w:ind w:left="0" w:leftChars="0" w:firstLine="0" w:firstLineChars="0"/>
        <w:jc w:val="both"/>
        <w:textAlignment w:val="auto"/>
        <w:rPr>
          <w:rFonts w:hint="eastAsia"/>
        </w:rPr>
      </w:pPr>
      <w:bookmarkStart w:id="15" w:name="_Toc10229"/>
      <w:bookmarkStart w:id="16" w:name="_Toc214013985"/>
      <w:r>
        <w:rPr>
          <w:rFonts w:hint="eastAsia"/>
        </w:rPr>
        <w:t>《湖北省人民政府办公厅关于加快推进绿色智能建造产业发展的实施意见》</w:t>
      </w:r>
      <w:bookmarkEnd w:id="15"/>
    </w:p>
    <w:p>
      <w:pPr>
        <w:rPr>
          <w:rFonts w:hint="eastAsia"/>
          <w:lang w:eastAsia="zh-CN"/>
        </w:rPr>
      </w:pPr>
      <w:r>
        <w:rPr>
          <w:rFonts w:hint="eastAsia"/>
          <w:lang w:eastAsia="zh-CN"/>
        </w:rPr>
        <w:t>近日，湖北省政府办公厅印发《关于加快推进绿色智能建造产业发展的实施意见》，为全省建筑业转型发展划定路径。作为湖北重要支柱产业，2024年全省建筑业产值达2.2万亿元，位居全国第4、中部第1。为应对城镇化转型、行业同质化竞争严重、科技赋能不足等问题，巩固先发优势，我省出台该文件，旨在以绿色智能建造赋能创新发展。</w:t>
      </w:r>
    </w:p>
    <w:p>
      <w:pPr>
        <w:rPr>
          <w:rFonts w:hint="eastAsia"/>
          <w:lang w:eastAsia="zh-CN"/>
        </w:rPr>
      </w:pPr>
      <w:r>
        <w:rPr>
          <w:rFonts w:hint="eastAsia"/>
          <w:lang w:eastAsia="zh-CN"/>
        </w:rPr>
        <w:t>《实施意见》以三大理念为总体遵循：强化顶层设计，以数字化、工业化、绿色化为核心路径，重塑行业转型逻辑；坚持系统协同，通过“五链融合”构建产业生态；锚定全国领先，打造智能建造之都。文件从五大方面提出措施：一是提升产业能级，以汉襄宜“金三角”为引领，建设产业园与生产基地，培育全产业链主体，构建产业互联网平台；二是强化产业引导，新立项房建市政工程、政府投资项目、设区城市中心城区房屋建筑工程分别明确采用BIM技术、工程总承包模式、装配式建筑；三是重构建造方式，推进数字勘察设计，推广智能施工装备与智慧运维，建立绿色智慧建筑产品标准认证体系；四是优化产业生态，培育多层次人才队伍，成立产业基金，拓展全流程产业服务链；五是加大支持力度，统筹专项资金，纳入产业优惠政策，打造“湖北建造”公共品牌。《实施意见》的落地将推动湖北建筑业向绿色化、智能化、高端化转型，进一步巩固其全国领先地位，为全省经济社会高质量发展提供重要支撑。</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12</w:t>
      </w:r>
      <w:r>
        <w:rPr>
          <w:rFonts w:hint="eastAsia" w:cs="仿宋_GB2312"/>
          <w:sz w:val="20"/>
          <w:szCs w:val="20"/>
          <w:lang w:bidi="ar"/>
        </w:rPr>
        <w:t>日</w:t>
      </w:r>
    </w:p>
    <w:p>
      <w:pPr>
        <w:pStyle w:val="4"/>
        <w:spacing w:line="360" w:lineRule="auto"/>
        <w:ind w:left="0" w:leftChars="0" w:firstLine="0" w:firstLineChars="0"/>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https://www.hubei.gov.cn/xxgk/hbzcjd/zcjdjgh/202512/t20251205_5828224.shtml</w:t>
      </w:r>
    </w:p>
    <w:bookmarkEnd w:id="16"/>
    <w:p>
      <w:pPr>
        <w:snapToGrid w:val="0"/>
        <w:ind w:left="0" w:leftChars="0" w:firstLine="304" w:firstLineChars="145"/>
        <w:rPr>
          <w:rFonts w:ascii="宋体" w:hAnsi="宋体" w:eastAsia="宋体" w:cs="宋体"/>
          <w:i/>
          <w:iCs/>
          <w:color w:val="666666"/>
          <w:kern w:val="0"/>
          <w:sz w:val="21"/>
          <w:szCs w:val="21"/>
          <w:shd w:val="clear" w:color="auto" w:fill="FFFFFF"/>
          <w:lang w:bidi="ar"/>
        </w:rPr>
      </w:pPr>
    </w:p>
    <w:p>
      <w:pPr>
        <w:pStyle w:val="2"/>
        <w:ind w:left="0" w:leftChars="0" w:firstLine="0" w:firstLineChars="0"/>
        <w:rPr>
          <w:rFonts w:hint="eastAsia" w:ascii="宋体" w:hAnsi="宋体" w:eastAsia="宋体" w:cs="宋体"/>
          <w:i/>
          <w:iCs/>
          <w:color w:val="666666"/>
          <w:kern w:val="0"/>
          <w:sz w:val="36"/>
          <w:szCs w:val="36"/>
          <w:shd w:val="clear" w:color="auto" w:fill="FFFFFF"/>
          <w:lang w:bidi="ar"/>
        </w:rPr>
      </w:pPr>
      <w:bookmarkStart w:id="17" w:name="_Toc214013989"/>
      <w:bookmarkStart w:id="18" w:name="_Toc7255"/>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热点·资讯</w:t>
      </w:r>
      <w:bookmarkEnd w:id="17"/>
      <w:bookmarkEnd w:id="18"/>
    </w:p>
    <w:p>
      <w:pPr>
        <w:ind w:left="0" w:leftChars="0" w:firstLine="464" w:firstLineChars="145"/>
        <w:rPr>
          <w:lang w:bidi="ar"/>
        </w:rPr>
      </w:pPr>
    </w:p>
    <w:p>
      <w:pPr>
        <w:pStyle w:val="5"/>
        <w:numPr>
          <w:ilvl w:val="0"/>
          <w:numId w:val="7"/>
        </w:numPr>
        <w:bidi w:val="0"/>
        <w:rPr>
          <w:rFonts w:hint="eastAsia"/>
        </w:rPr>
      </w:pPr>
      <w:bookmarkStart w:id="19" w:name="_Toc7821"/>
      <w:r>
        <w:rPr>
          <w:rFonts w:hint="eastAsia"/>
        </w:rPr>
        <w:t>工信部许可两款L3级自动驾驶车型产品</w:t>
      </w:r>
      <w:bookmarkEnd w:id="19"/>
    </w:p>
    <w:p>
      <w:pPr>
        <w:rPr>
          <w:rFonts w:hint="eastAsia"/>
          <w:lang w:eastAsia="zh-CN"/>
        </w:rPr>
      </w:pPr>
      <w:r>
        <w:rPr>
          <w:rFonts w:hint="eastAsia"/>
          <w:lang w:eastAsia="zh-CN"/>
        </w:rPr>
        <w:t>12月15日，工业和信息化部发布消息称，已附条件许可两家汽车企业的L3级有条件自动驾驶智能网联汽车产品准入申请。此次获批的两款产品分别为长安牌SC7000AAARBEV型纯电动轿车和极狐牌BJ7001A61NBEV型纯电动轿车。其中，长安车型可在交通拥堵环境下的高速公路和城市快速路单车道内实现自动驾驶，功能开启范围限定于重庆市内环快速路、新内环快速路（高滩岩立交—赖家桥立交）及渝都大道（人和立交—机场立交）等路段；极狐车型则具备高速公路和城市快速路单车道自动驾驶功能，仅限在北京市京台高速（大兴区旧宫新桥—机场北线高速）、机场北线高速（大渠南桥—大兴机场高速）及大兴机场高速（南六环—机场北线高速）等路段使用。</w:t>
      </w:r>
    </w:p>
    <w:p>
      <w:pPr>
        <w:rPr>
          <w:rFonts w:hint="eastAsia"/>
          <w:lang w:eastAsia="zh-CN"/>
        </w:rPr>
      </w:pPr>
      <w:r>
        <w:rPr>
          <w:rFonts w:hint="eastAsia"/>
          <w:lang w:eastAsia="zh-CN"/>
        </w:rPr>
        <w:t>据了解，工业和信息化部会同有关部门依据《关于开展智能网联汽车准入和上路通行试点工作的通知》，制定工作方案、编制指引文件，组织专家团队严格开展初审、择优、测试与安全评估，两家企业均已按要求完成并通过相关测试与评估。下一步，两款车型将分别由重庆长安车联科技有限公司、北京出行汽车服务有限公司在指定区域开展上路通行试点。工信部表示，将联合有关部门及地方主管部门加强车辆运行监测和安全保障，及时总结经验，持续健全智能网联汽车准入管理和标准法规体系。</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15</w:t>
      </w:r>
      <w:r>
        <w:rPr>
          <w:rFonts w:hint="eastAsia" w:cs="仿宋_GB2312"/>
          <w:sz w:val="20"/>
          <w:szCs w:val="20"/>
          <w:lang w:bidi="ar"/>
        </w:rPr>
        <w:t>日</w:t>
      </w:r>
    </w:p>
    <w:p>
      <w:pPr>
        <w:pStyle w:val="4"/>
        <w:spacing w:line="360" w:lineRule="auto"/>
        <w:ind w:left="0" w:leftChars="0" w:firstLine="0" w:firstLineChars="0"/>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工信部</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https://wap.miit.gov.cn/jgsj/zbys/gzdt/art/2025/art_2f4447d835e14daeb6717276ec8bbf88.html</w:t>
      </w:r>
    </w:p>
    <w:p>
      <w:pPr>
        <w:pStyle w:val="5"/>
        <w:numPr>
          <w:ilvl w:val="0"/>
          <w:numId w:val="7"/>
        </w:numPr>
        <w:bidi w:val="0"/>
        <w:rPr>
          <w:rFonts w:hint="eastAsia"/>
        </w:rPr>
      </w:pPr>
      <w:bookmarkStart w:id="20" w:name="_Toc24395"/>
      <w:r>
        <w:rPr>
          <w:rFonts w:hint="eastAsia"/>
          <w:lang w:eastAsia="zh-CN"/>
        </w:rPr>
        <w:t>海南自由贸易港正式启动全岛封关</w:t>
      </w:r>
      <w:bookmarkEnd w:id="20"/>
    </w:p>
    <w:p>
      <w:pPr>
        <w:rPr>
          <w:rFonts w:hint="eastAsia"/>
          <w:lang w:eastAsia="zh-CN"/>
        </w:rPr>
      </w:pPr>
      <w:r>
        <w:rPr>
          <w:rFonts w:hint="eastAsia"/>
          <w:lang w:eastAsia="zh-CN"/>
        </w:rPr>
        <w:t>2025年12月18日，海南自由贸易港正式启动全岛封关运作。此次封关同步实施进口征税商品目录、货物流通税收政策、禁限清单、加工增值内销免关税政策及海关监管办法等一系列配套政策文件。据了解，全岛封关标志着海南自贸港建设进入新阶段，未来将通过持续扩大开放领域、完善政策制度体系，打造引领我国新时代对外开放的重要门户。</w:t>
      </w:r>
    </w:p>
    <w:p>
      <w:pPr>
        <w:rPr>
          <w:rFonts w:hint="eastAsia"/>
          <w:lang w:eastAsia="zh-CN"/>
        </w:rPr>
      </w:pPr>
      <w:r>
        <w:rPr>
          <w:rFonts w:hint="eastAsia"/>
          <w:lang w:eastAsia="zh-CN"/>
        </w:rPr>
        <w:t>海南自贸港全岛封关运作，实施“一线”放开、“二线”管住、岛内自由。“一线”放开后，海南自贸港“零关税”商品税目达到约6600个，比例由21%提高至74%，享惠主体范围也大幅拓宽。有进口需求的企业，12月18日即可通过海南国际贸易“单一窗口”正式上线的“零关税”申报等专属功能板块，自主申报。不仅“零关税”商品大幅增加，加工增值达到30%内销免关税政策，在前期试点基础上也进一步优化，政策享惠门槛明显降低；此外，海南自贸港还在“一线”放宽了对部分进口货物的管理措施。“一线”放开的同时，针对放开的内容，海南自贸港在“二线”实行低干预、高效率的精准监管，确保既“放得开”也“管得住”。多项开放政策汇聚，海南自贸港的国际吸引力不断增强。封关首日，世界500强企业西门子能源就把一家新公司落户在了海南。</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月日</w:t>
      </w:r>
    </w:p>
    <w:p>
      <w:pPr>
        <w:pStyle w:val="4"/>
        <w:spacing w:line="360" w:lineRule="auto"/>
        <w:ind w:left="0" w:leftChars="0" w:firstLine="0" w:firstLineChars="0"/>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央视网</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https://news.cctv.com/2025/12/18/ARTIzUFKLdAGGulYbJgjpwiy251218.shtml</w:t>
      </w:r>
    </w:p>
    <w:p>
      <w:pPr>
        <w:pStyle w:val="5"/>
        <w:numPr>
          <w:ilvl w:val="0"/>
          <w:numId w:val="7"/>
        </w:numPr>
        <w:bidi w:val="0"/>
        <w:rPr>
          <w:rFonts w:hint="eastAsia"/>
        </w:rPr>
      </w:pPr>
      <w:bookmarkStart w:id="21" w:name="_Toc22177"/>
      <w:r>
        <w:rPr>
          <w:rFonts w:hint="eastAsia"/>
        </w:rPr>
        <w:t>王忠林主持召开省委常委会会议</w:t>
      </w:r>
      <w:r>
        <w:rPr>
          <w:rFonts w:hint="eastAsia"/>
          <w:lang w:eastAsia="zh-CN"/>
        </w:rPr>
        <w:t>，</w:t>
      </w:r>
      <w:r>
        <w:rPr>
          <w:rFonts w:hint="eastAsia"/>
        </w:rPr>
        <w:t>深入学习贯彻习近平总书记重要讲话精神</w:t>
      </w:r>
      <w:bookmarkEnd w:id="21"/>
    </w:p>
    <w:p>
      <w:pPr>
        <w:rPr>
          <w:rFonts w:hint="eastAsia"/>
          <w:lang w:eastAsia="zh-CN"/>
        </w:rPr>
      </w:pPr>
      <w:r>
        <w:rPr>
          <w:rFonts w:hint="eastAsia"/>
          <w:lang w:eastAsia="zh-CN"/>
        </w:rPr>
        <w:t>12月12日下午，湖北省委常委会召开会议，省委书记王忠林主持会议，深入学习习近平总书记近期重要讲话精神，研究部署贯彻落实措施，审议中央巡视反馈意见整改落实方案及整改台账等。</w:t>
      </w:r>
    </w:p>
    <w:p>
      <w:pPr>
        <w:rPr>
          <w:rFonts w:hint="eastAsia"/>
          <w:lang w:eastAsia="zh-CN"/>
        </w:rPr>
      </w:pPr>
      <w:r>
        <w:rPr>
          <w:rFonts w:hint="eastAsia"/>
          <w:lang w:eastAsia="zh-CN"/>
        </w:rPr>
        <w:t>会议指出，要认真学习贯彻习近平总书记在12月8日中央政治局会议和党外人士座谈会上的重要讲话精神，统一思想行动，坚定经济工作信心。要咬定目标，坚决完成今年经济社会发展任务；抓住重点，提振消费、扩大投资、推进开放，培育新动能，推动经济质效提升和量的合理增长；用好政策红利，增强改革协同效应；科学谋划明年目标举措，确保党中央部署落实，实现“十五五”良好开局。</w:t>
      </w:r>
    </w:p>
    <w:p>
      <w:pPr>
        <w:rPr>
          <w:rFonts w:hint="eastAsia"/>
          <w:lang w:eastAsia="zh-CN"/>
        </w:rPr>
      </w:pPr>
      <w:r>
        <w:rPr>
          <w:rFonts w:hint="eastAsia"/>
          <w:lang w:eastAsia="zh-CN"/>
        </w:rPr>
        <w:t>会议强调，要深入学习习近平总书记关于巡视工作的重要论述，将中央巡视整改作为重大政治责任、发展机遇、民生举措和作风检验，以整改成效捍卫“两个确立”、做到“两个维护”。要对照方案台账挂图作战，分解任务、落实责任，确保问题彻底整改。坚持求真务实，明确销号标准，确保成效经得起检验。强化系统观念，上下联动、协同发力，举一反三、标本兼治，实现整改问题、完善制度、治理领域的统一。压紧压实责任，加强调度问效，严肃查处整改不力问题，确保高质量完成整改任务。会议还研究了其他事项。</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12</w:t>
      </w:r>
      <w:r>
        <w:rPr>
          <w:rFonts w:hint="eastAsia" w:cs="仿宋_GB2312"/>
          <w:sz w:val="20"/>
          <w:szCs w:val="20"/>
          <w:lang w:bidi="ar"/>
        </w:rPr>
        <w:t>日</w:t>
      </w:r>
    </w:p>
    <w:p>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https://www.hubei.gov.cn/zwgk/hbyw/hbywqb/202512/t20251213_5833355.shtml</w:t>
      </w:r>
    </w:p>
    <w:p>
      <w:pPr>
        <w:pStyle w:val="5"/>
        <w:numPr>
          <w:ilvl w:val="0"/>
          <w:numId w:val="7"/>
        </w:numPr>
        <w:bidi w:val="0"/>
        <w:rPr>
          <w:rFonts w:hint="eastAsia"/>
        </w:rPr>
      </w:pPr>
      <w:bookmarkStart w:id="22" w:name="_Toc21728"/>
      <w:r>
        <w:rPr>
          <w:rFonts w:hint="eastAsia"/>
        </w:rPr>
        <w:t>王忠林主持研究推进世界知名文化旅游目的地建设</w:t>
      </w:r>
      <w:bookmarkEnd w:id="22"/>
    </w:p>
    <w:p>
      <w:pPr>
        <w:rPr>
          <w:rFonts w:hint="eastAsia"/>
          <w:lang w:eastAsia="zh-CN"/>
        </w:rPr>
      </w:pPr>
      <w:r>
        <w:rPr>
          <w:rFonts w:hint="eastAsia"/>
          <w:lang w:eastAsia="zh-CN"/>
        </w:rPr>
        <w:t>12月17日上午，省委书记、省人大常委会主任王忠林主持召开世界知名文化旅游目的地建设推进会。他强调，要深入学习贯彻党的二十届四中全会和习近平总书记考察湖北重要讲话精神，充分发挥湖北历史文化底蕴深厚优势，坚持以文塑旅、以旅彰文，加快提升文化旅游业发展水平，推进世界知名文化旅游目的地建设取得新的更大成效。</w:t>
      </w:r>
    </w:p>
    <w:p>
      <w:pPr>
        <w:rPr>
          <w:rFonts w:hint="eastAsia"/>
          <w:lang w:eastAsia="zh-CN"/>
        </w:rPr>
      </w:pPr>
      <w:r>
        <w:rPr>
          <w:rFonts w:hint="eastAsia"/>
          <w:lang w:val="en-US" w:eastAsia="zh-CN"/>
        </w:rPr>
        <w:t>王忠林强调，要强化问题导向，聚焦景区体系、支撑体系、服务体系建设，积极拓展“文旅+百业”“百业+文旅”，着力打造丰富多彩的旅游业态、快进慢游的交通网络、舒适便利的设施条件，全面加强导游队伍建设，推动文旅产业水平整体提升。要强化项目化推进，以项目建设为载体，做实“神武峡”“赤黄红”两大文旅主轴，加快打造各具特色的精品旅游线路、旅游城市，在高标准项目建设中体现国际视野、荆楚韵味。要强化宣传推介，加强荆楚文化挖掘阐释，持续办好世界武当太极大会、世界华人炎帝故里寻根节等文化活动，推出更多展示湖北、宣传湖北，具有广泛传播效应的文艺作品、全媒体作品，形成文旅产业发展的强大声势阵势。要强化系统观念，统筹好历史文化遗产保护传承和活化利用、旅游开发和生态保护、旅游发展和旅游安全等关系，尊重自然、尊重历史，统筹好现代感和原生态，注重激发市场活力，切实将文化和生态优势转化为发展胜势。要强化组织领导，各级党委和政府主要负责同志要亲自谋划、亲自推动文旅产业发展，各有关部门要协同发力、加大支持，引导广大干部群众牢固树立“人人都是旅游环境”的理念，凝聚加快建设世界知名文化旅游目的地的强大合力。</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18</w:t>
      </w:r>
      <w:r>
        <w:rPr>
          <w:rFonts w:hint="eastAsia" w:cs="仿宋_GB2312"/>
          <w:sz w:val="20"/>
          <w:szCs w:val="20"/>
          <w:lang w:bidi="ar"/>
        </w:rPr>
        <w:t>日</w:t>
      </w:r>
    </w:p>
    <w:p>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https://www.hubei.gov.cn/zwgk/hbyw/hbywqb/202512/t20251218_5836505.shtml</w:t>
      </w:r>
    </w:p>
    <w:p>
      <w:pPr>
        <w:pStyle w:val="5"/>
        <w:numPr>
          <w:ilvl w:val="0"/>
          <w:numId w:val="7"/>
        </w:numPr>
        <w:bidi w:val="0"/>
        <w:rPr>
          <w:rFonts w:hint="eastAsia"/>
        </w:rPr>
      </w:pPr>
      <w:bookmarkStart w:id="23" w:name="_Toc14990"/>
      <w:r>
        <w:rPr>
          <w:rFonts w:hint="eastAsia"/>
        </w:rPr>
        <w:t>王忠林在武汉大学调研时强调</w:t>
      </w:r>
      <w:r>
        <w:rPr>
          <w:rFonts w:hint="eastAsia"/>
          <w:lang w:eastAsia="zh-CN"/>
        </w:rPr>
        <w:t>，</w:t>
      </w:r>
      <w:r>
        <w:rPr>
          <w:rFonts w:hint="eastAsia"/>
        </w:rPr>
        <w:t>着力培养一批既懂科技又懂产业的领军型人才</w:t>
      </w:r>
      <w:bookmarkEnd w:id="23"/>
    </w:p>
    <w:p>
      <w:pPr>
        <w:rPr>
          <w:rFonts w:hint="eastAsia"/>
          <w:lang w:eastAsia="zh-CN"/>
        </w:rPr>
      </w:pPr>
      <w:r>
        <w:rPr>
          <w:rFonts w:hint="eastAsia"/>
          <w:lang w:eastAsia="zh-CN"/>
        </w:rPr>
        <w:t>12月18日，省委书记、省人大常委会主任王忠林到武汉大学集成电路学院、大学生工程训练与创新实践中心调研科教融合、创新创业工作。他强调，要深入学习贯彻党的二十届四中全会和中央经济工作会议精神，持续深化科教融合、产教融合，打造更富活力的创新创业支持体系，促进更多科研成果转化为现实生产力，为服务国家重大战略和地方经济社会发展贡献更大力量。</w:t>
      </w:r>
      <w:r>
        <w:rPr>
          <w:rFonts w:hint="eastAsia"/>
          <w:lang w:val="en-US" w:eastAsia="zh-CN"/>
        </w:rPr>
        <w:t>强调要</w:t>
      </w:r>
      <w:r>
        <w:rPr>
          <w:rFonts w:hint="eastAsia"/>
          <w:lang w:eastAsia="zh-CN"/>
        </w:rPr>
        <w:t>培养一批既懂科技、又懂产业的科技企业家，是促进科技创新和产业创新深度融合、发展壮大新质生产力的必然要求。希望武汉大学科技与产业学院坚持示范引领，发挥新型办学实体优势，用好“科技企业家项目”特色载体，努力探索人才培养新模式；坚持创新驱动，弘扬企业家敢于探索、勇于开拓的精神，促进创新链、产业链、资金链、人才链无缝对接，努力激发“两创”融合发展新动能；坚持双向赋能，完善共建管理运行机制，推动高校与地方发展同频共振，努力打造校地合作新标杆，为湖北加快建设具有全国影响力的科技创新高地、构建体现湖北优势的现代化产业体系作出更大贡献。</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18</w:t>
      </w:r>
      <w:r>
        <w:rPr>
          <w:rFonts w:hint="eastAsia" w:cs="仿宋_GB2312"/>
          <w:sz w:val="20"/>
          <w:szCs w:val="20"/>
          <w:lang w:bidi="ar"/>
        </w:rPr>
        <w:t>日</w:t>
      </w:r>
    </w:p>
    <w:p>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https://www.hubei.gov.cn/zwgk/hbyw/hbywqb/202512/t20251219_5837457.shtml</w:t>
      </w:r>
    </w:p>
    <w:p>
      <w:pPr>
        <w:pStyle w:val="5"/>
        <w:numPr>
          <w:ilvl w:val="0"/>
          <w:numId w:val="6"/>
        </w:numPr>
        <w:bidi w:val="0"/>
        <w:rPr>
          <w:rFonts w:hint="eastAsia"/>
        </w:rPr>
      </w:pPr>
      <w:bookmarkStart w:id="24" w:name="_Toc177"/>
      <w:r>
        <w:rPr>
          <w:rFonts w:hint="eastAsia"/>
        </w:rPr>
        <w:t>李殿勋主持召开省政府2026年经济社会发展谋划会</w:t>
      </w:r>
      <w:bookmarkEnd w:id="24"/>
    </w:p>
    <w:p>
      <w:pPr>
        <w:rPr>
          <w:rFonts w:hint="eastAsia"/>
          <w:lang w:eastAsia="zh-CN"/>
        </w:rPr>
      </w:pPr>
      <w:r>
        <w:rPr>
          <w:rFonts w:hint="eastAsia"/>
          <w:lang w:eastAsia="zh-CN"/>
        </w:rPr>
        <w:t>12月18日，省委副书记、省长李殿勋主持召开省政府2026年经济社会发展谋划会，深入贯彻党的二十届四中全会、中央经济工作会议和习近平总书记考察湖北重要讲话精神，研究谋划明年工作的总体思路与具体措施。</w:t>
      </w:r>
    </w:p>
    <w:p>
      <w:pPr>
        <w:rPr>
          <w:rFonts w:hint="eastAsia"/>
          <w:lang w:eastAsia="zh-CN"/>
        </w:rPr>
      </w:pPr>
      <w:r>
        <w:rPr>
          <w:rFonts w:hint="eastAsia"/>
          <w:lang w:eastAsia="zh-CN"/>
        </w:rPr>
        <w:t>李殿勋强调，要坚持以改革创新为根本动力，努力推动全省经济社会高质量发展，努力创造人民高品质生活。特别是要围绕“激发创新活力、促进创新协同、维护公平竞争”三大核心诉求，大胆探索以增加知识价值为导向的新型收入分配改革，统筹推进教育科技人才体制机制一体改革，大力推动以要素配置为核心的高质量市场化改革，加速重构“内需主导、消费拉动、内生增长”的发展模式和“技术创新与制度创新”双轮驱动的增长动力，更好促进经济转型升级、社会治理变革和民生保障改善。要坚持目标导向与问题导向相结合，坚持一抓到底、久久为功，更大力度统筹推进“稳增长、防风险、保民生和深化改革、扩大开放、促进创新”系列行动，努力推动经济社会发展全面绿色转型，努力促进城乡融合、区域协调与共同富裕，努力塑造更多依靠创新驱动、更多发挥先发优势的引领型发展，为加快建成中部地区崛起的重要战略支点、奋力谱写中国式现代化湖北篇章作出新的更大贡献。</w:t>
      </w:r>
    </w:p>
    <w:p>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18</w:t>
      </w:r>
      <w:r>
        <w:rPr>
          <w:rFonts w:hint="eastAsia" w:cs="仿宋_GB2312"/>
          <w:sz w:val="20"/>
          <w:szCs w:val="20"/>
          <w:lang w:bidi="ar"/>
        </w:rPr>
        <w:t>日</w:t>
      </w:r>
    </w:p>
    <w:p>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val="en-US" w:eastAsia="zh-CN" w:bidi="ar"/>
        </w:rPr>
        <w:t>湖北省人民政府</w:t>
      </w:r>
    </w:p>
    <w:p>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https://www.hubei.gov.cn/zwgk/hbyw/hbywqb/202512/t20251219_5837403.shtml</w:t>
      </w:r>
    </w:p>
    <w:p>
      <w:pPr>
        <w:pStyle w:val="4"/>
        <w:spacing w:line="360" w:lineRule="auto"/>
        <w:ind w:left="0" w:leftChars="0" w:firstLine="0" w:firstLineChars="0"/>
      </w:pPr>
    </w:p>
    <w:sectPr>
      <w:headerReference r:id="rId5" w:type="default"/>
      <w:footerReference r:id="rId6" w:type="default"/>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p>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jc w:val="left"/>
      <w:rPr>
        <w:rFonts w:eastAsia="宋体"/>
        <w:i/>
        <w:iCs/>
      </w:rPr>
    </w:pPr>
    <w: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i w:val="0"/>
        <w:iCs w:val="0"/>
      </w:rPr>
      <w:t>中国移动通信集团湖北有限公司东湖智库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765C43"/>
    <w:rsid w:val="050F64AF"/>
    <w:rsid w:val="06601CDF"/>
    <w:rsid w:val="067D27D9"/>
    <w:rsid w:val="078219B5"/>
    <w:rsid w:val="07E70D1A"/>
    <w:rsid w:val="0826583C"/>
    <w:rsid w:val="08683CDA"/>
    <w:rsid w:val="08753AC5"/>
    <w:rsid w:val="087607E6"/>
    <w:rsid w:val="08AD661F"/>
    <w:rsid w:val="09405381"/>
    <w:rsid w:val="0A434350"/>
    <w:rsid w:val="0AE20526"/>
    <w:rsid w:val="0B841E7A"/>
    <w:rsid w:val="0B922B80"/>
    <w:rsid w:val="0BDC6B84"/>
    <w:rsid w:val="0C2935A5"/>
    <w:rsid w:val="0C4F07D9"/>
    <w:rsid w:val="0CA37841"/>
    <w:rsid w:val="0E83792A"/>
    <w:rsid w:val="0E886CBA"/>
    <w:rsid w:val="0ED95576"/>
    <w:rsid w:val="0FBC07B5"/>
    <w:rsid w:val="0FFB311B"/>
    <w:rsid w:val="10440482"/>
    <w:rsid w:val="10FC2F79"/>
    <w:rsid w:val="111057C3"/>
    <w:rsid w:val="11823249"/>
    <w:rsid w:val="120B217A"/>
    <w:rsid w:val="12134735"/>
    <w:rsid w:val="123B7AAA"/>
    <w:rsid w:val="125F2DFF"/>
    <w:rsid w:val="13874EC8"/>
    <w:rsid w:val="142C6563"/>
    <w:rsid w:val="14C64FA3"/>
    <w:rsid w:val="15B11221"/>
    <w:rsid w:val="15C7773F"/>
    <w:rsid w:val="161A531E"/>
    <w:rsid w:val="16FC4447"/>
    <w:rsid w:val="17680B0C"/>
    <w:rsid w:val="17B83DC4"/>
    <w:rsid w:val="17D14750"/>
    <w:rsid w:val="17FD7FE9"/>
    <w:rsid w:val="190E24E6"/>
    <w:rsid w:val="1918096B"/>
    <w:rsid w:val="194C3CCF"/>
    <w:rsid w:val="1A0F674F"/>
    <w:rsid w:val="1A183BCF"/>
    <w:rsid w:val="1A845EF2"/>
    <w:rsid w:val="1A9D4E5B"/>
    <w:rsid w:val="1AF417A3"/>
    <w:rsid w:val="1B59234B"/>
    <w:rsid w:val="1B7D415C"/>
    <w:rsid w:val="1BF12377"/>
    <w:rsid w:val="1CF57803"/>
    <w:rsid w:val="1D271D7A"/>
    <w:rsid w:val="1D281EAC"/>
    <w:rsid w:val="1D37585D"/>
    <w:rsid w:val="1D3F07C9"/>
    <w:rsid w:val="1DCA2FAB"/>
    <w:rsid w:val="1DF069A8"/>
    <w:rsid w:val="1E14059F"/>
    <w:rsid w:val="1EE44AF0"/>
    <w:rsid w:val="1F3E7A96"/>
    <w:rsid w:val="1F6B1967"/>
    <w:rsid w:val="20041B75"/>
    <w:rsid w:val="20252704"/>
    <w:rsid w:val="20E51F26"/>
    <w:rsid w:val="2103535F"/>
    <w:rsid w:val="21A9142B"/>
    <w:rsid w:val="21E6176B"/>
    <w:rsid w:val="231A50A3"/>
    <w:rsid w:val="23C0562A"/>
    <w:rsid w:val="23E85699"/>
    <w:rsid w:val="243A4E0B"/>
    <w:rsid w:val="24AC6718"/>
    <w:rsid w:val="25DB28FA"/>
    <w:rsid w:val="266876DA"/>
    <w:rsid w:val="2776664F"/>
    <w:rsid w:val="28ED036A"/>
    <w:rsid w:val="290A5904"/>
    <w:rsid w:val="29355D18"/>
    <w:rsid w:val="29CD2F7F"/>
    <w:rsid w:val="2A1B05EA"/>
    <w:rsid w:val="2A6508F8"/>
    <w:rsid w:val="2B8A4E7D"/>
    <w:rsid w:val="2BCF3A5F"/>
    <w:rsid w:val="2BDC1404"/>
    <w:rsid w:val="2BE713BB"/>
    <w:rsid w:val="2C8A4A20"/>
    <w:rsid w:val="2CC5180B"/>
    <w:rsid w:val="2D6708C5"/>
    <w:rsid w:val="2D856BEC"/>
    <w:rsid w:val="2DAD387D"/>
    <w:rsid w:val="2DE44242"/>
    <w:rsid w:val="2EB04A17"/>
    <w:rsid w:val="2F0A3A24"/>
    <w:rsid w:val="2F3E7A4E"/>
    <w:rsid w:val="302C1733"/>
    <w:rsid w:val="30656B3C"/>
    <w:rsid w:val="310247BE"/>
    <w:rsid w:val="310835FF"/>
    <w:rsid w:val="31A1082A"/>
    <w:rsid w:val="32324E77"/>
    <w:rsid w:val="32CA1293"/>
    <w:rsid w:val="33281481"/>
    <w:rsid w:val="33595EFA"/>
    <w:rsid w:val="3363215A"/>
    <w:rsid w:val="34076004"/>
    <w:rsid w:val="342E49F7"/>
    <w:rsid w:val="34935BC5"/>
    <w:rsid w:val="35725E7F"/>
    <w:rsid w:val="3619453F"/>
    <w:rsid w:val="36D42F37"/>
    <w:rsid w:val="36D746DA"/>
    <w:rsid w:val="37030542"/>
    <w:rsid w:val="38B764DA"/>
    <w:rsid w:val="397D4DF2"/>
    <w:rsid w:val="39B44138"/>
    <w:rsid w:val="39C678D5"/>
    <w:rsid w:val="3A1351F8"/>
    <w:rsid w:val="3A81270E"/>
    <w:rsid w:val="3B8D3677"/>
    <w:rsid w:val="3BF770DE"/>
    <w:rsid w:val="3CA96714"/>
    <w:rsid w:val="3D1F0B21"/>
    <w:rsid w:val="3D485319"/>
    <w:rsid w:val="3D4D7047"/>
    <w:rsid w:val="3D8808B9"/>
    <w:rsid w:val="3DDD468F"/>
    <w:rsid w:val="3E410903"/>
    <w:rsid w:val="3EA04765"/>
    <w:rsid w:val="3ECA64CC"/>
    <w:rsid w:val="3F5274EE"/>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623525F"/>
    <w:rsid w:val="46300235"/>
    <w:rsid w:val="46B40180"/>
    <w:rsid w:val="473A22D0"/>
    <w:rsid w:val="478D1C10"/>
    <w:rsid w:val="47BD1E82"/>
    <w:rsid w:val="47FE35A2"/>
    <w:rsid w:val="48151A5B"/>
    <w:rsid w:val="487A37DC"/>
    <w:rsid w:val="49263474"/>
    <w:rsid w:val="49303C95"/>
    <w:rsid w:val="499A7B7E"/>
    <w:rsid w:val="4A0E7992"/>
    <w:rsid w:val="4A880CE9"/>
    <w:rsid w:val="4AC544BB"/>
    <w:rsid w:val="4B226DD3"/>
    <w:rsid w:val="4BCB5F67"/>
    <w:rsid w:val="4C14267B"/>
    <w:rsid w:val="4CB41768"/>
    <w:rsid w:val="4CE04F75"/>
    <w:rsid w:val="4D341C91"/>
    <w:rsid w:val="4F1D0E77"/>
    <w:rsid w:val="4F2418C1"/>
    <w:rsid w:val="4F252466"/>
    <w:rsid w:val="50804CA1"/>
    <w:rsid w:val="50D4623C"/>
    <w:rsid w:val="50DC7480"/>
    <w:rsid w:val="51097994"/>
    <w:rsid w:val="51CD567E"/>
    <w:rsid w:val="51DD2A0A"/>
    <w:rsid w:val="51FA302C"/>
    <w:rsid w:val="521E7BC5"/>
    <w:rsid w:val="523C0389"/>
    <w:rsid w:val="52B24605"/>
    <w:rsid w:val="52C92E63"/>
    <w:rsid w:val="536313E2"/>
    <w:rsid w:val="54B8530B"/>
    <w:rsid w:val="550F374B"/>
    <w:rsid w:val="55EB0ED2"/>
    <w:rsid w:val="56167F05"/>
    <w:rsid w:val="564A639B"/>
    <w:rsid w:val="565B7F3A"/>
    <w:rsid w:val="57146818"/>
    <w:rsid w:val="572465F5"/>
    <w:rsid w:val="574959B6"/>
    <w:rsid w:val="57592C33"/>
    <w:rsid w:val="57907A19"/>
    <w:rsid w:val="57B85C78"/>
    <w:rsid w:val="57CB3FEF"/>
    <w:rsid w:val="58572298"/>
    <w:rsid w:val="58A91308"/>
    <w:rsid w:val="59B51A6B"/>
    <w:rsid w:val="59D30900"/>
    <w:rsid w:val="5A2537F3"/>
    <w:rsid w:val="5A316BBC"/>
    <w:rsid w:val="5AFA5576"/>
    <w:rsid w:val="5B310B71"/>
    <w:rsid w:val="5B49484F"/>
    <w:rsid w:val="5C89392A"/>
    <w:rsid w:val="5C915CF5"/>
    <w:rsid w:val="5CAA6A49"/>
    <w:rsid w:val="5D0F67F8"/>
    <w:rsid w:val="5D78571C"/>
    <w:rsid w:val="5DFF1BDB"/>
    <w:rsid w:val="5E572837"/>
    <w:rsid w:val="5EB236E5"/>
    <w:rsid w:val="5EF27BD4"/>
    <w:rsid w:val="5F5C5326"/>
    <w:rsid w:val="5FAB5C16"/>
    <w:rsid w:val="5FF2703A"/>
    <w:rsid w:val="607C09C6"/>
    <w:rsid w:val="61314591"/>
    <w:rsid w:val="61506B0B"/>
    <w:rsid w:val="625D6F2E"/>
    <w:rsid w:val="62B46504"/>
    <w:rsid w:val="639F01FD"/>
    <w:rsid w:val="63FA5093"/>
    <w:rsid w:val="643D1AEB"/>
    <w:rsid w:val="64B877C8"/>
    <w:rsid w:val="65B7249A"/>
    <w:rsid w:val="65C47781"/>
    <w:rsid w:val="66772F7A"/>
    <w:rsid w:val="66ED547A"/>
    <w:rsid w:val="67732727"/>
    <w:rsid w:val="67D5215D"/>
    <w:rsid w:val="68364FD5"/>
    <w:rsid w:val="693D1977"/>
    <w:rsid w:val="694E21FD"/>
    <w:rsid w:val="69F56662"/>
    <w:rsid w:val="6A437E8F"/>
    <w:rsid w:val="6A6065EE"/>
    <w:rsid w:val="6AC03372"/>
    <w:rsid w:val="6AD97FDD"/>
    <w:rsid w:val="6B947D69"/>
    <w:rsid w:val="6BBD0307"/>
    <w:rsid w:val="6BE35E8E"/>
    <w:rsid w:val="6CE0643D"/>
    <w:rsid w:val="6D2B042A"/>
    <w:rsid w:val="6D317DF2"/>
    <w:rsid w:val="6DD715C1"/>
    <w:rsid w:val="6E401E74"/>
    <w:rsid w:val="6E426C72"/>
    <w:rsid w:val="701E1630"/>
    <w:rsid w:val="713B6CCF"/>
    <w:rsid w:val="71CD4FC5"/>
    <w:rsid w:val="72902B04"/>
    <w:rsid w:val="72ED429E"/>
    <w:rsid w:val="730D7F28"/>
    <w:rsid w:val="731C016A"/>
    <w:rsid w:val="733F4FD0"/>
    <w:rsid w:val="7542549A"/>
    <w:rsid w:val="75C254B8"/>
    <w:rsid w:val="7709372E"/>
    <w:rsid w:val="798B7A7B"/>
    <w:rsid w:val="799D3B64"/>
    <w:rsid w:val="7A39200E"/>
    <w:rsid w:val="7D5B67C5"/>
    <w:rsid w:val="7D6A07B6"/>
    <w:rsid w:val="7D8B028D"/>
    <w:rsid w:val="7D9A2EA0"/>
    <w:rsid w:val="7DCC4BF0"/>
    <w:rsid w:val="7E3E551B"/>
    <w:rsid w:val="7F025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420"/>
      <w:jc w:val="left"/>
    </w:pPr>
    <w:rPr>
      <w:i/>
      <w:iCs/>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99"/>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16</Pages>
  <Words>29</Words>
  <Characters>39</Characters>
  <Lines>55</Lines>
  <Paragraphs>15</Paragraphs>
  <TotalTime>0</TotalTime>
  <ScaleCrop>false</ScaleCrop>
  <LinksUpToDate>false</LinksUpToDate>
  <CharactersWithSpaces>42</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Linn</cp:lastModifiedBy>
  <cp:lastPrinted>2001-08-11T02:42:00Z</cp:lastPrinted>
  <dcterms:modified xsi:type="dcterms:W3CDTF">2025-12-19T07:13:59Z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31FCAFDD533742C78449E23413B536A3_13</vt:lpwstr>
  </property>
  <property fmtid="{D5CDD505-2E9C-101B-9397-08002B2CF9AE}" pid="4" name="KSOTemplateDocerSaveRecord">
    <vt:lpwstr>eyJoZGlkIjoiYTAyYWMzNzNkNTc2NDA5ZjJhMjk3NmNmMDFlMDMyNGIiLCJ1c2VySWQiOiIzNTY3OTY0OTMifQ==</vt:lpwstr>
  </property>
</Properties>
</file>