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BC147">
      <w:pPr>
        <w:pStyle w:val="21"/>
        <w:snapToGrid w:val="0"/>
        <w:spacing w:before="500"/>
        <w:ind w:left="0" w:leftChars="0" w:firstLine="640" w:firstLineChars="145"/>
        <w:rPr>
          <w:sz w:val="44"/>
        </w:rPr>
      </w:pPr>
    </w:p>
    <w:p w14:paraId="61230950">
      <w:pPr>
        <w:pStyle w:val="21"/>
        <w:snapToGrid w:val="0"/>
        <w:spacing w:before="500"/>
        <w:ind w:left="0" w:leftChars="0" w:firstLine="640" w:firstLineChars="145"/>
        <w:rPr>
          <w:sz w:val="44"/>
        </w:rPr>
      </w:pPr>
    </w:p>
    <w:p w14:paraId="531FE702">
      <w:pPr>
        <w:pStyle w:val="21"/>
        <w:snapToGrid w:val="0"/>
        <w:spacing w:before="500"/>
        <w:ind w:left="0" w:leftChars="0" w:firstLine="640" w:firstLineChars="145"/>
        <w:jc w:val="both"/>
        <w:rPr>
          <w:sz w:val="44"/>
        </w:rPr>
      </w:pPr>
    </w:p>
    <w:p w14:paraId="0CF9F03C">
      <w:pPr>
        <w:pStyle w:val="21"/>
        <w:snapToGrid w:val="0"/>
        <w:spacing w:before="500" w:line="240" w:lineRule="auto"/>
        <w:ind w:left="0" w:leftChars="0" w:firstLine="0" w:firstLineChars="0"/>
        <w:jc w:val="center"/>
        <w:rPr>
          <w:sz w:val="72"/>
          <w:szCs w:val="52"/>
        </w:rPr>
      </w:pPr>
      <w:r>
        <w:rPr>
          <w:rFonts w:hint="eastAsia"/>
          <w:sz w:val="72"/>
          <w:szCs w:val="52"/>
        </w:rPr>
        <w:t>一周资讯速递</w:t>
      </w:r>
    </w:p>
    <w:p w14:paraId="76058253">
      <w:pPr>
        <w:pStyle w:val="21"/>
        <w:snapToGrid w:val="0"/>
        <w:spacing w:before="500" w:line="240" w:lineRule="auto"/>
        <w:ind w:left="0" w:leftChars="0" w:firstLine="0" w:firstLineChars="0"/>
        <w:rPr>
          <w:sz w:val="44"/>
        </w:rPr>
      </w:pPr>
      <w:r>
        <w:rPr>
          <w:rFonts w:hint="eastAsia"/>
          <w:sz w:val="44"/>
        </w:rPr>
        <w:t>（1</w:t>
      </w:r>
      <w:r>
        <w:rPr>
          <w:rFonts w:hint="eastAsia"/>
          <w:sz w:val="44"/>
          <w:lang w:val="en-US" w:eastAsia="zh-CN"/>
        </w:rPr>
        <w:t>2</w:t>
      </w:r>
      <w:r>
        <w:rPr>
          <w:rFonts w:hint="eastAsia"/>
          <w:sz w:val="44"/>
        </w:rPr>
        <w:t>.</w:t>
      </w:r>
      <w:r>
        <w:rPr>
          <w:rFonts w:hint="eastAsia"/>
          <w:sz w:val="44"/>
          <w:lang w:val="en-US" w:eastAsia="zh-CN"/>
        </w:rPr>
        <w:t>19</w:t>
      </w:r>
      <w:r>
        <w:rPr>
          <w:rFonts w:hint="eastAsia"/>
          <w:sz w:val="44"/>
        </w:rPr>
        <w:t>-1</w:t>
      </w:r>
      <w:r>
        <w:rPr>
          <w:rFonts w:hint="eastAsia"/>
          <w:sz w:val="44"/>
          <w:lang w:val="en-US" w:eastAsia="zh-CN"/>
        </w:rPr>
        <w:t>2</w:t>
      </w:r>
      <w:r>
        <w:rPr>
          <w:rFonts w:hint="eastAsia"/>
          <w:sz w:val="44"/>
        </w:rPr>
        <w:t>.</w:t>
      </w:r>
      <w:r>
        <w:rPr>
          <w:rFonts w:hint="eastAsia"/>
          <w:sz w:val="44"/>
          <w:lang w:val="en-US" w:eastAsia="zh-CN"/>
        </w:rPr>
        <w:t>26</w:t>
      </w:r>
      <w:r>
        <w:rPr>
          <w:rFonts w:hint="eastAsia"/>
          <w:sz w:val="44"/>
        </w:rPr>
        <w:t>）</w:t>
      </w:r>
    </w:p>
    <w:p w14:paraId="730C2F2E">
      <w:pPr>
        <w:pStyle w:val="21"/>
        <w:snapToGrid w:val="0"/>
        <w:spacing w:before="500" w:line="240" w:lineRule="auto"/>
        <w:ind w:left="0" w:leftChars="0" w:firstLine="0" w:firstLineChars="0"/>
        <w:jc w:val="center"/>
        <w:rPr>
          <w:sz w:val="28"/>
          <w:szCs w:val="21"/>
        </w:rPr>
      </w:pPr>
      <w:r>
        <w:rPr>
          <w:rFonts w:hint="eastAsia"/>
          <w:sz w:val="28"/>
          <w:szCs w:val="21"/>
        </w:rPr>
        <w:t>中国移动通信集团湖北有限公司 东湖智库</w:t>
      </w:r>
    </w:p>
    <w:p w14:paraId="2616C638">
      <w:pPr>
        <w:pStyle w:val="21"/>
        <w:snapToGrid w:val="0"/>
        <w:spacing w:before="500" w:line="240" w:lineRule="auto"/>
        <w:ind w:left="0" w:leftChars="0" w:firstLine="640" w:firstLineChars="145"/>
        <w:rPr>
          <w:sz w:val="44"/>
        </w:rPr>
      </w:pPr>
      <w:r>
        <w:rPr>
          <w:rFonts w:hint="eastAsia"/>
          <w:sz w:val="44"/>
        </w:rPr>
        <w:br w:type="page"/>
      </w:r>
    </w:p>
    <w:p w14:paraId="09072FCA">
      <w:pPr>
        <w:pStyle w:val="4"/>
        <w:ind w:left="0" w:leftChars="0" w:firstLine="261" w:firstLineChars="145"/>
      </w:pPr>
    </w:p>
    <w:sdt>
      <w:sdtPr>
        <w:rPr>
          <w:rFonts w:hint="eastAsia" w:ascii="黑体" w:hAnsi="黑体" w:eastAsia="黑体" w:cs="黑体"/>
          <w:color w:val="auto"/>
          <w:kern w:val="2"/>
          <w:sz w:val="32"/>
          <w:szCs w:val="32"/>
          <w:lang w:val="zh-CN"/>
        </w:rPr>
        <w:id w:val="-1919944586"/>
        <w:docPartObj>
          <w:docPartGallery w:val="Table of Contents"/>
          <w:docPartUnique/>
        </w:docPartObj>
      </w:sdtPr>
      <w:sdtEndPr>
        <w:rPr>
          <w:rFonts w:hint="eastAsia" w:ascii="黑体" w:hAnsi="黑体" w:eastAsia="黑体" w:cs="黑体"/>
          <w:i w:val="0"/>
          <w:iCs w:val="0"/>
          <w:color w:val="auto"/>
          <w:kern w:val="2"/>
          <w:sz w:val="24"/>
          <w:szCs w:val="24"/>
          <w:lang w:val="zh-CN"/>
        </w:rPr>
      </w:sdtEndPr>
      <w:sdtContent>
        <w:p w14:paraId="4CAF9028">
          <w:pPr>
            <w:pStyle w:val="44"/>
            <w:spacing w:line="360" w:lineRule="exact"/>
            <w:ind w:left="0" w:leftChars="0" w:firstLine="464" w:firstLineChars="145"/>
            <w:jc w:val="center"/>
            <w:rPr>
              <w:rFonts w:hint="eastAsia" w:ascii="黑体" w:hAnsi="黑体" w:eastAsia="黑体" w:cs="黑体"/>
              <w:color w:val="auto"/>
              <w:sz w:val="32"/>
              <w:szCs w:val="32"/>
            </w:rPr>
          </w:pPr>
          <w:r>
            <w:rPr>
              <w:rFonts w:hint="eastAsia" w:ascii="黑体" w:hAnsi="黑体" w:eastAsia="黑体" w:cs="黑体"/>
              <w:color w:val="auto"/>
              <w:sz w:val="32"/>
              <w:szCs w:val="32"/>
              <w:lang w:val="zh-CN"/>
            </w:rPr>
            <w:t>目</w:t>
          </w:r>
          <w:r>
            <w:rPr>
              <w:rFonts w:hint="eastAsia" w:ascii="黑体" w:hAnsi="黑体" w:eastAsia="黑体" w:cs="黑体"/>
              <w:color w:val="auto"/>
              <w:sz w:val="32"/>
              <w:szCs w:val="32"/>
              <w:lang w:val="en-US" w:eastAsia="zh-CN"/>
            </w:rPr>
            <w:t xml:space="preserve">  </w:t>
          </w:r>
          <w:r>
            <w:rPr>
              <w:rFonts w:hint="eastAsia" w:ascii="黑体" w:hAnsi="黑体" w:eastAsia="黑体" w:cs="黑体"/>
              <w:color w:val="auto"/>
              <w:sz w:val="32"/>
              <w:szCs w:val="32"/>
              <w:lang w:val="zh-CN"/>
            </w:rPr>
            <w:t>录</w:t>
          </w:r>
        </w:p>
        <w:p w14:paraId="6246EC1D">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_Toc17095 </w:instrText>
          </w:r>
          <w:r>
            <w:rPr>
              <w:b/>
              <w:bCs/>
              <w:i w:val="0"/>
              <w:iCs w:val="0"/>
              <w:sz w:val="24"/>
              <w:szCs w:val="24"/>
            </w:rPr>
            <w:fldChar w:fldCharType="separate"/>
          </w:r>
          <w:r>
            <w:rPr>
              <w:rFonts w:hint="eastAsia"/>
              <w:b/>
              <w:bCs/>
              <w:i w:val="0"/>
              <w:iCs w:val="0"/>
              <w:sz w:val="24"/>
              <w:szCs w:val="24"/>
              <w:lang w:val="en-US" w:eastAsia="zh-CN"/>
            </w:rPr>
            <w:t>重</w:t>
          </w:r>
          <w:r>
            <w:rPr>
              <w:rFonts w:hint="eastAsia"/>
              <w:b/>
              <w:bCs/>
              <w:i w:val="0"/>
              <w:iCs w:val="0"/>
              <w:sz w:val="24"/>
              <w:szCs w:val="24"/>
            </w:rPr>
            <w:t xml:space="preserve">点 · </w:t>
          </w:r>
          <w:r>
            <w:rPr>
              <w:rFonts w:hint="eastAsia"/>
              <w:b/>
              <w:bCs/>
              <w:i w:val="0"/>
              <w:iCs w:val="0"/>
              <w:sz w:val="24"/>
              <w:szCs w:val="24"/>
              <w:lang w:val="en-US" w:eastAsia="zh-CN"/>
            </w:rPr>
            <w:t>关注</w:t>
          </w:r>
          <w:r>
            <w:rPr>
              <w:b/>
              <w:bCs/>
              <w:i w:val="0"/>
              <w:iCs w:val="0"/>
              <w:sz w:val="24"/>
              <w:szCs w:val="24"/>
            </w:rPr>
            <w:fldChar w:fldCharType="end"/>
          </w:r>
        </w:p>
        <w:p w14:paraId="714004FA">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TOC \o "1-3" \n  \h \u </w:instrText>
          </w:r>
          <w:r>
            <w:rPr>
              <w:i w:val="0"/>
              <w:iCs w:val="0"/>
              <w:sz w:val="24"/>
              <w:szCs w:val="24"/>
            </w:rPr>
            <w:fldChar w:fldCharType="separate"/>
          </w:r>
          <w:r>
            <w:rPr>
              <w:i w:val="0"/>
              <w:iCs w:val="0"/>
              <w:sz w:val="24"/>
              <w:szCs w:val="24"/>
            </w:rPr>
            <w:fldChar w:fldCharType="begin"/>
          </w:r>
          <w:r>
            <w:rPr>
              <w:i w:val="0"/>
              <w:iCs w:val="0"/>
              <w:sz w:val="24"/>
              <w:szCs w:val="24"/>
            </w:rPr>
            <w:instrText xml:space="preserve"> HYPERLINK \l _Toc16709 </w:instrText>
          </w:r>
          <w:r>
            <w:rPr>
              <w:i w:val="0"/>
              <w:iCs w:val="0"/>
              <w:sz w:val="24"/>
              <w:szCs w:val="24"/>
            </w:rPr>
            <w:fldChar w:fldCharType="separate"/>
          </w:r>
          <w:r>
            <w:rPr>
              <w:rFonts w:hint="eastAsia"/>
              <w:i w:val="0"/>
              <w:iCs w:val="0"/>
              <w:sz w:val="24"/>
              <w:szCs w:val="24"/>
              <w:lang w:val="en-US" w:eastAsia="zh-CN"/>
            </w:rPr>
            <w:t xml:space="preserve">一、 </w:t>
          </w:r>
          <w:r>
            <w:rPr>
              <w:rFonts w:hint="eastAsia"/>
              <w:i w:val="0"/>
              <w:iCs w:val="0"/>
              <w:sz w:val="24"/>
              <w:szCs w:val="24"/>
            </w:rPr>
            <w:t>习近平对中央企业工作作出重要指示</w:t>
          </w:r>
          <w:r>
            <w:rPr>
              <w:i w:val="0"/>
              <w:iCs w:val="0"/>
              <w:sz w:val="24"/>
              <w:szCs w:val="24"/>
            </w:rPr>
            <w:fldChar w:fldCharType="end"/>
          </w:r>
        </w:p>
        <w:p w14:paraId="57EA609D">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_Toc6457 </w:instrText>
          </w:r>
          <w:r>
            <w:rPr>
              <w:b/>
              <w:bCs/>
              <w:i w:val="0"/>
              <w:iCs w:val="0"/>
              <w:sz w:val="24"/>
              <w:szCs w:val="24"/>
            </w:rPr>
            <w:fldChar w:fldCharType="separate"/>
          </w:r>
          <w:r>
            <w:rPr>
              <w:rFonts w:hint="eastAsia"/>
              <w:b/>
              <w:bCs/>
              <w:i w:val="0"/>
              <w:iCs w:val="0"/>
              <w:sz w:val="24"/>
              <w:szCs w:val="24"/>
            </w:rPr>
            <w:t>中</w:t>
          </w:r>
          <w:r>
            <w:rPr>
              <w:rFonts w:hint="eastAsia"/>
              <w:b/>
              <w:bCs/>
              <w:i w:val="0"/>
              <w:iCs w:val="0"/>
              <w:sz w:val="24"/>
              <w:szCs w:val="24"/>
              <w:lang w:val="en-US" w:eastAsia="zh-CN"/>
            </w:rPr>
            <w:t xml:space="preserve"> </w:t>
          </w:r>
          <w:r>
            <w:rPr>
              <w:rFonts w:hint="eastAsia"/>
              <w:b/>
              <w:bCs/>
              <w:i w:val="0"/>
              <w:iCs w:val="0"/>
              <w:sz w:val="24"/>
              <w:szCs w:val="24"/>
            </w:rPr>
            <w:t>央</w:t>
          </w:r>
          <w:r>
            <w:rPr>
              <w:b/>
              <w:bCs/>
              <w:i w:val="0"/>
              <w:iCs w:val="0"/>
              <w:sz w:val="24"/>
              <w:szCs w:val="24"/>
            </w:rPr>
            <w:fldChar w:fldCharType="end"/>
          </w:r>
        </w:p>
        <w:p w14:paraId="47EE4386">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_Toc4119 </w:instrText>
          </w:r>
          <w:r>
            <w:rPr>
              <w:i w:val="0"/>
              <w:iCs w:val="0"/>
              <w:sz w:val="24"/>
              <w:szCs w:val="24"/>
            </w:rPr>
            <w:fldChar w:fldCharType="separate"/>
          </w:r>
          <w:r>
            <w:rPr>
              <w:rFonts w:hint="eastAsia"/>
              <w:i w:val="0"/>
              <w:iCs w:val="0"/>
              <w:sz w:val="24"/>
              <w:szCs w:val="24"/>
            </w:rPr>
            <w:t xml:space="preserve">一、 </w:t>
          </w:r>
          <w:r>
            <w:rPr>
              <w:rFonts w:hint="eastAsia"/>
              <w:i w:val="0"/>
              <w:iCs w:val="0"/>
              <w:sz w:val="24"/>
              <w:szCs w:val="24"/>
              <w:lang w:eastAsia="zh-CN"/>
            </w:rPr>
            <w:t>《关于金融支持加快西部陆海新通道建设的意见》</w:t>
          </w:r>
          <w:r>
            <w:rPr>
              <w:i w:val="0"/>
              <w:iCs w:val="0"/>
              <w:sz w:val="24"/>
              <w:szCs w:val="24"/>
            </w:rPr>
            <w:fldChar w:fldCharType="end"/>
          </w:r>
        </w:p>
        <w:p w14:paraId="4226601C">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_Toc2623 </w:instrText>
          </w:r>
          <w:r>
            <w:rPr>
              <w:i w:val="0"/>
              <w:iCs w:val="0"/>
              <w:sz w:val="24"/>
              <w:szCs w:val="24"/>
            </w:rPr>
            <w:fldChar w:fldCharType="separate"/>
          </w:r>
          <w:r>
            <w:rPr>
              <w:rFonts w:hint="eastAsia"/>
              <w:i w:val="0"/>
              <w:iCs w:val="0"/>
              <w:sz w:val="24"/>
              <w:szCs w:val="24"/>
            </w:rPr>
            <w:t xml:space="preserve">二、 </w:t>
          </w:r>
          <w:r>
            <w:rPr>
              <w:rFonts w:hint="eastAsia"/>
              <w:i w:val="0"/>
              <w:iCs w:val="0"/>
              <w:sz w:val="24"/>
              <w:szCs w:val="24"/>
              <w:lang w:eastAsia="zh-CN"/>
            </w:rPr>
            <w:t>《关于促进光热发电规模化发展的若干意见》</w:t>
          </w:r>
          <w:r>
            <w:rPr>
              <w:i w:val="0"/>
              <w:iCs w:val="0"/>
              <w:sz w:val="24"/>
              <w:szCs w:val="24"/>
            </w:rPr>
            <w:fldChar w:fldCharType="end"/>
          </w:r>
        </w:p>
        <w:p w14:paraId="6E90823B">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_Toc11951 </w:instrText>
          </w:r>
          <w:r>
            <w:rPr>
              <w:i w:val="0"/>
              <w:iCs w:val="0"/>
              <w:sz w:val="24"/>
              <w:szCs w:val="24"/>
            </w:rPr>
            <w:fldChar w:fldCharType="separate"/>
          </w:r>
          <w:r>
            <w:rPr>
              <w:rFonts w:hint="eastAsia"/>
              <w:i w:val="0"/>
              <w:iCs w:val="0"/>
              <w:sz w:val="24"/>
              <w:szCs w:val="24"/>
            </w:rPr>
            <w:t xml:space="preserve">三、 </w:t>
          </w:r>
          <w:r>
            <w:rPr>
              <w:rFonts w:hint="eastAsia"/>
              <w:i w:val="0"/>
              <w:iCs w:val="0"/>
              <w:sz w:val="24"/>
              <w:szCs w:val="24"/>
              <w:lang w:eastAsia="zh-CN"/>
            </w:rPr>
            <w:t>《鼓励外商投资产业目录（2025年版）》</w:t>
          </w:r>
          <w:r>
            <w:rPr>
              <w:i w:val="0"/>
              <w:iCs w:val="0"/>
              <w:sz w:val="24"/>
              <w:szCs w:val="24"/>
            </w:rPr>
            <w:fldChar w:fldCharType="end"/>
          </w:r>
        </w:p>
        <w:p w14:paraId="01E0A661">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_Toc15122 </w:instrText>
          </w:r>
          <w:r>
            <w:rPr>
              <w:i w:val="0"/>
              <w:iCs w:val="0"/>
              <w:sz w:val="24"/>
              <w:szCs w:val="24"/>
            </w:rPr>
            <w:fldChar w:fldCharType="separate"/>
          </w:r>
          <w:r>
            <w:rPr>
              <w:rFonts w:hint="eastAsia"/>
              <w:i w:val="0"/>
              <w:iCs w:val="0"/>
              <w:sz w:val="24"/>
              <w:szCs w:val="24"/>
            </w:rPr>
            <w:t xml:space="preserve">四、 </w:t>
          </w:r>
          <w:r>
            <w:rPr>
              <w:rFonts w:hint="eastAsia"/>
              <w:i w:val="0"/>
              <w:iCs w:val="0"/>
              <w:sz w:val="24"/>
              <w:szCs w:val="24"/>
              <w:lang w:eastAsia="zh-CN"/>
            </w:rPr>
            <w:t>《中华人民共和国增值税法实施条例（草案）》</w:t>
          </w:r>
          <w:r>
            <w:rPr>
              <w:i w:val="0"/>
              <w:iCs w:val="0"/>
              <w:sz w:val="24"/>
              <w:szCs w:val="24"/>
            </w:rPr>
            <w:fldChar w:fldCharType="end"/>
          </w:r>
        </w:p>
        <w:p w14:paraId="2CA8B792">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_Toc20868 </w:instrText>
          </w:r>
          <w:r>
            <w:rPr>
              <w:i w:val="0"/>
              <w:iCs w:val="0"/>
              <w:sz w:val="24"/>
              <w:szCs w:val="24"/>
            </w:rPr>
            <w:fldChar w:fldCharType="separate"/>
          </w:r>
          <w:r>
            <w:rPr>
              <w:rFonts w:hint="eastAsia"/>
              <w:i w:val="0"/>
              <w:iCs w:val="0"/>
              <w:sz w:val="24"/>
              <w:szCs w:val="24"/>
            </w:rPr>
            <w:t xml:space="preserve">五、 </w:t>
          </w:r>
          <w:r>
            <w:rPr>
              <w:rFonts w:hint="eastAsia"/>
              <w:i w:val="0"/>
              <w:iCs w:val="0"/>
              <w:sz w:val="24"/>
              <w:szCs w:val="24"/>
              <w:lang w:eastAsia="zh-CN"/>
            </w:rPr>
            <w:t>《互联网平台价格行为规则》</w:t>
          </w:r>
          <w:r>
            <w:rPr>
              <w:i w:val="0"/>
              <w:iCs w:val="0"/>
              <w:sz w:val="24"/>
              <w:szCs w:val="24"/>
            </w:rPr>
            <w:fldChar w:fldCharType="end"/>
          </w:r>
        </w:p>
        <w:p w14:paraId="6FA2F6CA">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_Toc8531 </w:instrText>
          </w:r>
          <w:r>
            <w:rPr>
              <w:i w:val="0"/>
              <w:iCs w:val="0"/>
              <w:sz w:val="24"/>
              <w:szCs w:val="24"/>
            </w:rPr>
            <w:fldChar w:fldCharType="separate"/>
          </w:r>
          <w:r>
            <w:rPr>
              <w:rFonts w:hint="eastAsia"/>
              <w:i w:val="0"/>
              <w:iCs w:val="0"/>
              <w:sz w:val="24"/>
              <w:szCs w:val="24"/>
              <w:lang w:eastAsia="zh-CN"/>
            </w:rPr>
            <w:t>六、 《关于贯彻落实〈国务院办公厅关于在政府采购中实施本国产品标准及相关政策的通知〉的意见》</w:t>
          </w:r>
          <w:r>
            <w:rPr>
              <w:i w:val="0"/>
              <w:iCs w:val="0"/>
              <w:sz w:val="24"/>
              <w:szCs w:val="24"/>
            </w:rPr>
            <w:fldChar w:fldCharType="end"/>
          </w:r>
        </w:p>
        <w:p w14:paraId="764C3384">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_Toc26275 </w:instrText>
          </w:r>
          <w:r>
            <w:rPr>
              <w:b/>
              <w:bCs/>
              <w:i w:val="0"/>
              <w:iCs w:val="0"/>
              <w:sz w:val="24"/>
              <w:szCs w:val="24"/>
            </w:rPr>
            <w:fldChar w:fldCharType="separate"/>
          </w:r>
          <w:r>
            <w:rPr>
              <w:rFonts w:hint="eastAsia"/>
              <w:b/>
              <w:bCs/>
              <w:i w:val="0"/>
              <w:iCs w:val="0"/>
              <w:sz w:val="24"/>
              <w:szCs w:val="24"/>
            </w:rPr>
            <w:t>湖北省</w:t>
          </w:r>
          <w:r>
            <w:rPr>
              <w:b/>
              <w:bCs/>
              <w:i w:val="0"/>
              <w:iCs w:val="0"/>
              <w:sz w:val="24"/>
              <w:szCs w:val="24"/>
            </w:rPr>
            <w:fldChar w:fldCharType="end"/>
          </w:r>
        </w:p>
        <w:p w14:paraId="564B2D77">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_Toc28135 </w:instrText>
          </w:r>
          <w:r>
            <w:rPr>
              <w:i w:val="0"/>
              <w:iCs w:val="0"/>
              <w:sz w:val="24"/>
              <w:szCs w:val="24"/>
            </w:rPr>
            <w:fldChar w:fldCharType="separate"/>
          </w:r>
          <w:r>
            <w:rPr>
              <w:rFonts w:hint="eastAsia"/>
              <w:i w:val="0"/>
              <w:iCs w:val="0"/>
              <w:sz w:val="24"/>
              <w:szCs w:val="24"/>
              <w:lang w:eastAsia="zh-CN"/>
            </w:rPr>
            <w:t xml:space="preserve">一、 </w:t>
          </w:r>
          <w:r>
            <w:rPr>
              <w:rFonts w:hint="eastAsia"/>
              <w:i w:val="0"/>
              <w:iCs w:val="0"/>
              <w:sz w:val="24"/>
              <w:szCs w:val="24"/>
            </w:rPr>
            <w:t>《</w:t>
          </w:r>
          <w:r>
            <w:rPr>
              <w:rFonts w:hint="eastAsia"/>
              <w:i w:val="0"/>
              <w:iCs w:val="0"/>
              <w:sz w:val="24"/>
              <w:szCs w:val="24"/>
              <w:lang w:eastAsia="zh-CN"/>
            </w:rPr>
            <w:t>省科技厅关于开展2025年度湖北省科技型企业孵化器认定工作的通知</w:t>
          </w:r>
          <w:r>
            <w:rPr>
              <w:rFonts w:hint="eastAsia"/>
              <w:i w:val="0"/>
              <w:iCs w:val="0"/>
              <w:sz w:val="24"/>
              <w:szCs w:val="24"/>
            </w:rPr>
            <w:t>》</w:t>
          </w:r>
          <w:r>
            <w:rPr>
              <w:i w:val="0"/>
              <w:iCs w:val="0"/>
              <w:sz w:val="24"/>
              <w:szCs w:val="24"/>
            </w:rPr>
            <w:fldChar w:fldCharType="end"/>
          </w:r>
        </w:p>
        <w:p w14:paraId="003DBEF3">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_Toc12847 </w:instrText>
          </w:r>
          <w:r>
            <w:rPr>
              <w:i w:val="0"/>
              <w:iCs w:val="0"/>
              <w:sz w:val="24"/>
              <w:szCs w:val="24"/>
            </w:rPr>
            <w:fldChar w:fldCharType="separate"/>
          </w:r>
          <w:r>
            <w:rPr>
              <w:rFonts w:hint="eastAsia"/>
              <w:i w:val="0"/>
              <w:iCs w:val="0"/>
              <w:sz w:val="24"/>
              <w:szCs w:val="24"/>
            </w:rPr>
            <w:t xml:space="preserve">二、 </w:t>
          </w:r>
          <w:r>
            <w:rPr>
              <w:rFonts w:hint="eastAsia"/>
              <w:i w:val="0"/>
              <w:iCs w:val="0"/>
              <w:sz w:val="24"/>
              <w:szCs w:val="24"/>
              <w:lang w:eastAsia="zh-CN"/>
            </w:rPr>
            <w:t>《武汉市生产性服务业提质增效若干政策（征求意见稿）》</w:t>
          </w:r>
          <w:r>
            <w:rPr>
              <w:i w:val="0"/>
              <w:iCs w:val="0"/>
              <w:sz w:val="24"/>
              <w:szCs w:val="24"/>
            </w:rPr>
            <w:fldChar w:fldCharType="end"/>
          </w:r>
        </w:p>
        <w:p w14:paraId="5BB6EF30">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_Toc30734 </w:instrText>
          </w:r>
          <w:r>
            <w:rPr>
              <w:b/>
              <w:bCs/>
              <w:i w:val="0"/>
              <w:iCs w:val="0"/>
              <w:sz w:val="24"/>
              <w:szCs w:val="24"/>
            </w:rPr>
            <w:fldChar w:fldCharType="separate"/>
          </w:r>
          <w:r>
            <w:rPr>
              <w:rFonts w:hint="eastAsia"/>
              <w:b/>
              <w:bCs/>
              <w:i w:val="0"/>
              <w:iCs w:val="0"/>
              <w:sz w:val="24"/>
              <w:szCs w:val="24"/>
            </w:rPr>
            <w:t>热点 · 资讯</w:t>
          </w:r>
          <w:r>
            <w:rPr>
              <w:b/>
              <w:bCs/>
              <w:i w:val="0"/>
              <w:iCs w:val="0"/>
              <w:sz w:val="24"/>
              <w:szCs w:val="24"/>
            </w:rPr>
            <w:fldChar w:fldCharType="end"/>
          </w:r>
        </w:p>
        <w:p w14:paraId="3156C5C7">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_Toc19326 </w:instrText>
          </w:r>
          <w:r>
            <w:rPr>
              <w:i w:val="0"/>
              <w:iCs w:val="0"/>
              <w:sz w:val="24"/>
              <w:szCs w:val="24"/>
            </w:rPr>
            <w:fldChar w:fldCharType="separate"/>
          </w:r>
          <w:r>
            <w:rPr>
              <w:rFonts w:hint="eastAsia"/>
              <w:i w:val="0"/>
              <w:iCs w:val="0"/>
              <w:sz w:val="24"/>
              <w:szCs w:val="24"/>
            </w:rPr>
            <w:t xml:space="preserve">一、 </w:t>
          </w:r>
          <w:r>
            <w:rPr>
              <w:rFonts w:hint="eastAsia"/>
              <w:i w:val="0"/>
              <w:iCs w:val="0"/>
              <w:sz w:val="24"/>
              <w:szCs w:val="24"/>
              <w:lang w:eastAsia="zh-CN"/>
            </w:rPr>
            <w:t>湖北发布自主安全计算产业图谱，超200家企业“上图”</w:t>
          </w:r>
          <w:r>
            <w:rPr>
              <w:i w:val="0"/>
              <w:iCs w:val="0"/>
              <w:sz w:val="24"/>
              <w:szCs w:val="24"/>
            </w:rPr>
            <w:fldChar w:fldCharType="end"/>
          </w:r>
        </w:p>
        <w:p w14:paraId="0ED0466C">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_Toc2673 </w:instrText>
          </w:r>
          <w:r>
            <w:rPr>
              <w:i w:val="0"/>
              <w:iCs w:val="0"/>
              <w:sz w:val="24"/>
              <w:szCs w:val="24"/>
            </w:rPr>
            <w:fldChar w:fldCharType="separate"/>
          </w:r>
          <w:r>
            <w:rPr>
              <w:rFonts w:hint="eastAsia"/>
              <w:i w:val="0"/>
              <w:iCs w:val="0"/>
              <w:sz w:val="24"/>
              <w:szCs w:val="24"/>
            </w:rPr>
            <w:t>二、 国家数据基础设施试点项目——“汉数通”平台上线发布</w:t>
          </w:r>
          <w:r>
            <w:rPr>
              <w:i w:val="0"/>
              <w:iCs w:val="0"/>
              <w:sz w:val="24"/>
              <w:szCs w:val="24"/>
            </w:rPr>
            <w:fldChar w:fldCharType="end"/>
          </w:r>
        </w:p>
        <w:p w14:paraId="3584FEDF">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_Toc26755 </w:instrText>
          </w:r>
          <w:r>
            <w:rPr>
              <w:i w:val="0"/>
              <w:iCs w:val="0"/>
              <w:sz w:val="24"/>
              <w:szCs w:val="24"/>
            </w:rPr>
            <w:fldChar w:fldCharType="separate"/>
          </w:r>
          <w:r>
            <w:rPr>
              <w:rFonts w:hint="eastAsia"/>
              <w:i w:val="0"/>
              <w:iCs w:val="0"/>
              <w:sz w:val="24"/>
              <w:szCs w:val="24"/>
            </w:rPr>
            <w:t xml:space="preserve">三、 </w:t>
          </w:r>
          <w:r>
            <w:rPr>
              <w:rFonts w:hint="eastAsia"/>
              <w:i w:val="0"/>
              <w:iCs w:val="0"/>
              <w:sz w:val="24"/>
              <w:szCs w:val="24"/>
              <w:lang w:eastAsia="zh-CN"/>
            </w:rPr>
            <w:t>王忠林主持召开省委常委会会议，谋深谋实明年全省经济工作，确保“十五五”开好局起好步</w:t>
          </w:r>
          <w:r>
            <w:rPr>
              <w:i w:val="0"/>
              <w:iCs w:val="0"/>
              <w:sz w:val="24"/>
              <w:szCs w:val="24"/>
            </w:rPr>
            <w:fldChar w:fldCharType="end"/>
          </w:r>
        </w:p>
        <w:p w14:paraId="228F7976">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_Toc27007 </w:instrText>
          </w:r>
          <w:r>
            <w:rPr>
              <w:i w:val="0"/>
              <w:iCs w:val="0"/>
              <w:sz w:val="24"/>
              <w:szCs w:val="24"/>
            </w:rPr>
            <w:fldChar w:fldCharType="separate"/>
          </w:r>
          <w:r>
            <w:rPr>
              <w:rFonts w:hint="eastAsia"/>
              <w:i w:val="0"/>
              <w:iCs w:val="0"/>
              <w:sz w:val="24"/>
              <w:szCs w:val="24"/>
            </w:rPr>
            <w:t>四、 王忠林主持召开省委经济工作会议</w:t>
          </w:r>
          <w:r>
            <w:rPr>
              <w:rFonts w:hint="eastAsia"/>
              <w:i w:val="0"/>
              <w:iCs w:val="0"/>
              <w:sz w:val="24"/>
              <w:szCs w:val="24"/>
              <w:lang w:eastAsia="zh-CN"/>
            </w:rPr>
            <w:t>，</w:t>
          </w:r>
          <w:r>
            <w:rPr>
              <w:rFonts w:hint="eastAsia"/>
              <w:i w:val="0"/>
              <w:iCs w:val="0"/>
              <w:sz w:val="24"/>
              <w:szCs w:val="24"/>
              <w:lang w:val="en-US" w:eastAsia="zh-CN"/>
            </w:rPr>
            <w:t>强调七大重点任务</w:t>
          </w:r>
          <w:r>
            <w:rPr>
              <w:i w:val="0"/>
              <w:iCs w:val="0"/>
              <w:sz w:val="24"/>
              <w:szCs w:val="24"/>
            </w:rPr>
            <w:fldChar w:fldCharType="end"/>
          </w:r>
        </w:p>
        <w:p w14:paraId="1E0CA6B7">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_Toc4390 </w:instrText>
          </w:r>
          <w:r>
            <w:rPr>
              <w:i w:val="0"/>
              <w:iCs w:val="0"/>
              <w:sz w:val="24"/>
              <w:szCs w:val="24"/>
            </w:rPr>
            <w:fldChar w:fldCharType="separate"/>
          </w:r>
          <w:r>
            <w:rPr>
              <w:rFonts w:hint="eastAsia"/>
              <w:i w:val="0"/>
              <w:iCs w:val="0"/>
              <w:sz w:val="24"/>
              <w:szCs w:val="24"/>
            </w:rPr>
            <w:t>五、 李殿勋主持召开省政府专题会议研究推动全省城市高质量发展相关工作</w:t>
          </w:r>
          <w:r>
            <w:rPr>
              <w:i w:val="0"/>
              <w:iCs w:val="0"/>
              <w:sz w:val="24"/>
              <w:szCs w:val="24"/>
            </w:rPr>
            <w:fldChar w:fldCharType="end"/>
          </w:r>
        </w:p>
        <w:p w14:paraId="546FED3B">
          <w:pPr>
            <w:pStyle w:val="16"/>
            <w:tabs>
              <w:tab w:val="right" w:pos="8960"/>
            </w:tabs>
            <w:ind w:left="0" w:leftChars="0" w:firstLine="0" w:firstLineChars="0"/>
            <w:rPr>
              <w:i w:val="0"/>
              <w:iCs w:val="0"/>
              <w:sz w:val="24"/>
              <w:szCs w:val="24"/>
            </w:rPr>
          </w:pPr>
          <w:r>
            <w:rPr>
              <w:i w:val="0"/>
              <w:iCs w:val="0"/>
              <w:sz w:val="24"/>
              <w:szCs w:val="24"/>
            </w:rPr>
            <w:fldChar w:fldCharType="end"/>
          </w:r>
        </w:p>
      </w:sdtContent>
    </w:sdt>
    <w:p w14:paraId="1A10656A">
      <w:pPr>
        <w:pStyle w:val="16"/>
        <w:tabs>
          <w:tab w:val="right" w:pos="8960"/>
        </w:tabs>
        <w:ind w:left="0" w:leftChars="0" w:firstLine="0" w:firstLineChars="0"/>
        <w:rPr>
          <w:i w:val="0"/>
          <w:iCs w:val="0"/>
          <w:sz w:val="24"/>
          <w:szCs w:val="24"/>
        </w:rPr>
      </w:pPr>
      <w:r>
        <w:rPr>
          <w:i w:val="0"/>
          <w:iCs w:val="0"/>
          <w:sz w:val="24"/>
          <w:szCs w:val="24"/>
        </w:rPr>
        <w:br w:type="page"/>
      </w:r>
    </w:p>
    <w:p w14:paraId="26C63806">
      <w:pPr>
        <w:pStyle w:val="21"/>
        <w:keepNext w:val="0"/>
        <w:keepLines w:val="0"/>
        <w:pageBreakBefore w:val="0"/>
        <w:widowControl w:val="0"/>
        <w:kinsoku/>
        <w:wordWrap/>
        <w:overflowPunct/>
        <w:topLinePunct w:val="0"/>
        <w:autoSpaceDE/>
        <w:autoSpaceDN/>
        <w:bidi w:val="0"/>
        <w:adjustRightInd/>
        <w:snapToGrid w:val="0"/>
        <w:spacing w:before="500"/>
        <w:ind w:left="0" w:leftChars="0" w:firstLine="160" w:firstLineChars="145"/>
        <w:jc w:val="center"/>
        <w:textAlignment w:val="auto"/>
        <w:rPr>
          <w:rFonts w:hint="eastAsia"/>
          <w:sz w:val="11"/>
          <w:szCs w:val="11"/>
          <w:lang w:val="en-US" w:eastAsia="zh-CN"/>
        </w:rPr>
      </w:pPr>
    </w:p>
    <w:p w14:paraId="465320E0">
      <w:pPr>
        <w:pStyle w:val="21"/>
        <w:keepNext w:val="0"/>
        <w:keepLines w:val="0"/>
        <w:pageBreakBefore w:val="0"/>
        <w:widowControl w:val="0"/>
        <w:kinsoku/>
        <w:wordWrap/>
        <w:overflowPunct/>
        <w:topLinePunct w:val="0"/>
        <w:autoSpaceDE/>
        <w:autoSpaceDN/>
        <w:bidi w:val="0"/>
        <w:adjustRightInd/>
        <w:snapToGrid w:val="0"/>
        <w:spacing w:before="500"/>
        <w:ind w:left="0" w:leftChars="0" w:firstLine="0" w:firstLineChars="0"/>
        <w:jc w:val="center"/>
        <w:textAlignment w:val="auto"/>
        <w:rPr>
          <w:rFonts w:hint="default" w:eastAsia="仿宋_GB2312"/>
          <w:sz w:val="44"/>
          <w:lang w:val="en-US" w:eastAsia="zh-CN"/>
        </w:rPr>
      </w:pPr>
      <w:r>
        <w:rPr>
          <w:rFonts w:hint="eastAsia"/>
          <w:sz w:val="44"/>
          <w:lang w:val="en-US" w:eastAsia="zh-CN"/>
        </w:rPr>
        <w:t xml:space="preserve">  一周资讯速递</w:t>
      </w:r>
      <w:bookmarkStart w:id="0" w:name="OLE_LINK56"/>
      <w:r>
        <w:rPr>
          <w:rFonts w:hint="eastAsia"/>
          <w:sz w:val="44"/>
          <w:lang w:val="en-US" w:eastAsia="zh-CN"/>
        </w:rPr>
        <w:t>（</w:t>
      </w:r>
      <w:r>
        <w:rPr>
          <w:rFonts w:hint="eastAsia"/>
          <w:sz w:val="44"/>
        </w:rPr>
        <w:t>1</w:t>
      </w:r>
      <w:r>
        <w:rPr>
          <w:rFonts w:hint="eastAsia"/>
          <w:sz w:val="44"/>
          <w:lang w:val="en-US" w:eastAsia="zh-CN"/>
        </w:rPr>
        <w:t>2</w:t>
      </w:r>
      <w:r>
        <w:rPr>
          <w:rFonts w:hint="eastAsia"/>
          <w:sz w:val="44"/>
        </w:rPr>
        <w:t>.</w:t>
      </w:r>
      <w:r>
        <w:rPr>
          <w:rFonts w:hint="eastAsia"/>
          <w:sz w:val="44"/>
          <w:lang w:val="en-US" w:eastAsia="zh-CN"/>
        </w:rPr>
        <w:t>19</w:t>
      </w:r>
      <w:r>
        <w:rPr>
          <w:rFonts w:hint="eastAsia"/>
          <w:sz w:val="44"/>
        </w:rPr>
        <w:t>-1</w:t>
      </w:r>
      <w:r>
        <w:rPr>
          <w:rFonts w:hint="eastAsia"/>
          <w:sz w:val="44"/>
          <w:lang w:val="en-US" w:eastAsia="zh-CN"/>
        </w:rPr>
        <w:t>2</w:t>
      </w:r>
      <w:r>
        <w:rPr>
          <w:rFonts w:hint="eastAsia"/>
          <w:sz w:val="44"/>
        </w:rPr>
        <w:t>.</w:t>
      </w:r>
      <w:bookmarkEnd w:id="0"/>
      <w:r>
        <w:rPr>
          <w:rFonts w:hint="eastAsia"/>
          <w:sz w:val="44"/>
          <w:lang w:val="en-US" w:eastAsia="zh-CN"/>
        </w:rPr>
        <w:t>26</w:t>
      </w:r>
      <w:r>
        <w:rPr>
          <w:rFonts w:hint="eastAsia"/>
          <w:sz w:val="44"/>
          <w:lang w:eastAsia="zh-CN"/>
        </w:rPr>
        <w:t>）</w:t>
      </w:r>
    </w:p>
    <w:p w14:paraId="1031BF4F">
      <w:pPr>
        <w:ind w:left="0" w:leftChars="0" w:firstLine="0" w:firstLineChars="0"/>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14:paraId="36BEDBBA">
      <w:pPr>
        <w:keepNext w:val="0"/>
        <w:keepLines w:val="0"/>
        <w:pageBreakBefore w:val="0"/>
        <w:widowControl w:val="0"/>
        <w:kinsoku/>
        <w:wordWrap/>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为抢抓产业变革机遇，加快转型升级步伐，长江研究院东湖智库整理社会各级工作领域政策、研究、热点资讯最新进展，特别推出“一周政策速递”专题进行推送。</w:t>
      </w:r>
    </w:p>
    <w:p w14:paraId="6BC6B186">
      <w:pPr>
        <w:keepNext w:val="0"/>
        <w:keepLines w:val="0"/>
        <w:pageBreakBefore w:val="0"/>
        <w:widowControl w:val="0"/>
        <w:kinsoku/>
        <w:wordWrap/>
        <w:overflowPunct/>
        <w:topLinePunct w:val="0"/>
        <w:autoSpaceDE/>
        <w:autoSpaceDN/>
        <w:bidi w:val="0"/>
        <w:adjustRightInd/>
        <w:snapToGrid w:val="0"/>
        <w:spacing w:line="360" w:lineRule="auto"/>
        <w:ind w:left="0" w:leftChars="0" w:firstLine="464" w:firstLineChars="145"/>
        <w:jc w:val="both"/>
        <w:textAlignment w:val="auto"/>
        <w:rPr>
          <w:rFonts w:hint="eastAsia" w:ascii="Times New Roman" w:hAnsi="Times New Roman" w:eastAsia="宋体" w:cs="Times New Roman"/>
          <w:lang w:val="en-US" w:eastAsia="zh-CN"/>
        </w:rPr>
      </w:pPr>
    </w:p>
    <w:p w14:paraId="326FFCF7">
      <w:pPr>
        <w:keepNext w:val="0"/>
        <w:keepLines w:val="0"/>
        <w:pageBreakBefore w:val="0"/>
        <w:widowControl w:val="0"/>
        <w:tabs>
          <w:tab w:val="center" w:pos="4532"/>
        </w:tabs>
        <w:kinsoku/>
        <w:wordWrap/>
        <w:overflowPunct/>
        <w:topLinePunct w:val="0"/>
        <w:autoSpaceDE/>
        <w:autoSpaceDN/>
        <w:bidi w:val="0"/>
        <w:adjustRightInd/>
        <w:snapToGrid w:val="0"/>
        <w:spacing w:after="100"/>
        <w:ind w:left="0" w:leftChars="0" w:firstLine="0" w:firstLineChars="0"/>
        <w:jc w:val="center"/>
        <w:textAlignment w:val="auto"/>
        <w:rPr>
          <w:rFonts w:hint="eastAsia"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5408"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5408;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4384;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重点 · 关注</w:t>
      </w:r>
      <w:bookmarkStart w:id="1" w:name="OLE_LINK24"/>
    </w:p>
    <w:bookmarkEnd w:id="1"/>
    <w:p w14:paraId="45F45B69">
      <w:pPr>
        <w:snapToGrid w:val="0"/>
        <w:spacing w:line="240" w:lineRule="auto"/>
        <w:ind w:left="0" w:leftChars="0" w:firstLine="464" w:firstLineChars="145"/>
        <w:jc w:val="center"/>
        <w:rPr>
          <w:rFonts w:hint="eastAsia" w:ascii="Times New Roman" w:hAnsi="Times New Roman" w:eastAsia="宋体"/>
        </w:rPr>
      </w:pPr>
    </w:p>
    <w:p w14:paraId="2BD4B44C">
      <w:pPr>
        <w:snapToGrid w:val="0"/>
        <w:spacing w:line="240" w:lineRule="auto"/>
        <w:ind w:left="0" w:leftChars="0" w:firstLine="464" w:firstLineChars="145"/>
        <w:jc w:val="center"/>
        <w:rPr>
          <w:rFonts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14:paraId="43666652">
      <w:pPr>
        <w:pStyle w:val="5"/>
        <w:keepNext w:val="0"/>
        <w:keepLines w:val="0"/>
        <w:pageBreakBefore w:val="0"/>
        <w:widowControl/>
        <w:kinsoku/>
        <w:wordWrap/>
        <w:overflowPunct/>
        <w:topLinePunct w:val="0"/>
        <w:autoSpaceDE/>
        <w:autoSpaceDN/>
        <w:bidi w:val="0"/>
        <w:adjustRightInd/>
        <w:snapToGrid/>
        <w:spacing w:before="625" w:beforeLines="200"/>
        <w:ind w:left="0" w:leftChars="0" w:firstLine="0" w:firstLineChars="0"/>
        <w:jc w:val="left"/>
        <w:textAlignment w:val="auto"/>
        <w:rPr>
          <w:rFonts w:hint="default"/>
          <w:lang w:val="en-US"/>
        </w:rPr>
      </w:pPr>
      <w:bookmarkStart w:id="2" w:name="_Toc16709"/>
      <w:r>
        <w:rPr>
          <w:rFonts w:hint="eastAsia"/>
        </w:rPr>
        <w:t>习近平对中央企业工作作出重要指示</w:t>
      </w:r>
      <w:bookmarkEnd w:id="2"/>
      <w:r>
        <w:rPr>
          <w:rFonts w:hint="eastAsia"/>
          <w:lang w:val="en-US" w:eastAsia="zh-CN"/>
        </w:rPr>
        <w:t xml:space="preserve"> </w:t>
      </w:r>
    </w:p>
    <w:p w14:paraId="2F76615D">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lang w:eastAsia="zh-CN"/>
        </w:rPr>
      </w:pPr>
      <w:r>
        <w:rPr>
          <w:rFonts w:hint="eastAsia"/>
        </w:rPr>
        <w:t>12月23日</w:t>
      </w:r>
      <w:r>
        <w:rPr>
          <w:rFonts w:hint="eastAsia"/>
          <w:lang w:eastAsia="zh-CN"/>
        </w:rPr>
        <w:t>，中共中央总书记、国家主席、中央军委主席习近平近日对中央企业工作作出重要指示指出，党的十八大以来，中央企业认真贯彻党中央决策部署，积极服务国家战略，在国民经济中发挥了骨干和支柱作用。</w:t>
      </w:r>
    </w:p>
    <w:p w14:paraId="0E04772F">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lang w:eastAsia="zh-CN"/>
        </w:rPr>
        <w:t>习近平强调，新征程上，中央企业要充分认识肩负的职责使命，更好服务党和国家工作大局，服务经济社会高质量发展，服务保障和改善民生，勇担社会责任，为中国式现代化建设贡献更大力量。要聚焦主责主业，持续优化国有经济布局，切实增强核心功能、提升核心竞争力。要立足实体经济，强化关键核心技术攻关，推动科技创新和产业创新深度融合。要进一步深化改革，完善中国特色现代企业制度，健全公司治理结构，着力解决制约企业发展的深层次问题，努力建设世界一流企业。要统筹发展和安全，有效防范化解风险，不断夯实企业安全发展的基础。习近平强调，要坚持和加强党的全面领导，加强企业领导班子建设，压实管党治党责任，推动党的领导融入公司治理各环节，促进党建工作与生产经营深度融合。要完善制度、强化监督，坚决惩治腐败，锲而不舍纠治“四风”，着力营造风清气正的政治生态。</w:t>
      </w:r>
    </w:p>
    <w:p w14:paraId="77673C21">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23</w:t>
      </w:r>
      <w:r>
        <w:rPr>
          <w:rFonts w:hint="eastAsia" w:cs="仿宋_GB2312"/>
          <w:sz w:val="20"/>
          <w:szCs w:val="20"/>
          <w:lang w:bidi="ar"/>
        </w:rPr>
        <w:t>日</w:t>
      </w:r>
    </w:p>
    <w:p w14:paraId="371B83A6">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新华社</w:t>
      </w:r>
    </w:p>
    <w:p w14:paraId="70BC7886">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https://www.gov.cn/yaowen/liebiao/202512/content_7052493.htm</w:t>
      </w:r>
    </w:p>
    <w:p w14:paraId="551296BD">
      <w:pPr>
        <w:pStyle w:val="26"/>
        <w:widowControl/>
        <w:spacing w:before="0" w:beforeAutospacing="0" w:after="0" w:afterAutospacing="0"/>
        <w:ind w:left="0" w:leftChars="0" w:firstLine="304" w:firstLineChars="145"/>
        <w:jc w:val="both"/>
        <w:rPr>
          <w:rFonts w:ascii="宋体" w:hAnsi="宋体" w:eastAsia="宋体" w:cs="宋体"/>
          <w:i/>
          <w:iCs/>
          <w:color w:val="666666"/>
          <w:sz w:val="21"/>
          <w:szCs w:val="21"/>
          <w:shd w:val="clear" w:color="auto" w:fill="FFFFFF"/>
        </w:rPr>
      </w:pPr>
    </w:p>
    <w:p w14:paraId="2B0CFB6A">
      <w:pPr>
        <w:keepNext w:val="0"/>
        <w:keepLines w:val="0"/>
        <w:pageBreakBefore w:val="0"/>
        <w:widowControl w:val="0"/>
        <w:tabs>
          <w:tab w:val="center" w:pos="4532"/>
        </w:tabs>
        <w:kinsoku/>
        <w:wordWrap/>
        <w:overflowPunct/>
        <w:topLinePunct w:val="0"/>
        <w:autoSpaceDE/>
        <w:autoSpaceDN/>
        <w:bidi w:val="0"/>
        <w:adjustRightInd/>
        <w:snapToGrid w:val="0"/>
        <w:spacing w:after="100"/>
        <w:ind w:left="0" w:leftChars="0" w:firstLine="0" w:firstLineChars="0"/>
        <w:jc w:val="center"/>
        <w:textAlignment w:val="auto"/>
        <w:rPr>
          <w:rFonts w:hint="eastAsia" w:ascii="微软雅黑" w:hAnsi="微软雅黑" w:eastAsia="微软雅黑" w:cs="微软雅黑"/>
          <w:b/>
          <w:bCs/>
          <w:sz w:val="36"/>
          <w:szCs w:val="36"/>
          <w:lang w:val="en-US" w:eastAsia="zh-CN"/>
        </w:rPr>
      </w:pPr>
      <w:bookmarkStart w:id="3" w:name="_Toc214013977"/>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政策 · 速递</w:t>
      </w:r>
      <w:bookmarkEnd w:id="3"/>
    </w:p>
    <w:p w14:paraId="57233957">
      <w:pPr>
        <w:spacing w:line="240" w:lineRule="auto"/>
        <w:ind w:left="0" w:leftChars="0" w:firstLine="0" w:firstLineChars="0"/>
        <w:jc w:val="center"/>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rcRect l="1" r="2222" b="42053"/>
                    <a:stretch>
                      <a:fillRect/>
                    </a:stretch>
                  </pic:blipFill>
                  <pic:spPr>
                    <a:xfrm>
                      <a:off x="0" y="0"/>
                      <a:ext cx="654566" cy="612913"/>
                    </a:xfrm>
                    <a:prstGeom prst="rect">
                      <a:avLst/>
                    </a:prstGeom>
                    <a:ln>
                      <a:noFill/>
                    </a:ln>
                  </pic:spPr>
                </pic:pic>
              </a:graphicData>
            </a:graphic>
          </wp:inline>
        </w:drawing>
      </w:r>
    </w:p>
    <w:p w14:paraId="0C0875CD">
      <w:pPr>
        <w:pStyle w:val="3"/>
        <w:ind w:left="0" w:leftChars="0" w:firstLine="0" w:firstLineChars="0"/>
        <w:jc w:val="center"/>
        <w:rPr>
          <w:rFonts w:ascii="黑体" w:hAnsi="黑体" w:eastAsia="黑体"/>
        </w:rPr>
      </w:pPr>
      <w:bookmarkStart w:id="4" w:name="_Toc6457"/>
      <w:bookmarkStart w:id="5" w:name="_Toc214013978"/>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bookmarkEnd w:id="4"/>
      <w:bookmarkEnd w:id="5"/>
    </w:p>
    <w:p w14:paraId="522830CF">
      <w:pPr>
        <w:pStyle w:val="4"/>
        <w:spacing w:line="240" w:lineRule="exact"/>
        <w:ind w:left="0" w:leftChars="0" w:firstLine="290" w:firstLineChars="145"/>
        <w:rPr>
          <w:rFonts w:cs="仿宋_GB2312"/>
          <w:sz w:val="20"/>
          <w:szCs w:val="20"/>
          <w:lang w:bidi="ar"/>
        </w:rPr>
      </w:pPr>
    </w:p>
    <w:p w14:paraId="7A69513A">
      <w:pPr>
        <w:pStyle w:val="5"/>
        <w:keepNext w:val="0"/>
        <w:keepLines w:val="0"/>
        <w:pageBreakBefore w:val="0"/>
        <w:widowControl/>
        <w:numPr>
          <w:ilvl w:val="0"/>
          <w:numId w:val="5"/>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6" w:name="_Toc4119"/>
      <w:bookmarkStart w:id="7" w:name="_Toc214013979"/>
      <w:r>
        <w:rPr>
          <w:rFonts w:hint="eastAsia"/>
          <w:lang w:eastAsia="zh-CN"/>
        </w:rPr>
        <w:t>《关于金融支持加快西部陆海新通道建设的意见》</w:t>
      </w:r>
      <w:bookmarkEnd w:id="6"/>
    </w:p>
    <w:p w14:paraId="1FD11ECD">
      <w:pPr>
        <w:rPr>
          <w:rFonts w:hint="eastAsia"/>
          <w:lang w:eastAsia="zh-CN"/>
        </w:rPr>
      </w:pPr>
      <w:r>
        <w:rPr>
          <w:rFonts w:hint="eastAsia"/>
          <w:lang w:eastAsia="zh-CN"/>
        </w:rPr>
        <w:t>为深入贯彻落实习近平总书记重要讲话精神及党中央、国务院决策部署，完善西部陆海新通道金融服务体系，近日，中国人民银行、国家发展改革委等八部门联合印发《关于金融支持加快西部陆海新通道建设的意见》。</w:t>
      </w:r>
    </w:p>
    <w:p w14:paraId="01B8DD93">
      <w:pPr>
        <w:rPr>
          <w:rFonts w:hint="eastAsia"/>
          <w:lang w:eastAsia="zh-CN"/>
        </w:rPr>
      </w:pPr>
      <w:r>
        <w:rPr>
          <w:rFonts w:hint="eastAsia"/>
          <w:lang w:eastAsia="zh-CN"/>
        </w:rPr>
        <w:t>《意见》围绕完善金融组织协作、构建高质量资金融通、推进制度性改革创新、建设数字金融服务平台、完善金融开放合作、深化跨省跨境金融监管协作等六大方面，提出21条重点举措，旨在充分发挥“融资”和“结算”两项金融核心功能，支持西部陆海新通道高质量发展。下一步，中国人民银行、重庆市人民政府将会同相关部门推动《意见》落实落地，发挥金融服务大通道、大物流、大产业、大平台、大市场的优势作用，助力形成“陆海内外联动、东西双向互济”对外开放新格局。</w:t>
      </w:r>
    </w:p>
    <w:p w14:paraId="15E9973B">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24</w:t>
      </w:r>
      <w:r>
        <w:rPr>
          <w:rFonts w:hint="eastAsia" w:cs="仿宋_GB2312"/>
          <w:sz w:val="20"/>
          <w:szCs w:val="20"/>
          <w:lang w:bidi="ar"/>
        </w:rPr>
        <w:t>日</w:t>
      </w:r>
    </w:p>
    <w:p w14:paraId="6715CB13">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中国人民银行、国家发展改革委、财政部、交通运输部、商务部、金融监管总局、中国证监会、国家外汇局</w:t>
      </w:r>
    </w:p>
    <w:p w14:paraId="5758713C">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https://www.pbc.gov.cn/goutongjiaoliu/113456/113469/2025122410475061179/index.html</w:t>
      </w:r>
    </w:p>
    <w:p w14:paraId="7BF06FEB">
      <w:pPr>
        <w:pStyle w:val="5"/>
        <w:bidi w:val="0"/>
        <w:rPr>
          <w:rFonts w:hint="eastAsia"/>
        </w:rPr>
      </w:pPr>
      <w:bookmarkStart w:id="8" w:name="_Toc2623"/>
      <w:r>
        <w:rPr>
          <w:rFonts w:hint="eastAsia"/>
          <w:lang w:eastAsia="zh-CN"/>
        </w:rPr>
        <w:t>《关于促进光热发电规模化发展的若干意见》</w:t>
      </w:r>
      <w:bookmarkEnd w:id="8"/>
    </w:p>
    <w:p w14:paraId="74141697">
      <w:pPr>
        <w:rPr>
          <w:rFonts w:hint="eastAsia"/>
          <w:lang w:eastAsia="zh-CN"/>
        </w:rPr>
      </w:pPr>
      <w:r>
        <w:rPr>
          <w:rFonts w:hint="eastAsia"/>
          <w:lang w:eastAsia="zh-CN"/>
        </w:rPr>
        <w:t xml:space="preserve">为加快构建新型电力系统，国家发展改革委、国家能源局联合印发意见，推动光热发电规模化发展。光热发电兼具调峰电源与长时储能功能，可支撑新能源安全替代传统能源，其产业链长、开发潜力大，将成新能源产业新增长点。  </w:t>
      </w:r>
    </w:p>
    <w:p w14:paraId="16238789">
      <w:pPr>
        <w:rPr>
          <w:rFonts w:hint="eastAsia"/>
          <w:lang w:eastAsia="zh-CN"/>
        </w:rPr>
      </w:pPr>
      <w:r>
        <w:rPr>
          <w:rFonts w:hint="eastAsia"/>
          <w:lang w:eastAsia="zh-CN"/>
        </w:rPr>
        <w:t xml:space="preserve">意见明确总体目标：到2030年，光热发电总装机力争达1500万千瓦，度电成本与煤电基本相当，技术实现国际领先并完全自主可控。重点任务包括加强规划引导，开展资源普查、优化布局并推动与高载能产业协同；培育应用市场，结合大型能源基地建设配置光热规模，打造支撑调节型电站及源网荷储一体化系统；发挥系统支撑作用，强化调频调峰能力，提升在运项目调度响应；推动技术创新，突破高参数大容量技术及关键装备国产化，建立产业链协同机制；完善政策保障，支持REITs发行、公平参与电力市场，建立激励机制与绿色收益渠道，并加强土地等要素保障。  </w:t>
      </w:r>
    </w:p>
    <w:p w14:paraId="5CF1BDF7">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23</w:t>
      </w:r>
      <w:r>
        <w:rPr>
          <w:rFonts w:hint="eastAsia" w:cs="仿宋_GB2312"/>
          <w:sz w:val="20"/>
          <w:szCs w:val="20"/>
          <w:lang w:bidi="ar"/>
        </w:rPr>
        <w:t>日</w:t>
      </w:r>
    </w:p>
    <w:p w14:paraId="1242BD28">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国家发展改革委、国家能源局</w:t>
      </w:r>
    </w:p>
    <w:p w14:paraId="1A998FFB">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https://www.ndrc.gov.cn/xwdt/tzgg/202512/t20251223_1402541.html</w:t>
      </w:r>
    </w:p>
    <w:p w14:paraId="076F6766">
      <w:pPr>
        <w:pStyle w:val="5"/>
        <w:bidi w:val="0"/>
        <w:rPr>
          <w:rFonts w:hint="eastAsia"/>
        </w:rPr>
      </w:pPr>
      <w:bookmarkStart w:id="9" w:name="_Toc11951"/>
      <w:r>
        <w:rPr>
          <w:rFonts w:hint="eastAsia"/>
          <w:lang w:eastAsia="zh-CN"/>
        </w:rPr>
        <w:t>《鼓励外商投资产业目录（2025年版）》</w:t>
      </w:r>
      <w:bookmarkEnd w:id="9"/>
    </w:p>
    <w:p w14:paraId="366BC1B8">
      <w:pPr>
        <w:rPr>
          <w:rFonts w:hint="eastAsia"/>
          <w:lang w:eastAsia="zh-CN"/>
        </w:rPr>
      </w:pPr>
      <w:r>
        <w:rPr>
          <w:rFonts w:hint="eastAsia"/>
          <w:lang w:eastAsia="zh-CN"/>
        </w:rPr>
        <w:t>近日，经国务院同意，国家发展改革委、商务部发布《鼓励外商投资产业目录（2025年版）》，自2026年2月1日起施行。《鼓励目录》作为我国重要的外商投资促进政策及外资产业和区域政策，本次修订旨在落实党中央、国务院稳外资决策部署，引导外资投向先进制造业、现代服务业、高新技术、节能环保等领域及中西部和东北地区。</w:t>
      </w:r>
    </w:p>
    <w:p w14:paraId="4560F0FF">
      <w:pPr>
        <w:rPr>
          <w:rFonts w:hint="eastAsia"/>
          <w:lang w:eastAsia="zh-CN"/>
        </w:rPr>
      </w:pPr>
      <w:r>
        <w:rPr>
          <w:rFonts w:hint="eastAsia"/>
          <w:lang w:eastAsia="zh-CN"/>
        </w:rPr>
        <w:t>新版《鼓励目录》总条目共1679条，较2022年版净增205条、修改303条。其中，全国目录619条（增100条、改131条），地区目录1060条（增105条、改172条）。主要变化包括：一是鼓励先进制造业，新增核酸类药物开发生产、智能检测装备制造等条目；二是支持现代服务业，纳入新材料共性技术平台运营、虚拟电厂运营研发及宠物医院、体育旅游等服务消费内容；三是引导外资投向中西部和东北地区，结合各地优势新增辽宁邮轮旅游、黑龙江冰雪装备研发等地区特色条目。</w:t>
      </w:r>
    </w:p>
    <w:p w14:paraId="6DA09E1E">
      <w:pPr>
        <w:rPr>
          <w:rFonts w:hint="eastAsia"/>
          <w:lang w:eastAsia="zh-CN"/>
        </w:rPr>
      </w:pPr>
      <w:r>
        <w:rPr>
          <w:rFonts w:hint="eastAsia"/>
          <w:lang w:eastAsia="zh-CN"/>
        </w:rPr>
        <w:t>外商投资鼓励领域可享受进口自用设备免税、工业用地优惠、西部及海南地区企业所得税减按15%征收、利润再投资税收抵免等政策。国家发展改革委、商务部将通过推进重大外资项目、开展服务外资企业专项行动、搭建投资合作平台等措施落实政策，营造一流营商环境。2022年版鼓励目录届时将废止。</w:t>
      </w:r>
    </w:p>
    <w:p w14:paraId="5EBD1229">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24</w:t>
      </w:r>
      <w:r>
        <w:rPr>
          <w:rFonts w:hint="eastAsia" w:cs="仿宋_GB2312"/>
          <w:sz w:val="20"/>
          <w:szCs w:val="20"/>
          <w:lang w:bidi="ar"/>
        </w:rPr>
        <w:t>日</w:t>
      </w:r>
    </w:p>
    <w:p w14:paraId="6903BA17">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国家发展和改革委员会、中华人民共和国商务部</w:t>
      </w:r>
    </w:p>
    <w:p w14:paraId="36F678FD">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https://www.ndrc.gov.cn/xxgk/zcfb/fzggwl/202512/t20251224_1402564.html</w:t>
      </w:r>
    </w:p>
    <w:p w14:paraId="532A6A7D">
      <w:pPr>
        <w:pStyle w:val="5"/>
        <w:bidi w:val="0"/>
        <w:rPr>
          <w:rFonts w:hint="eastAsia"/>
        </w:rPr>
      </w:pPr>
      <w:bookmarkStart w:id="10" w:name="_Toc15122"/>
      <w:r>
        <w:rPr>
          <w:rFonts w:hint="eastAsia"/>
          <w:lang w:eastAsia="zh-CN"/>
        </w:rPr>
        <w:t>《中华人民共和国增值税法实施条例（草案）》</w:t>
      </w:r>
      <w:bookmarkEnd w:id="10"/>
    </w:p>
    <w:p w14:paraId="174169C5">
      <w:pPr>
        <w:rPr>
          <w:rFonts w:hint="eastAsia"/>
          <w:lang w:eastAsia="zh-CN"/>
        </w:rPr>
      </w:pPr>
      <w:r>
        <w:rPr>
          <w:rFonts w:hint="eastAsia"/>
          <w:lang w:eastAsia="zh-CN"/>
        </w:rPr>
        <w:t>2025年12月19日，国务院总理李强主持召开国务院常务会议，审议通过《中华人民共和国增值税法实施条例（草案）》（以下简称“草案”），这是《中华人民共和国增值税法》（以下简称《增值税法》）向实践落地的关键一步，为2026年1月1日《增值税法》正式施行筑牢制度支撑。作为贯彻落实中央经济工作会议决策部署的重要行动，会议指出，要有力保障《增值税法》顺利实施，做实做细法律普及、操作指引等工作，确保纳税人有法可依、税务机关执法有据，切实保护纳税人权益，营造公平竞争环境。《增值税法》是规范增值税征收和缴纳的法律。2024年12月25日，《增值税法》在3次广泛征求社会意见和修订完善后，经十四届全国人大常委会第十三次会议表决通过后，正式对外发布，明确自2026年1月1日起施行。</w:t>
      </w:r>
    </w:p>
    <w:p w14:paraId="78738701">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19</w:t>
      </w:r>
      <w:r>
        <w:rPr>
          <w:rFonts w:hint="eastAsia" w:cs="仿宋_GB2312"/>
          <w:sz w:val="20"/>
          <w:szCs w:val="20"/>
          <w:lang w:bidi="ar"/>
        </w:rPr>
        <w:t>日</w:t>
      </w:r>
    </w:p>
    <w:p w14:paraId="6E2EDCFA">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国务院</w:t>
      </w:r>
    </w:p>
    <w:p w14:paraId="383EDBD6">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https://www.gov.cn/zhengce/202512/content_7052295.htm</w:t>
      </w:r>
    </w:p>
    <w:p w14:paraId="40A8F07C">
      <w:pPr>
        <w:pStyle w:val="5"/>
        <w:bidi w:val="0"/>
        <w:rPr>
          <w:rFonts w:hint="eastAsia"/>
        </w:rPr>
      </w:pPr>
      <w:bookmarkStart w:id="11" w:name="_Toc20868"/>
      <w:r>
        <w:rPr>
          <w:rFonts w:hint="eastAsia"/>
          <w:lang w:eastAsia="zh-CN"/>
        </w:rPr>
        <w:t>《互联网平台价格行为规则》</w:t>
      </w:r>
      <w:bookmarkEnd w:id="11"/>
    </w:p>
    <w:p w14:paraId="0125D717">
      <w:pPr>
        <w:rPr>
          <w:rFonts w:hint="eastAsia"/>
          <w:lang w:eastAsia="zh-CN"/>
        </w:rPr>
      </w:pPr>
      <w:r>
        <w:rPr>
          <w:rFonts w:hint="eastAsia"/>
          <w:lang w:eastAsia="zh-CN"/>
        </w:rPr>
        <w:t>为健全互联网平台常态化价格监管机制，规范价格行为，保护消费者和经营者合法权益，推动平台经济创新健康发展，国家发展改革委、市场监管总局、国家网信办联合印发《互联网平台价格行为规则》。该规则明确适用于平台经营者及平台内经营者在境内通过互联网平台销售商品或提供服务的价格行为，包括定价、价格标示、收费、补贴等。</w:t>
      </w:r>
    </w:p>
    <w:p w14:paraId="76C73853">
      <w:pPr>
        <w:rPr>
          <w:rFonts w:hint="eastAsia"/>
          <w:lang w:eastAsia="zh-CN"/>
        </w:rPr>
      </w:pPr>
      <w:r>
        <w:rPr>
          <w:rFonts w:hint="eastAsia"/>
          <w:lang w:eastAsia="zh-CN"/>
        </w:rPr>
        <w:t>规则强调经营者应遵循合法合规、公平诚信等原则，依法行使自主定价权，平台不得强制经营者降价或限制其在其他渠道定价。在价格标示方面，要求明码标价，公示促销规则、动态定价规则及预估价格构成，禁止在标价外加收未标明费用。针对价格竞争，规则严禁低价倾销、大数据杀熟、价格歧视、哄抬价格及价格欺诈等行为，明确促销需标明折价基准，积分等折抵价款应公示计算办法。</w:t>
      </w:r>
    </w:p>
    <w:p w14:paraId="73ADFE16">
      <w:pPr>
        <w:rPr>
          <w:rFonts w:hint="eastAsia"/>
          <w:lang w:eastAsia="zh-CN"/>
        </w:rPr>
      </w:pPr>
      <w:r>
        <w:rPr>
          <w:rFonts w:hint="eastAsia"/>
          <w:lang w:eastAsia="zh-CN"/>
        </w:rPr>
        <w:t>消费者权益保护方面，规则要求经营者以显著方式展示免密支付、自动续期等选项并提供取消途径，自动扣款需提前提醒。监督机制上，三部门将依职责开展监管，平台需建立价格合规制度、投诉渠道及争议解决机制。规则自2026年4月10日起施行，有效期5年。</w:t>
      </w:r>
    </w:p>
    <w:p w14:paraId="10F9C973">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20</w:t>
      </w:r>
      <w:r>
        <w:rPr>
          <w:rFonts w:hint="eastAsia" w:cs="仿宋_GB2312"/>
          <w:sz w:val="20"/>
          <w:szCs w:val="20"/>
          <w:lang w:bidi="ar"/>
        </w:rPr>
        <w:t>日</w:t>
      </w:r>
    </w:p>
    <w:p w14:paraId="35B781D9">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国家发展改革委、市场监管总局、国家网信办</w:t>
      </w:r>
    </w:p>
    <w:p w14:paraId="3BFA705E">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https://www.samr.gov.cn/zw/zfxxgk/fdzdgknr/jjjzs/art/2025/art_eef66659c9624c5091bd3acd050b1710.html</w:t>
      </w:r>
    </w:p>
    <w:p w14:paraId="6E0E4761">
      <w:pPr>
        <w:pStyle w:val="5"/>
        <w:bidi w:val="0"/>
        <w:rPr>
          <w:rFonts w:hint="eastAsia"/>
          <w:lang w:eastAsia="zh-CN"/>
        </w:rPr>
      </w:pPr>
      <w:bookmarkStart w:id="12" w:name="_Toc8531"/>
      <w:r>
        <w:rPr>
          <w:rFonts w:hint="eastAsia"/>
          <w:lang w:eastAsia="zh-CN"/>
        </w:rPr>
        <w:t>《关于贯彻落实〈国务院办公厅关于在政府采购中实施本国产品标准及相关政策的通知〉的意见》</w:t>
      </w:r>
      <w:bookmarkEnd w:id="12"/>
    </w:p>
    <w:p w14:paraId="060C305C">
      <w:pPr>
        <w:rPr>
          <w:rFonts w:hint="eastAsia"/>
          <w:lang w:eastAsia="zh-CN"/>
        </w:rPr>
      </w:pPr>
      <w:r>
        <w:rPr>
          <w:rFonts w:hint="eastAsia"/>
          <w:lang w:eastAsia="zh-CN"/>
        </w:rPr>
        <w:t>为深入贯彻落实《国务院办公厅关于在政府采购中实施本国产品标准及相关政策的通知》，加快构建统一开放、竞争有序的政府采购市场体系，财政部、工业和信息化部联合印发意见。意见指出，《通知》是政府采购领域的重要制度创新，对构建新发展格局具有重要意义，各地区各部门需提高站位，将要求落实到位。</w:t>
      </w:r>
    </w:p>
    <w:p w14:paraId="5A34C460">
      <w:pPr>
        <w:rPr>
          <w:rFonts w:hint="eastAsia"/>
          <w:lang w:eastAsia="zh-CN"/>
        </w:rPr>
      </w:pPr>
      <w:r>
        <w:rPr>
          <w:rFonts w:hint="eastAsia"/>
          <w:lang w:eastAsia="zh-CN"/>
        </w:rPr>
        <w:t>要求方面，意见明确本国产品应在中国境内生产，包括保税区等特殊监管区域产品及取得国内医疗器械注册证的产品；财政部将会同工信部等，分产品制定境内组件成本占比等标准，合理设置过渡期；采购人需审查供应商《声明函》，不符则产品视为不达标；县级以上财政部门可会同工信等部门及专业机构核实产品信息，严处假冒行为；同时强调落实外资企业国民待遇，禁止不合理限制。在贯彻落实上，地方财政部门要加强政策指导、完善内控机制，各级预算单位需将政策嵌入采购全流程，确保2026年1月1日起实施；要建立部门协调机制，强化监督检查，保障供应商合法权益。</w:t>
      </w:r>
    </w:p>
    <w:p w14:paraId="415EBF21">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19</w:t>
      </w:r>
      <w:r>
        <w:rPr>
          <w:rFonts w:hint="eastAsia" w:cs="仿宋_GB2312"/>
          <w:sz w:val="20"/>
          <w:szCs w:val="20"/>
          <w:lang w:bidi="ar"/>
        </w:rPr>
        <w:t>日</w:t>
      </w:r>
    </w:p>
    <w:p w14:paraId="6DBBFC19">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财政部、工业和信息化部</w:t>
      </w:r>
    </w:p>
    <w:p w14:paraId="6D1671D4">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https://baijiahao.baidu.com/s?id=1851924328986350931&amp;wfr=spider&amp;for=pc</w:t>
      </w:r>
    </w:p>
    <w:p w14:paraId="33C6771C">
      <w:pPr>
        <w:pStyle w:val="4"/>
        <w:spacing w:line="360" w:lineRule="auto"/>
        <w:ind w:left="0" w:leftChars="0" w:firstLine="0" w:firstLineChars="0"/>
        <w:rPr>
          <w:rFonts w:cs="仿宋_GB2312"/>
          <w:sz w:val="20"/>
          <w:szCs w:val="20"/>
          <w:lang w:bidi="ar"/>
        </w:rPr>
      </w:pPr>
    </w:p>
    <w:p w14:paraId="502B6B6B">
      <w:pPr>
        <w:rPr>
          <w:rFonts w:hint="eastAsia"/>
          <w:lang w:eastAsia="zh-CN"/>
        </w:rPr>
      </w:pPr>
    </w:p>
    <w:bookmarkEnd w:id="7"/>
    <w:p w14:paraId="13ECDD1D">
      <w:pPr>
        <w:ind w:left="0" w:leftChars="0" w:firstLine="464" w:firstLineChars="145"/>
      </w:pPr>
    </w:p>
    <w:p w14:paraId="28732029">
      <w:pPr>
        <w:snapToGrid w:val="0"/>
        <w:spacing w:line="240" w:lineRule="auto"/>
        <w:ind w:left="0" w:leftChars="0" w:firstLine="0" w:firstLineChars="0"/>
        <w:jc w:val="center"/>
        <w:rPr>
          <w:rFonts w:ascii="宋体" w:hAnsi="宋体" w:eastAsia="宋体" w:cs="宋体"/>
          <w:i/>
          <w:iCs/>
          <w:color w:val="666666"/>
          <w:kern w:val="0"/>
          <w:sz w:val="21"/>
          <w:szCs w:val="21"/>
          <w:shd w:val="clear" w:color="auto" w:fill="FFFFFF"/>
          <w:lang w:bidi="ar"/>
        </w:rPr>
      </w:pPr>
      <w:r>
        <w:rPr>
          <w:rFonts w:ascii="宋体" w:hAnsi="宋体" w:eastAsia="宋体" w:cs="宋体"/>
          <w:i/>
          <w:iCs/>
          <w:color w:val="666666"/>
          <w:kern w:val="0"/>
          <w:sz w:val="21"/>
          <w:szCs w:val="21"/>
          <w:shd w:val="clear" w:color="auto" w:fill="FFFFFF"/>
        </w:rPr>
        <w:drawing>
          <wp:inline distT="0" distB="0" distL="114300" distR="114300">
            <wp:extent cx="774700" cy="605790"/>
            <wp:effectExtent l="0" t="0" r="6350" b="3810"/>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rcRect r="3217" b="39995"/>
                    <a:stretch>
                      <a:fillRect/>
                    </a:stretch>
                  </pic:blipFill>
                  <pic:spPr>
                    <a:xfrm>
                      <a:off x="0" y="0"/>
                      <a:ext cx="780678" cy="610964"/>
                    </a:xfrm>
                    <a:prstGeom prst="rect">
                      <a:avLst/>
                    </a:prstGeom>
                    <a:ln>
                      <a:noFill/>
                    </a:ln>
                  </pic:spPr>
                </pic:pic>
              </a:graphicData>
            </a:graphic>
          </wp:inline>
        </w:drawing>
      </w:r>
    </w:p>
    <w:p w14:paraId="7A5D4C23">
      <w:pPr>
        <w:pStyle w:val="3"/>
        <w:ind w:left="0" w:leftChars="0" w:firstLine="0" w:firstLineChars="0"/>
        <w:jc w:val="center"/>
        <w:rPr>
          <w:rFonts w:hint="eastAsia" w:ascii="黑体" w:hAnsi="黑体" w:eastAsia="黑体"/>
        </w:rPr>
      </w:pPr>
      <w:bookmarkStart w:id="13" w:name="_Toc26275"/>
      <w:bookmarkStart w:id="14" w:name="_Toc214013984"/>
      <w:r>
        <w:rPr>
          <w:rFonts w:hint="eastAsia" w:ascii="黑体" w:hAnsi="黑体" w:eastAsia="黑体"/>
        </w:rPr>
        <w:t>湖北省</w:t>
      </w:r>
      <w:bookmarkEnd w:id="13"/>
      <w:bookmarkEnd w:id="14"/>
    </w:p>
    <w:p w14:paraId="4F2F7393">
      <w:pPr>
        <w:pStyle w:val="5"/>
        <w:keepNext w:val="0"/>
        <w:keepLines w:val="0"/>
        <w:pageBreakBefore w:val="0"/>
        <w:widowControl/>
        <w:numPr>
          <w:ilvl w:val="0"/>
          <w:numId w:val="6"/>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lang w:eastAsia="zh-CN"/>
        </w:rPr>
      </w:pPr>
      <w:bookmarkStart w:id="15" w:name="_Toc28135"/>
      <w:bookmarkStart w:id="16" w:name="_Toc214013986"/>
      <w:bookmarkStart w:id="17" w:name="_Toc214013985"/>
      <w:r>
        <w:rPr>
          <w:rFonts w:hint="eastAsia"/>
        </w:rPr>
        <w:t>《</w:t>
      </w:r>
      <w:r>
        <w:rPr>
          <w:rFonts w:hint="eastAsia"/>
          <w:lang w:eastAsia="zh-CN"/>
        </w:rPr>
        <w:t>省科技厅关于开展2025年度湖北省科技型企业孵化器认定工作的通知</w:t>
      </w:r>
      <w:r>
        <w:rPr>
          <w:rFonts w:hint="eastAsia"/>
        </w:rPr>
        <w:t>》</w:t>
      </w:r>
      <w:bookmarkEnd w:id="15"/>
      <w:bookmarkEnd w:id="16"/>
    </w:p>
    <w:p w14:paraId="631F9B7F">
      <w:pPr>
        <w:rPr>
          <w:rFonts w:hint="eastAsia"/>
          <w:lang w:eastAsia="zh-CN"/>
        </w:rPr>
      </w:pPr>
      <w:r>
        <w:rPr>
          <w:rFonts w:hint="eastAsia"/>
          <w:lang w:eastAsia="zh-CN"/>
        </w:rPr>
        <w:t>为加强湖北省科技型企业孵化器管理，省科技厅根据《湖北省科技型企业孵化器管理办法》（鄂科技规〔2025〕7号），组织开展2025年度省级科技型企业孵化器认定工作。本次认定仅面向基础级，申报机构需满足未获省级及以上认定、运营主体为独立法人、被认定为市级孵化器或2024年底前注册运营、已报送火炬统计数据等条件。申报程序分为三步：申报机构需于2026年1月20日前通过“湖北省科技计划项目管理平台”在线提交材料，推荐单位于1月26日前完成网上推荐，1月28日前报送纸质推荐材料。省科技厅将按《管理办法》开展评审、核查、公示及认定工作。</w:t>
      </w:r>
    </w:p>
    <w:p w14:paraId="28430B74">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19</w:t>
      </w:r>
      <w:r>
        <w:rPr>
          <w:rFonts w:hint="eastAsia" w:cs="仿宋_GB2312"/>
          <w:sz w:val="20"/>
          <w:szCs w:val="20"/>
          <w:lang w:bidi="ar"/>
        </w:rPr>
        <w:t>日</w:t>
      </w:r>
    </w:p>
    <w:p w14:paraId="48ABB7C4">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湖北省科技厅</w:t>
      </w:r>
    </w:p>
    <w:p w14:paraId="07A5B587">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https://kjt.hubei.gov.cn/zfxxgk_GK2020/zc2020/qtzdgk/gsgg/202512/t20251219_5837467.shtml</w:t>
      </w:r>
    </w:p>
    <w:p w14:paraId="051EACEB">
      <w:pPr>
        <w:pStyle w:val="5"/>
        <w:bidi w:val="0"/>
        <w:rPr>
          <w:rFonts w:hint="eastAsia"/>
        </w:rPr>
      </w:pPr>
      <w:bookmarkStart w:id="18" w:name="_Toc12847"/>
      <w:r>
        <w:rPr>
          <w:rFonts w:hint="eastAsia"/>
          <w:lang w:eastAsia="zh-CN"/>
        </w:rPr>
        <w:t>《武汉市生产性服务业提质增效若干政策（征求意见稿）》</w:t>
      </w:r>
      <w:bookmarkEnd w:id="18"/>
    </w:p>
    <w:p w14:paraId="5BF5D939">
      <w:pPr>
        <w:rPr>
          <w:rFonts w:hint="eastAsia"/>
          <w:lang w:eastAsia="zh-CN"/>
        </w:rPr>
      </w:pPr>
      <w:r>
        <w:rPr>
          <w:rFonts w:hint="eastAsia"/>
          <w:lang w:eastAsia="zh-CN"/>
        </w:rPr>
        <w:t>为加快推进武汉市生产性服务业高质量发展，推动其向专业化和价值链高端延伸，支撑新质生产力培育，武汉市发展和改革委员会于2025年12月17日发布《武汉市生产性服务业提质增效若干政策（征求意见稿）》，并向社会公开征求意见，意见反馈截止时间为2026年1月15日。</w:t>
      </w:r>
    </w:p>
    <w:p w14:paraId="7B0B169D">
      <w:pPr>
        <w:rPr>
          <w:rFonts w:hint="eastAsia"/>
          <w:lang w:eastAsia="zh-CN"/>
        </w:rPr>
      </w:pPr>
      <w:r>
        <w:rPr>
          <w:rFonts w:hint="eastAsia"/>
          <w:lang w:eastAsia="zh-CN"/>
        </w:rPr>
        <w:t>该政策从提升产业协调创新能力、引领产业向价值链高端延伸、提高专业服务能级水平、支持实施服务业重点工程四大方面提出十五项具体措施。在提升产业协调创新能力方面，对市新型研发机构最高给予2500万元支持，中试平台最高1000万元，技术创新中心等最高100万元，促成技术交易的技术经理人事务所按交易额最高5%支持且每家每年最高150万元。引领产业向价值链高端延伸方面，明确了打造软件名品、优化科技创新融资渠道、制定物流行业标准等支持举措，如对入选国家级首版次软件产品清单的企业给予100万元奖励。提高专业服务能级水平和支持实施服务业重点工程板块，也针对人力资源服务、会展业、法律服务、数据开发利用、服务业数智化升级等领域制定了相应奖励和支持办法。政策自施行起有效期3年，与省、市其他同类政策按“就高不重复”原则支持。</w:t>
      </w:r>
    </w:p>
    <w:p w14:paraId="75F01E33">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19</w:t>
      </w:r>
      <w:r>
        <w:rPr>
          <w:rFonts w:hint="eastAsia" w:cs="仿宋_GB2312"/>
          <w:sz w:val="20"/>
          <w:szCs w:val="20"/>
          <w:lang w:bidi="ar"/>
        </w:rPr>
        <w:t>日</w:t>
      </w:r>
    </w:p>
    <w:p w14:paraId="3A3FF46F">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武汉市发展和改革委员会</w:t>
      </w:r>
    </w:p>
    <w:p w14:paraId="10DF51AC">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https://fgw.wuhan.gov.cn/hdjl/zjdc/zjdc2/zjdc.html?collectionId=2000&amp;siteId=6&amp;status=0</w:t>
      </w:r>
    </w:p>
    <w:bookmarkEnd w:id="17"/>
    <w:p w14:paraId="47532CA2">
      <w:pPr>
        <w:snapToGrid w:val="0"/>
        <w:ind w:left="0" w:leftChars="0" w:firstLine="304" w:firstLineChars="145"/>
        <w:rPr>
          <w:rFonts w:ascii="宋体" w:hAnsi="宋体" w:eastAsia="宋体" w:cs="宋体"/>
          <w:i/>
          <w:iCs/>
          <w:color w:val="666666"/>
          <w:kern w:val="0"/>
          <w:sz w:val="21"/>
          <w:szCs w:val="21"/>
          <w:shd w:val="clear" w:color="auto" w:fill="FFFFFF"/>
          <w:lang w:bidi="ar"/>
        </w:rPr>
      </w:pPr>
    </w:p>
    <w:p w14:paraId="281FE554">
      <w:pPr>
        <w:pStyle w:val="2"/>
        <w:ind w:left="0" w:leftChars="0" w:firstLine="0" w:firstLineChars="0"/>
        <w:rPr>
          <w:rFonts w:hint="eastAsia" w:ascii="宋体" w:hAnsi="宋体" w:eastAsia="宋体" w:cs="宋体"/>
          <w:i/>
          <w:iCs/>
          <w:color w:val="666666"/>
          <w:kern w:val="0"/>
          <w:sz w:val="36"/>
          <w:szCs w:val="36"/>
          <w:shd w:val="clear" w:color="auto" w:fill="FFFFFF"/>
          <w:lang w:bidi="ar"/>
        </w:rPr>
      </w:pPr>
      <w:bookmarkStart w:id="19" w:name="_Toc214013989"/>
      <w:bookmarkStart w:id="20" w:name="_Toc30734"/>
      <w:r>
        <w:rPr>
          <w:rFonts w:hint="eastAsia"/>
          <w:sz w:val="36"/>
          <w:szCs w:val="36"/>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19"/>
      <w:bookmarkEnd w:id="20"/>
    </w:p>
    <w:p w14:paraId="26A3307B">
      <w:pPr>
        <w:ind w:left="0" w:leftChars="0" w:firstLine="464" w:firstLineChars="145"/>
        <w:rPr>
          <w:lang w:bidi="ar"/>
        </w:rPr>
      </w:pPr>
    </w:p>
    <w:p w14:paraId="0D11D182">
      <w:pPr>
        <w:pStyle w:val="5"/>
        <w:numPr>
          <w:ilvl w:val="0"/>
          <w:numId w:val="7"/>
        </w:numPr>
        <w:bidi w:val="0"/>
        <w:rPr>
          <w:rFonts w:hint="eastAsia"/>
        </w:rPr>
      </w:pPr>
      <w:bookmarkStart w:id="21" w:name="_Toc19326"/>
      <w:r>
        <w:rPr>
          <w:rFonts w:hint="eastAsia"/>
          <w:lang w:eastAsia="zh-CN"/>
        </w:rPr>
        <w:t>湖北发布自主安全计算产业图谱，超200家企业“上图”</w:t>
      </w:r>
      <w:bookmarkEnd w:id="21"/>
    </w:p>
    <w:p w14:paraId="22464A52">
      <w:pPr>
        <w:rPr>
          <w:rFonts w:hint="eastAsia"/>
          <w:lang w:eastAsia="zh-CN"/>
        </w:rPr>
      </w:pPr>
      <w:r>
        <w:rPr>
          <w:rFonts w:hint="eastAsia"/>
          <w:lang w:eastAsia="zh-CN"/>
        </w:rPr>
        <w:t>2025年湖北省自主安全计算产业图谱近日发布，此举旨在推动该省自主安全计算产业从“单兵作战”迈向“集群共赢”。自主安全计算作为保障数字经济安全运行的“底座”，以国产CPU、操作系统为基础构建软硬件适配生态系统。此次发布的产业图谱清晰标注了全省基础硬件、基础软件、信息安全、应用软件等七大板块的200多家企业。</w:t>
      </w:r>
    </w:p>
    <w:p w14:paraId="1B13BD1C">
      <w:pPr>
        <w:rPr>
          <w:rFonts w:hint="eastAsia"/>
          <w:lang w:eastAsia="zh-CN"/>
        </w:rPr>
      </w:pPr>
      <w:r>
        <w:rPr>
          <w:rFonts w:hint="eastAsia"/>
          <w:lang w:eastAsia="zh-CN"/>
        </w:rPr>
        <w:t>中国电子云副总裁胡超表示，产业图谱有助于企业寻找上下游合作伙伴，整合资源以提升整体解决方案能力。对企业而言，图谱如同高效“资源导航图”，可快速对接合作方；对产业来说，它是政府精准施策的“参考依据”，助力把握产业全貌、发现短板并实现“补链强链”。</w:t>
      </w:r>
    </w:p>
    <w:p w14:paraId="14E416F5">
      <w:pPr>
        <w:rPr>
          <w:rFonts w:hint="eastAsia"/>
          <w:lang w:eastAsia="zh-CN"/>
        </w:rPr>
      </w:pPr>
      <w:r>
        <w:rPr>
          <w:rFonts w:hint="eastAsia"/>
          <w:lang w:eastAsia="zh-CN"/>
        </w:rPr>
        <w:t>湖北省自主安全计算产业联盟理事长、武汉达梦数据库股份有限公司高级副总经理张永强指出，自主安全产业已从单点突破进入集群优势阶段，需通过上下游协同创新支撑产业发展。下一步，湖北将依托该图谱整合芯片、系统、数据库等领域优势资源，加大关键技术突破及产业生态、人才队伍培育力度。</w:t>
      </w:r>
    </w:p>
    <w:p w14:paraId="76A0C010">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21</w:t>
      </w:r>
      <w:r>
        <w:rPr>
          <w:rFonts w:hint="eastAsia" w:cs="仿宋_GB2312"/>
          <w:sz w:val="20"/>
          <w:szCs w:val="20"/>
          <w:lang w:bidi="ar"/>
        </w:rPr>
        <w:t>日</w:t>
      </w:r>
    </w:p>
    <w:p w14:paraId="76BFD1D4">
      <w:pPr>
        <w:pStyle w:val="4"/>
        <w:spacing w:line="360" w:lineRule="auto"/>
        <w:ind w:left="0" w:leftChars="0" w:firstLine="0" w:firstLineChars="0"/>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湖北省经信厅</w:t>
      </w:r>
    </w:p>
    <w:p w14:paraId="5D516B34">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https://jxt.hubei.gov.cn/bmdt/rdjj/202512/t20251222_5838773.shtml</w:t>
      </w:r>
    </w:p>
    <w:p w14:paraId="1C8216EA">
      <w:pPr>
        <w:pStyle w:val="5"/>
        <w:numPr>
          <w:ilvl w:val="0"/>
          <w:numId w:val="7"/>
        </w:numPr>
        <w:bidi w:val="0"/>
        <w:rPr>
          <w:rFonts w:hint="eastAsia"/>
        </w:rPr>
      </w:pPr>
      <w:bookmarkStart w:id="22" w:name="_Toc2673"/>
      <w:r>
        <w:rPr>
          <w:rFonts w:hint="eastAsia"/>
        </w:rPr>
        <w:t>国家数据基础设施试点项目——“汉数通”平台上线发布</w:t>
      </w:r>
      <w:bookmarkEnd w:id="22"/>
    </w:p>
    <w:p w14:paraId="57C7B42F">
      <w:pPr>
        <w:rPr>
          <w:rFonts w:hint="eastAsia"/>
          <w:lang w:eastAsia="zh-CN"/>
        </w:rPr>
      </w:pPr>
      <w:r>
        <w:rPr>
          <w:rFonts w:hint="eastAsia"/>
          <w:lang w:eastAsia="zh-CN"/>
        </w:rPr>
        <w:t>2025武汉数字经济产业合作交流会上，国家数据基础设施试点项目“汉数通”平台正式上线，标志着武汉在数据要素市场化运营领域取得重要进展。作为国家首批数据流通利用试点核心载体，该平台聚焦找数用数难、跨域加工难、规模流通难等痛点，运用隐私保护计算、区块链等技术，构建统一数据资源管理体系与标准化服务接口，打通政府、企业及社会公共数据连接通道，形成覆盖广泛、调度灵活的底层支撑网络。</w:t>
      </w:r>
    </w:p>
    <w:p w14:paraId="74B0D7DE">
      <w:pPr>
        <w:rPr>
          <w:rFonts w:hint="eastAsia"/>
          <w:lang w:eastAsia="zh-CN"/>
        </w:rPr>
      </w:pPr>
      <w:r>
        <w:rPr>
          <w:rFonts w:hint="eastAsia"/>
          <w:lang w:eastAsia="zh-CN"/>
        </w:rPr>
        <w:t>目前平台已建成数据基础设施底座及两大核心平台，支持8种隐私保护计算技术路线，完成与18个试点城市互联互通，接入697家市场主体，上架1239个数据产品，实现“一键注册”“一键用数”便捷操作。试运行期间打造的特色场景成效显著：商保核保效率提升50%，物流单柜单程成本降低50%，150个交通信号灯数据接入优化区域通行，通信数据赋能文旅客流分析等应用场景落地。该平台的上线为全国数据要素市场化提供重要借鉴，武汉市下一步将加快公共数据授权运营，拓展更多流通利用场景，推进中部地区数据基础设施枢纽节点建设。</w:t>
      </w:r>
    </w:p>
    <w:p w14:paraId="54F576E1">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19</w:t>
      </w:r>
      <w:r>
        <w:rPr>
          <w:rFonts w:hint="eastAsia" w:cs="仿宋_GB2312"/>
          <w:sz w:val="20"/>
          <w:szCs w:val="20"/>
          <w:lang w:bidi="ar"/>
        </w:rPr>
        <w:t>日</w:t>
      </w:r>
    </w:p>
    <w:p w14:paraId="10E77105">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武汉市数据局</w:t>
      </w:r>
    </w:p>
    <w:p w14:paraId="6E6DC2AE">
      <w:pPr>
        <w:pStyle w:val="4"/>
        <w:spacing w:line="360" w:lineRule="auto"/>
        <w:ind w:left="0" w:leftChars="0" w:firstLine="0" w:firstLineChars="0"/>
        <w:rPr>
          <w:lang w:bidi="ar"/>
        </w:rPr>
      </w:pPr>
      <w:r>
        <w:rPr>
          <w:rFonts w:cs="仿宋_GB2312"/>
          <w:sz w:val="20"/>
          <w:szCs w:val="20"/>
          <w:lang w:bidi="ar"/>
        </w:rPr>
        <w:t>原文链接:</w:t>
      </w:r>
      <w:r>
        <w:rPr>
          <w:rFonts w:hint="eastAsia" w:cs="仿宋_GB2312"/>
          <w:sz w:val="20"/>
          <w:szCs w:val="20"/>
          <w:lang w:bidi="ar"/>
        </w:rPr>
        <w:t>https://home.wuhan.gov.cn/gzdt_93640/202512/t20251219_2698100.shtml</w:t>
      </w:r>
    </w:p>
    <w:p w14:paraId="5D448CE2">
      <w:pPr>
        <w:pStyle w:val="5"/>
        <w:numPr>
          <w:ilvl w:val="0"/>
          <w:numId w:val="7"/>
        </w:numPr>
        <w:bidi w:val="0"/>
        <w:rPr>
          <w:rFonts w:hint="eastAsia"/>
        </w:rPr>
      </w:pPr>
      <w:bookmarkStart w:id="23" w:name="_Toc26755"/>
      <w:r>
        <w:rPr>
          <w:rFonts w:hint="eastAsia"/>
          <w:lang w:eastAsia="zh-CN"/>
        </w:rPr>
        <w:t>王忠林主持召开省委常委会会议，谋深谋实明年全省经济工作，确保“十五五”开好局起好步</w:t>
      </w:r>
      <w:bookmarkEnd w:id="23"/>
    </w:p>
    <w:p w14:paraId="303B1878">
      <w:pPr>
        <w:rPr>
          <w:rFonts w:hint="eastAsia"/>
          <w:lang w:eastAsia="zh-CN"/>
        </w:rPr>
      </w:pPr>
      <w:r>
        <w:rPr>
          <w:rFonts w:hint="eastAsia"/>
          <w:lang w:eastAsia="zh-CN"/>
        </w:rPr>
        <w:t>12月19日下午，湖北省委常委会召开会议，省委书记王忠林主持会议。会议学习习近平总书记近期重要文章，部署贯彻落实措施，审议明年经济工作安排，研究投资体制改革、食品药品安全监管等工作。</w:t>
      </w:r>
    </w:p>
    <w:p w14:paraId="4C079B4C">
      <w:pPr>
        <w:rPr>
          <w:rFonts w:hint="eastAsia"/>
          <w:lang w:eastAsia="zh-CN"/>
        </w:rPr>
      </w:pPr>
      <w:r>
        <w:rPr>
          <w:rFonts w:hint="eastAsia"/>
          <w:lang w:eastAsia="zh-CN"/>
        </w:rPr>
        <w:t>会议指出，要学习习近平总书记《扩大内需是战略之举》重要文章，把握扩大内需战略意义，促进消费和投资、供给和需求良性互动，激发消费潜能，扩大有效投资，营造一流营商环境，融入全国统一大市场，建立释放内需潜力长效机制。</w:t>
      </w:r>
    </w:p>
    <w:p w14:paraId="291C21C6">
      <w:pPr>
        <w:rPr>
          <w:rFonts w:hint="eastAsia"/>
          <w:lang w:eastAsia="zh-CN"/>
        </w:rPr>
      </w:pPr>
      <w:r>
        <w:rPr>
          <w:rFonts w:hint="eastAsia"/>
          <w:lang w:eastAsia="zh-CN"/>
        </w:rPr>
        <w:t>会议强调，今年全省经济态势向好，“十四五”将圆满收官。明年作为“十五五”开局之年，要落实中央经济工作会议精神，制定发展目标，确保开好局。聚焦扩大内需、发展新质生产力、改革开放、协调发展、共同富裕等重点，推动支点建设取得更大成效。</w:t>
      </w:r>
      <w:r>
        <w:rPr>
          <w:rFonts w:hint="eastAsia"/>
          <w:lang w:val="en-US" w:eastAsia="zh-CN"/>
        </w:rPr>
        <w:t>还强调，</w:t>
      </w:r>
      <w:r>
        <w:rPr>
          <w:rFonts w:hint="eastAsia"/>
          <w:lang w:eastAsia="zh-CN"/>
        </w:rPr>
        <w:t>深化投资体制改革需明确“投什么”“谁来投”“怎么投”“如何管”，推动政府投资精准发力，激发社会投资活力，创新投资模式，优化政务服务，加强项目监管。</w:t>
      </w:r>
    </w:p>
    <w:p w14:paraId="09B306A6">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20</w:t>
      </w:r>
      <w:r>
        <w:rPr>
          <w:rFonts w:hint="eastAsia" w:cs="仿宋_GB2312"/>
          <w:sz w:val="20"/>
          <w:szCs w:val="20"/>
          <w:lang w:bidi="ar"/>
        </w:rPr>
        <w:t>日</w:t>
      </w:r>
    </w:p>
    <w:p w14:paraId="2FA9317F">
      <w:pPr>
        <w:pStyle w:val="4"/>
        <w:spacing w:line="360" w:lineRule="auto"/>
        <w:ind w:left="0" w:leftChars="0" w:firstLine="0" w:firstLineChars="0"/>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14:paraId="6E9B2939">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https://www.hubei.gov.cn/zwgk/hbyw/hbywqb/202512/t20251220_5838402.shtml</w:t>
      </w:r>
    </w:p>
    <w:p w14:paraId="5C1BEC42">
      <w:pPr>
        <w:pStyle w:val="5"/>
        <w:numPr>
          <w:ilvl w:val="0"/>
          <w:numId w:val="1"/>
        </w:numPr>
        <w:bidi w:val="0"/>
        <w:rPr>
          <w:rFonts w:hint="eastAsia"/>
        </w:rPr>
      </w:pPr>
      <w:bookmarkStart w:id="24" w:name="_Toc27007"/>
      <w:r>
        <w:rPr>
          <w:rFonts w:hint="eastAsia"/>
        </w:rPr>
        <w:t>王忠林主持召开省委经济工作会议</w:t>
      </w:r>
      <w:r>
        <w:rPr>
          <w:rFonts w:hint="eastAsia"/>
          <w:lang w:eastAsia="zh-CN"/>
        </w:rPr>
        <w:t>，</w:t>
      </w:r>
      <w:r>
        <w:rPr>
          <w:rFonts w:hint="eastAsia"/>
          <w:lang w:val="en-US" w:eastAsia="zh-CN"/>
        </w:rPr>
        <w:t>强调七大重点任务</w:t>
      </w:r>
      <w:bookmarkEnd w:id="24"/>
    </w:p>
    <w:p w14:paraId="3C5E8DC7">
      <w:pPr>
        <w:rPr>
          <w:rFonts w:hint="eastAsia"/>
          <w:lang w:eastAsia="zh-CN"/>
        </w:rPr>
      </w:pPr>
      <w:r>
        <w:rPr>
          <w:rFonts w:hint="eastAsia"/>
          <w:lang w:eastAsia="zh-CN"/>
        </w:rPr>
        <w:t>12月25日，省委经济工作会议在汉召开，深入贯彻落实党的二十届四中全会和中央经济工作会议精神，总结2025年全省经济工作，分析当前经济形势，研究部署2026年经济工作，动员全省上下进一步坚定信心、加力奋进，为确保“十五五”开好局起好步而拼搏奋斗。</w:t>
      </w:r>
    </w:p>
    <w:p w14:paraId="1AB917EA">
      <w:pPr>
        <w:rPr>
          <w:rFonts w:hint="eastAsia"/>
          <w:lang w:eastAsia="zh-CN"/>
        </w:rPr>
      </w:pPr>
      <w:r>
        <w:rPr>
          <w:rFonts w:hint="eastAsia"/>
          <w:lang w:eastAsia="zh-CN"/>
        </w:rPr>
        <w:t>会议确定，明年经济工作抓好以下重点任务。一是着力把扩大内需作为战略基点，切实稳住经济基本盘；二是着力把科技创新作为重要引擎，切实推动新质生产力发展壮大；三是着力把转型升级作为主攻方向，切实构建体现湖北优势的现代化产业体系；四是着力把改革开放作为关键一招，切实激发高质量发展动力活力；五是着力把协调发展作为内在要求，切实推动城乡融合发展和区域联动发展；六是着力把为民造福作为价值追求，切实提高人民群众的获得感幸福感安全感；七是着力把守牢底线作为基本前提，切实以高水平安全保障高质量发展。</w:t>
      </w:r>
      <w:bookmarkStart w:id="26" w:name="_GoBack"/>
      <w:bookmarkEnd w:id="26"/>
    </w:p>
    <w:p w14:paraId="1FC1DA77">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25</w:t>
      </w:r>
      <w:r>
        <w:rPr>
          <w:rFonts w:hint="eastAsia" w:cs="仿宋_GB2312"/>
          <w:sz w:val="20"/>
          <w:szCs w:val="20"/>
          <w:lang w:bidi="ar"/>
        </w:rPr>
        <w:t>日</w:t>
      </w:r>
    </w:p>
    <w:p w14:paraId="3634A981">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湖北省人民政府</w:t>
      </w:r>
    </w:p>
    <w:p w14:paraId="49F8852B">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https://www.hubei.gov.cn/zwgk/hbyw/hbywqb/202512/t20251226_5842379.shtml</w:t>
      </w:r>
    </w:p>
    <w:p w14:paraId="48BF9843">
      <w:pPr>
        <w:pStyle w:val="5"/>
        <w:numPr>
          <w:ilvl w:val="0"/>
          <w:numId w:val="1"/>
        </w:numPr>
        <w:bidi w:val="0"/>
        <w:rPr>
          <w:rFonts w:hint="eastAsia"/>
        </w:rPr>
      </w:pPr>
      <w:bookmarkStart w:id="25" w:name="_Toc4390"/>
      <w:r>
        <w:rPr>
          <w:rFonts w:hint="eastAsia"/>
        </w:rPr>
        <w:t>李殿勋主持召开省政府专题会议研究推动全省城市高质量发展相关工作</w:t>
      </w:r>
      <w:bookmarkEnd w:id="25"/>
    </w:p>
    <w:p w14:paraId="2CA61495">
      <w:pPr>
        <w:rPr>
          <w:rFonts w:hint="eastAsia"/>
          <w:lang w:eastAsia="zh-CN"/>
        </w:rPr>
      </w:pPr>
      <w:r>
        <w:rPr>
          <w:rFonts w:hint="eastAsia"/>
          <w:lang w:eastAsia="zh-CN"/>
        </w:rPr>
        <w:t>12月24日上午，省委副书记、省长李殿勋主持召开省政府专题会议，深入贯彻党的二十届四中全会精神及习近平总书记关于城市工作的重要论述，研究推动全省城市高质量发展工作。</w:t>
      </w:r>
    </w:p>
    <w:p w14:paraId="04B0AD82">
      <w:pPr>
        <w:rPr>
          <w:rFonts w:hint="eastAsia"/>
          <w:lang w:eastAsia="zh-CN"/>
        </w:rPr>
      </w:pPr>
      <w:r>
        <w:rPr>
          <w:rFonts w:hint="eastAsia"/>
          <w:lang w:eastAsia="zh-CN"/>
        </w:rPr>
        <w:t>李殿勋强调，我国城镇化已从快速增长转向稳定发展，城市发展进入存量提质增效新阶段。要把握城市发展新方位，遵循城市化规律，践行人民城市理念，以内涵式发展为主线，建设创新、宜居、美丽、韧性、文明、智慧的现代化人民城市。</w:t>
      </w:r>
    </w:p>
    <w:p w14:paraId="17057727">
      <w:pPr>
        <w:rPr>
          <w:rFonts w:hint="eastAsia"/>
          <w:lang w:eastAsia="zh-CN"/>
        </w:rPr>
      </w:pPr>
      <w:r>
        <w:rPr>
          <w:rFonts w:hint="eastAsia"/>
          <w:lang w:eastAsia="zh-CN"/>
        </w:rPr>
        <w:t>在优化城市体系方面，会议提出""五措并举""：提升武汉全球要素配置能级，打造广域武汉大都市圈，增强汉襄宜省内协同，推进县城新型城镇化，跨省联动长江中游城市群，促进大中小城市协调及城乡融合发展。围绕高质量发展动力，会议明确三大重点：一是以重构房地产商业模式为核心，探索发展新模式，推进城市更新与精明增长；二是以科创产业融合为路径，实施就业优先战略，打造一流创新生态；三是以党建为统领，推进德治法治智治融合，构建现代化城市治理格局，重点探索超大城市安全治理新模式。会议要求各地各部门强化规划引领与试点示范，确保工作成效经得起检验。副省长黎东辉参加会议。</w:t>
      </w:r>
    </w:p>
    <w:p w14:paraId="5C184492">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24</w:t>
      </w:r>
      <w:r>
        <w:rPr>
          <w:rFonts w:hint="eastAsia" w:cs="仿宋_GB2312"/>
          <w:sz w:val="20"/>
          <w:szCs w:val="20"/>
          <w:lang w:bidi="ar"/>
        </w:rPr>
        <w:t>日</w:t>
      </w:r>
    </w:p>
    <w:p w14:paraId="4D11C966">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14:paraId="4F465AD1">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https://www.hubei.gov.cn/zwgk/hbyw/hbywqb/202512/t20251224_5841527.shtml</w:t>
      </w:r>
    </w:p>
    <w:p w14:paraId="6C9C5DE4">
      <w:pPr>
        <w:pStyle w:val="4"/>
        <w:spacing w:line="360" w:lineRule="auto"/>
        <w:ind w:left="0" w:leftChars="0" w:firstLine="0" w:firstLineChars="0"/>
      </w:pPr>
    </w:p>
    <w:sectPr>
      <w:headerReference r:id="rId5" w:type="default"/>
      <w:footerReference r:id="rId6" w:type="default"/>
      <w:pgSz w:w="11906" w:h="16838"/>
      <w:pgMar w:top="1440" w:right="1466" w:bottom="1440" w:left="148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5A8EB">
    <w:pPr>
      <w:pStyle w:val="4"/>
      <w:framePr w:wrap="around" w:vAnchor="text" w:hAnchor="margin" w:xAlign="right" w:y="1"/>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p w14:paraId="53748C9C">
    <w:pPr>
      <w:pStyle w:val="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BF90">
    <w:pPr>
      <w:pStyle w:val="18"/>
      <w:ind w:firstLine="360"/>
      <w:jc w:val="distribute"/>
      <w:rPr>
        <w:rFonts w:eastAsia="宋体"/>
        <w:i/>
        <w:iCs/>
      </w:rPr>
    </w:pPr>
    <w: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rPr>
      <w:t xml:space="preserve"> </w:t>
    </w:r>
    <w:r>
      <w:rPr>
        <w:rFonts w:hint="eastAsia"/>
        <w:i/>
        <w:iCs/>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3"/>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B46F9"/>
    <w:rsid w:val="007C77FE"/>
    <w:rsid w:val="007F56DD"/>
    <w:rsid w:val="008006AE"/>
    <w:rsid w:val="0081596E"/>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3DA3019"/>
    <w:rsid w:val="04765C43"/>
    <w:rsid w:val="050F64AF"/>
    <w:rsid w:val="06601CDF"/>
    <w:rsid w:val="067D27D9"/>
    <w:rsid w:val="078219B5"/>
    <w:rsid w:val="07E70D1A"/>
    <w:rsid w:val="0826583C"/>
    <w:rsid w:val="08683CDA"/>
    <w:rsid w:val="08753AC5"/>
    <w:rsid w:val="087607E6"/>
    <w:rsid w:val="08AD661F"/>
    <w:rsid w:val="09405381"/>
    <w:rsid w:val="0A434350"/>
    <w:rsid w:val="0A5151D8"/>
    <w:rsid w:val="0AE20526"/>
    <w:rsid w:val="0AE8767B"/>
    <w:rsid w:val="0B841E7A"/>
    <w:rsid w:val="0B922B80"/>
    <w:rsid w:val="0BDC6B84"/>
    <w:rsid w:val="0C2935A5"/>
    <w:rsid w:val="0C4F07D9"/>
    <w:rsid w:val="0CA37841"/>
    <w:rsid w:val="0E83792A"/>
    <w:rsid w:val="0E886CBA"/>
    <w:rsid w:val="0ED95576"/>
    <w:rsid w:val="0FBC07B5"/>
    <w:rsid w:val="10440482"/>
    <w:rsid w:val="10FC2F79"/>
    <w:rsid w:val="111057C3"/>
    <w:rsid w:val="11632E37"/>
    <w:rsid w:val="11823249"/>
    <w:rsid w:val="120B217A"/>
    <w:rsid w:val="12134735"/>
    <w:rsid w:val="123B7AAA"/>
    <w:rsid w:val="125F2DFF"/>
    <w:rsid w:val="13874EC8"/>
    <w:rsid w:val="142C6563"/>
    <w:rsid w:val="14C64FA3"/>
    <w:rsid w:val="15192D96"/>
    <w:rsid w:val="15B11221"/>
    <w:rsid w:val="15C7773F"/>
    <w:rsid w:val="161A531E"/>
    <w:rsid w:val="16FC4447"/>
    <w:rsid w:val="17680B0C"/>
    <w:rsid w:val="17B83DC4"/>
    <w:rsid w:val="17D14750"/>
    <w:rsid w:val="17FD7FE9"/>
    <w:rsid w:val="190E24E6"/>
    <w:rsid w:val="1918096B"/>
    <w:rsid w:val="194C3CCF"/>
    <w:rsid w:val="1A0F674F"/>
    <w:rsid w:val="1A183BCF"/>
    <w:rsid w:val="1A845EF2"/>
    <w:rsid w:val="1A9D4E5B"/>
    <w:rsid w:val="1AF417A3"/>
    <w:rsid w:val="1B465708"/>
    <w:rsid w:val="1B59234B"/>
    <w:rsid w:val="1B7D415C"/>
    <w:rsid w:val="1BF12377"/>
    <w:rsid w:val="1C304374"/>
    <w:rsid w:val="1CF57803"/>
    <w:rsid w:val="1D271D7A"/>
    <w:rsid w:val="1D281EAC"/>
    <w:rsid w:val="1D37585D"/>
    <w:rsid w:val="1D3F07C9"/>
    <w:rsid w:val="1DCA2FAB"/>
    <w:rsid w:val="1DF069A8"/>
    <w:rsid w:val="1E14059F"/>
    <w:rsid w:val="1EE44AF0"/>
    <w:rsid w:val="1F3E7A96"/>
    <w:rsid w:val="1F6B1967"/>
    <w:rsid w:val="20041B75"/>
    <w:rsid w:val="20252704"/>
    <w:rsid w:val="20E51F26"/>
    <w:rsid w:val="2103535F"/>
    <w:rsid w:val="21A9142B"/>
    <w:rsid w:val="21E6176B"/>
    <w:rsid w:val="231A50A3"/>
    <w:rsid w:val="23C0562A"/>
    <w:rsid w:val="243A4E0B"/>
    <w:rsid w:val="24AC6718"/>
    <w:rsid w:val="25DB28FA"/>
    <w:rsid w:val="266876DA"/>
    <w:rsid w:val="2776664F"/>
    <w:rsid w:val="28ED036A"/>
    <w:rsid w:val="290A5904"/>
    <w:rsid w:val="29355D18"/>
    <w:rsid w:val="29CD2F7F"/>
    <w:rsid w:val="2A1B05EA"/>
    <w:rsid w:val="2A6508F8"/>
    <w:rsid w:val="2B8A4E7D"/>
    <w:rsid w:val="2BCF3A5F"/>
    <w:rsid w:val="2BDC1404"/>
    <w:rsid w:val="2BE713BB"/>
    <w:rsid w:val="2C8A4A20"/>
    <w:rsid w:val="2CC5180B"/>
    <w:rsid w:val="2D6708C5"/>
    <w:rsid w:val="2D856BEC"/>
    <w:rsid w:val="2DAD387D"/>
    <w:rsid w:val="2DE44242"/>
    <w:rsid w:val="2F0A3A24"/>
    <w:rsid w:val="2F3E7A4E"/>
    <w:rsid w:val="302C1733"/>
    <w:rsid w:val="30656B3C"/>
    <w:rsid w:val="310247BE"/>
    <w:rsid w:val="310835FF"/>
    <w:rsid w:val="31A1082A"/>
    <w:rsid w:val="32CA1293"/>
    <w:rsid w:val="33281481"/>
    <w:rsid w:val="33595EFA"/>
    <w:rsid w:val="3363215A"/>
    <w:rsid w:val="34076004"/>
    <w:rsid w:val="342E49F7"/>
    <w:rsid w:val="34935BC5"/>
    <w:rsid w:val="35725E7F"/>
    <w:rsid w:val="3619453F"/>
    <w:rsid w:val="36D42F37"/>
    <w:rsid w:val="36D746DA"/>
    <w:rsid w:val="37030542"/>
    <w:rsid w:val="38B764DA"/>
    <w:rsid w:val="397A34CB"/>
    <w:rsid w:val="397D4DF2"/>
    <w:rsid w:val="39B44138"/>
    <w:rsid w:val="39C678D5"/>
    <w:rsid w:val="3A1351F8"/>
    <w:rsid w:val="3A912CA8"/>
    <w:rsid w:val="3B8D3677"/>
    <w:rsid w:val="3CA96714"/>
    <w:rsid w:val="3D1F0B21"/>
    <w:rsid w:val="3D485319"/>
    <w:rsid w:val="3D4D7047"/>
    <w:rsid w:val="3D8808B9"/>
    <w:rsid w:val="3DDD468F"/>
    <w:rsid w:val="3E410903"/>
    <w:rsid w:val="3EA04765"/>
    <w:rsid w:val="3ECA64CC"/>
    <w:rsid w:val="3F5274EE"/>
    <w:rsid w:val="400E49F6"/>
    <w:rsid w:val="40387CC5"/>
    <w:rsid w:val="40DE5DF9"/>
    <w:rsid w:val="42E10978"/>
    <w:rsid w:val="4354125C"/>
    <w:rsid w:val="439154D9"/>
    <w:rsid w:val="43B26B9C"/>
    <w:rsid w:val="443C6B00"/>
    <w:rsid w:val="44A61752"/>
    <w:rsid w:val="44AC70C5"/>
    <w:rsid w:val="44BC03D1"/>
    <w:rsid w:val="44F05DF6"/>
    <w:rsid w:val="44F720B3"/>
    <w:rsid w:val="451C73BF"/>
    <w:rsid w:val="457C22EB"/>
    <w:rsid w:val="45C50129"/>
    <w:rsid w:val="4623525F"/>
    <w:rsid w:val="46300235"/>
    <w:rsid w:val="46B40180"/>
    <w:rsid w:val="473A22D0"/>
    <w:rsid w:val="478D1C10"/>
    <w:rsid w:val="47BD1E82"/>
    <w:rsid w:val="47FE35A2"/>
    <w:rsid w:val="48151A5B"/>
    <w:rsid w:val="487A37DC"/>
    <w:rsid w:val="49263474"/>
    <w:rsid w:val="49303C95"/>
    <w:rsid w:val="499A7B7E"/>
    <w:rsid w:val="4A0E7992"/>
    <w:rsid w:val="4A880CE9"/>
    <w:rsid w:val="4AC544BB"/>
    <w:rsid w:val="4B226DD3"/>
    <w:rsid w:val="4BCB5F67"/>
    <w:rsid w:val="4C14267B"/>
    <w:rsid w:val="4CB41768"/>
    <w:rsid w:val="4CE04F75"/>
    <w:rsid w:val="4D341C91"/>
    <w:rsid w:val="4F1D0E77"/>
    <w:rsid w:val="4F2418C1"/>
    <w:rsid w:val="4F252466"/>
    <w:rsid w:val="4FDB79C1"/>
    <w:rsid w:val="50804CA1"/>
    <w:rsid w:val="50D4623C"/>
    <w:rsid w:val="50DC7480"/>
    <w:rsid w:val="51097994"/>
    <w:rsid w:val="51CD567E"/>
    <w:rsid w:val="51DD2A0A"/>
    <w:rsid w:val="51FA302C"/>
    <w:rsid w:val="521E7BC5"/>
    <w:rsid w:val="523C0389"/>
    <w:rsid w:val="52C92E63"/>
    <w:rsid w:val="536313E2"/>
    <w:rsid w:val="54B8530B"/>
    <w:rsid w:val="550F374B"/>
    <w:rsid w:val="55EB0ED2"/>
    <w:rsid w:val="56167F05"/>
    <w:rsid w:val="564A639B"/>
    <w:rsid w:val="565B7F3A"/>
    <w:rsid w:val="57146818"/>
    <w:rsid w:val="572465F5"/>
    <w:rsid w:val="574959B6"/>
    <w:rsid w:val="57592C33"/>
    <w:rsid w:val="57907A19"/>
    <w:rsid w:val="57B85C78"/>
    <w:rsid w:val="57CB3FEF"/>
    <w:rsid w:val="58572298"/>
    <w:rsid w:val="58A91308"/>
    <w:rsid w:val="59B51A6B"/>
    <w:rsid w:val="59D268DE"/>
    <w:rsid w:val="59D30900"/>
    <w:rsid w:val="5A2537F3"/>
    <w:rsid w:val="5A316BBC"/>
    <w:rsid w:val="5B310B71"/>
    <w:rsid w:val="5B49484F"/>
    <w:rsid w:val="5C89392A"/>
    <w:rsid w:val="5C915CF5"/>
    <w:rsid w:val="5CAA6A49"/>
    <w:rsid w:val="5D0F67F8"/>
    <w:rsid w:val="5D78571C"/>
    <w:rsid w:val="5DFF1BDB"/>
    <w:rsid w:val="5E572837"/>
    <w:rsid w:val="5EB236E5"/>
    <w:rsid w:val="5EF27BD4"/>
    <w:rsid w:val="5F5C5326"/>
    <w:rsid w:val="5FAB5C16"/>
    <w:rsid w:val="5FF2703A"/>
    <w:rsid w:val="607C09C6"/>
    <w:rsid w:val="61314591"/>
    <w:rsid w:val="61506B0B"/>
    <w:rsid w:val="625D6F2E"/>
    <w:rsid w:val="639F01FD"/>
    <w:rsid w:val="63FA5093"/>
    <w:rsid w:val="643D1AEB"/>
    <w:rsid w:val="64B877C8"/>
    <w:rsid w:val="65B7249A"/>
    <w:rsid w:val="65C47781"/>
    <w:rsid w:val="66772F7A"/>
    <w:rsid w:val="66ED547A"/>
    <w:rsid w:val="67732727"/>
    <w:rsid w:val="67D5215D"/>
    <w:rsid w:val="68364FD5"/>
    <w:rsid w:val="693D1977"/>
    <w:rsid w:val="694E21FD"/>
    <w:rsid w:val="69F56662"/>
    <w:rsid w:val="6A4175F2"/>
    <w:rsid w:val="6A437E8F"/>
    <w:rsid w:val="6A6065EE"/>
    <w:rsid w:val="6AC03372"/>
    <w:rsid w:val="6AD97FDD"/>
    <w:rsid w:val="6B947D69"/>
    <w:rsid w:val="6BBD0307"/>
    <w:rsid w:val="6BE35E8E"/>
    <w:rsid w:val="6CE0643D"/>
    <w:rsid w:val="6D2B042A"/>
    <w:rsid w:val="6D317DF2"/>
    <w:rsid w:val="6DD715C1"/>
    <w:rsid w:val="6E401E74"/>
    <w:rsid w:val="6E426C72"/>
    <w:rsid w:val="701E1630"/>
    <w:rsid w:val="713B6CCF"/>
    <w:rsid w:val="71CD4FC5"/>
    <w:rsid w:val="72902B04"/>
    <w:rsid w:val="730D7F28"/>
    <w:rsid w:val="731C016A"/>
    <w:rsid w:val="733F4FD0"/>
    <w:rsid w:val="7542549A"/>
    <w:rsid w:val="75C254B8"/>
    <w:rsid w:val="7709372E"/>
    <w:rsid w:val="798B7A7B"/>
    <w:rsid w:val="799D3B64"/>
    <w:rsid w:val="7A39200E"/>
    <w:rsid w:val="7D5B67C5"/>
    <w:rsid w:val="7D6A07B6"/>
    <w:rsid w:val="7D8B028D"/>
    <w:rsid w:val="7D9A2EA0"/>
    <w:rsid w:val="7DCC4BF0"/>
    <w:rsid w:val="7E3E551B"/>
    <w:rsid w:val="7F0250CB"/>
    <w:rsid w:val="7FF74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420"/>
      <w:jc w:val="left"/>
    </w:pPr>
    <w:rPr>
      <w:i/>
      <w:iCs/>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99"/>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E6F6B3-287A-4B87-8D27-3FA7477DBEDF}">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15</Pages>
  <Words>7808</Words>
  <Characters>9103</Characters>
  <Lines>55</Lines>
  <Paragraphs>15</Paragraphs>
  <TotalTime>3</TotalTime>
  <ScaleCrop>false</ScaleCrop>
  <LinksUpToDate>false</LinksUpToDate>
  <CharactersWithSpaces>9140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蓝天小云</cp:lastModifiedBy>
  <cp:lastPrinted>2001-08-11T02:42:00Z</cp:lastPrinted>
  <dcterms:modified xsi:type="dcterms:W3CDTF">2025-12-26T06:18:18Z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31FCAFDD533742C78449E23413B536A3_13</vt:lpwstr>
  </property>
  <property fmtid="{D5CDD505-2E9C-101B-9397-08002B2CF9AE}" pid="4" name="KSOTemplateDocerSaveRecord">
    <vt:lpwstr>eyJoZGlkIjoiYTAyYWMzNzNkNTc2NDA5ZjJhMjk3NmNmMDFlMDMyNGIiLCJ1c2VySWQiOiIzNTY3OTY0OTMifQ==</vt:lpwstr>
  </property>
</Properties>
</file>