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1D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0"/>
        <w:rPr>
          <w:rFonts w:hint="default" w:ascii="方正小标宋简体" w:hAnsi="方正小标宋简体" w:eastAsia="方正小标宋简体" w:cs="方正小标宋简体"/>
          <w:spacing w:val="-11"/>
          <w:sz w:val="44"/>
          <w:szCs w:val="44"/>
          <w:lang w:val="zh-CN" w:eastAsia="zh-CN" w:bidi="ar-SA"/>
        </w:rPr>
      </w:pPr>
      <w:r>
        <w:rPr>
          <w:rFonts w:hint="default" w:ascii="方正小标宋简体" w:hAnsi="方正小标宋简体" w:eastAsia="方正小标宋简体" w:cs="方正小标宋简体"/>
          <w:spacing w:val="-11"/>
          <w:sz w:val="44"/>
          <w:szCs w:val="44"/>
          <w:lang w:val="zh-CN" w:eastAsia="zh-CN" w:bidi="ar-SA"/>
        </w:rPr>
        <w:t>2026</w:t>
      </w:r>
      <w:r>
        <w:rPr>
          <w:rFonts w:hint="eastAsia" w:ascii="方正小标宋简体" w:hAnsi="方正小标宋简体" w:eastAsia="方正小标宋简体" w:cs="方正小标宋简体"/>
          <w:spacing w:val="-11"/>
          <w:sz w:val="44"/>
          <w:szCs w:val="44"/>
          <w:lang w:val="zh-CN" w:eastAsia="zh-CN" w:bidi="ar-SA"/>
        </w:rPr>
        <w:t>年全省数据工作会议讨论发言稿</w:t>
      </w:r>
    </w:p>
    <w:p w14:paraId="1A800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sz w:val="36"/>
          <w:szCs w:val="36"/>
          <w:lang w:val="zh-CN" w:eastAsia="zh-CN" w:bidi="ar-SA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zh-CN" w:eastAsia="zh-CN" w:bidi="ar-SA"/>
        </w:rPr>
        <w:t>湖北移动副总经理</w:t>
      </w:r>
      <w:r>
        <w:rPr>
          <w:rFonts w:hint="default" w:ascii="方正小标宋简体" w:hAnsi="方正小标宋简体" w:eastAsia="方正小标宋简体" w:cs="方正小标宋简体"/>
          <w:sz w:val="36"/>
          <w:szCs w:val="36"/>
          <w:lang w:val="zh-CN" w:eastAsia="zh-CN" w:bidi="ar-SA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zh-CN" w:eastAsia="zh-CN" w:bidi="ar-SA"/>
        </w:rPr>
        <w:t>韩晓雷</w:t>
      </w:r>
    </w:p>
    <w:p w14:paraId="30BCE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sz w:val="36"/>
          <w:szCs w:val="36"/>
          <w:lang w:val="zh-CN" w:eastAsia="zh-CN" w:bidi="ar-SA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zh-CN" w:eastAsia="zh-CN" w:bidi="ar-SA"/>
        </w:rPr>
        <w:t>（</w:t>
      </w:r>
      <w:r>
        <w:rPr>
          <w:rFonts w:hint="default" w:ascii="方正小标宋简体" w:hAnsi="方正小标宋简体" w:eastAsia="方正小标宋简体" w:cs="方正小标宋简体"/>
          <w:sz w:val="36"/>
          <w:szCs w:val="36"/>
          <w:lang w:val="zh-CN" w:eastAsia="zh-CN" w:bidi="ar-SA"/>
        </w:rPr>
        <w:t>2026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zh-CN" w:eastAsia="zh-CN" w:bidi="ar-SA"/>
        </w:rPr>
        <w:t>年</w:t>
      </w:r>
      <w:r>
        <w:rPr>
          <w:rFonts w:hint="default" w:ascii="方正小标宋简体" w:hAnsi="方正小标宋简体" w:eastAsia="方正小标宋简体" w:cs="方正小标宋简体"/>
          <w:sz w:val="36"/>
          <w:szCs w:val="36"/>
          <w:lang w:val="zh-CN" w:eastAsia="zh-CN" w:bidi="ar-SA"/>
        </w:rPr>
        <w:t>2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zh-CN" w:eastAsia="zh-CN" w:bidi="ar-SA"/>
        </w:rPr>
        <w:t>月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 w:bidi="ar-SA"/>
        </w:rPr>
        <w:t>8日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zh-CN" w:eastAsia="zh-CN" w:bidi="ar-SA"/>
        </w:rPr>
        <w:t>）</w:t>
      </w:r>
    </w:p>
    <w:p w14:paraId="72AB4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</w:pPr>
    </w:p>
    <w:p w14:paraId="223A2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outlineLvl w:val="0"/>
        <w:rPr>
          <w:rFonts w:hint="default" w:ascii="Cambria" w:hAnsi="Cambria" w:eastAsia="Cambria"/>
          <w:color w:val="auto"/>
          <w:sz w:val="22"/>
          <w:szCs w:val="24"/>
          <w:lang w:val="zh-CN"/>
        </w:rPr>
      </w:pPr>
      <w:r>
        <w:rPr>
          <w:rFonts w:hint="eastAsia" w:ascii="黑体" w:hAnsi="黑体" w:eastAsia="黑体" w:cs="黑体"/>
          <w:sz w:val="32"/>
          <w:szCs w:val="32"/>
          <w:lang w:val="zh-CN" w:eastAsia="zh-CN" w:bidi="ar-SA"/>
        </w:rPr>
        <w:t>尊敬的各位领导、各位同仁：</w:t>
      </w:r>
    </w:p>
    <w:p w14:paraId="637B4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大家好！</w:t>
      </w:r>
    </w:p>
    <w:p w14:paraId="11A8F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刚才听了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周局长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的报告，深受鼓舞，倍感振奋。报告全面总结了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2025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年我省数据工作取得的显著成效，明确提出了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数据强省、九州通数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的战略部署和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“3511”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总体思路，为我们今年的工作指明了方向、提供了遵循。</w:t>
      </w:r>
    </w:p>
    <w:p w14:paraId="17293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湖北移动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作为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在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鄂央企和数字湖北建设的主力军，坚决拥护、贯彻落实本次会议精神，特别是报告中关于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数据要素价值释放年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的各项要求，主动担当，积极作为，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愿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为服务全省数据事业发展贡献移动力量。下面，结合工作实际，我简要汇报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几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点思考和打算。</w:t>
      </w:r>
    </w:p>
    <w:p w14:paraId="426FDC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outlineLvl w:val="0"/>
        <w:rPr>
          <w:rFonts w:hint="default" w:ascii="黑体" w:hAnsi="黑体" w:eastAsia="黑体" w:cs="黑体"/>
          <w:sz w:val="32"/>
          <w:szCs w:val="32"/>
          <w:lang w:val="zh-CN" w:eastAsia="zh-CN" w:bidi="ar-SA"/>
        </w:rPr>
      </w:pPr>
      <w:r>
        <w:rPr>
          <w:rFonts w:hint="eastAsia" w:ascii="黑体" w:hAnsi="黑体" w:eastAsia="黑体" w:cs="黑体"/>
          <w:sz w:val="32"/>
          <w:szCs w:val="32"/>
          <w:lang w:val="zh-CN" w:eastAsia="zh-CN" w:bidi="ar-SA"/>
        </w:rPr>
        <w:t>一、夯实数</w:t>
      </w:r>
      <w:r>
        <w:rPr>
          <w:rFonts w:hint="eastAsia" w:ascii="黑体" w:hAnsi="黑体" w:eastAsia="黑体" w:cs="黑体"/>
          <w:sz w:val="32"/>
          <w:szCs w:val="32"/>
          <w:lang w:val="en-US" w:eastAsia="zh-CN" w:bidi="ar-SA"/>
        </w:rPr>
        <w:t>智</w:t>
      </w:r>
      <w:r>
        <w:rPr>
          <w:rFonts w:hint="eastAsia" w:ascii="黑体" w:hAnsi="黑体" w:eastAsia="黑体" w:cs="黑体"/>
          <w:sz w:val="32"/>
          <w:szCs w:val="32"/>
          <w:lang w:val="zh-CN" w:eastAsia="zh-CN" w:bidi="ar-SA"/>
        </w:rPr>
        <w:t>底座，筑牢</w:t>
      </w:r>
      <w:r>
        <w:rPr>
          <w:rFonts w:hint="default" w:ascii="黑体" w:hAnsi="黑体" w:eastAsia="黑体" w:cs="黑体"/>
          <w:sz w:val="32"/>
          <w:szCs w:val="32"/>
          <w:lang w:val="zh-CN" w:eastAsia="zh-CN" w:bidi="ar-SA"/>
        </w:rPr>
        <w:t>“</w:t>
      </w:r>
      <w:r>
        <w:rPr>
          <w:rFonts w:hint="eastAsia" w:ascii="黑体" w:hAnsi="黑体" w:eastAsia="黑体" w:cs="黑体"/>
          <w:sz w:val="32"/>
          <w:szCs w:val="32"/>
          <w:lang w:val="zh-CN" w:eastAsia="zh-CN" w:bidi="ar-SA"/>
        </w:rPr>
        <w:t>九州通数</w:t>
      </w:r>
      <w:r>
        <w:rPr>
          <w:rFonts w:hint="default" w:ascii="黑体" w:hAnsi="黑体" w:eastAsia="黑体" w:cs="黑体"/>
          <w:sz w:val="32"/>
          <w:szCs w:val="32"/>
          <w:lang w:val="zh-CN" w:eastAsia="zh-CN" w:bidi="ar-SA"/>
        </w:rPr>
        <w:t>”</w:t>
      </w:r>
      <w:r>
        <w:rPr>
          <w:rFonts w:hint="eastAsia" w:ascii="黑体" w:hAnsi="黑体" w:eastAsia="黑体" w:cs="黑体"/>
          <w:sz w:val="32"/>
          <w:szCs w:val="32"/>
          <w:lang w:val="zh-CN" w:eastAsia="zh-CN" w:bidi="ar-SA"/>
        </w:rPr>
        <w:t>的坚实基石</w:t>
      </w:r>
    </w:p>
    <w:p w14:paraId="68574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报告提出要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进一步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提升基础设施能级，打造中部先进算力集群。湖北移动严格落实省数据局要求，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20025年参与了省数据局主导的数据基础设施建设工作，承建湖北省算力互联互通平台、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湖北省高质量数据集公共服务平台、咸宁市公共数据授权运营平台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等平台。</w:t>
      </w:r>
    </w:p>
    <w:p w14:paraId="45291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湖北移动超前布局数智基础设施，在省内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构建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了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“3+5+X”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的算力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布局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，形成了地域协同、云边多级联动的高效布局。中国移动智算中心（武汉），作为华中区域最大、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安全等级最高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的智算中心，一期投资近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16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亿元，已投产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算力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588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PFlops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，可容纳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2.7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万张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GPU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已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部署全集团第一套对外商用的国产先进算力昇腾384超节点，为全省乃至中部地区的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AI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研发、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数据治理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提供了强大的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算力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心脏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湖北移动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在全国率先完成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400G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 xml:space="preserve"> OTN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全光网建设，支撑三大城市圈智算互联，打造了数智化全光底座，实现了省内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“1-3-5”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省际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“7-10”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超低时延圈，依托全光传输技术实现至全国主要城市“一跳入算”，确保数据流得动、流得快。</w:t>
      </w:r>
    </w:p>
    <w:p w14:paraId="14A99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下一步，湖北移动将积极响应全省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融入全国一体化算力网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的号召，完善算力互联互通平台功能，接入量子、天基（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近期，中国移动作为唯一运营商向ITU正式申报了总规模达2664颗卫星的星座计划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）等新兴算力，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助力湖北省算力互联互通调度平台成为国内首个“六算合一”平台；支撑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省级算力调度平台2.0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建设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，统筹省内算力资源，实现算力资源统一纳管和弹性调度；推动实现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宜算入汉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，全力支撑长江中游城市群区域算力网核心枢纽建设，让湖北的算力不仅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用得上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，更能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供得出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。</w:t>
      </w:r>
    </w:p>
    <w:p w14:paraId="399B7D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outlineLvl w:val="0"/>
        <w:rPr>
          <w:rFonts w:hint="default" w:ascii="黑体" w:hAnsi="黑体" w:eastAsia="黑体" w:cs="黑体"/>
          <w:sz w:val="32"/>
          <w:szCs w:val="32"/>
          <w:lang w:val="zh-CN" w:eastAsia="zh-CN" w:bidi="ar-SA"/>
        </w:rPr>
      </w:pPr>
      <w:r>
        <w:rPr>
          <w:rFonts w:hint="eastAsia" w:ascii="黑体" w:hAnsi="黑体" w:eastAsia="黑体" w:cs="黑体"/>
          <w:sz w:val="32"/>
          <w:szCs w:val="32"/>
          <w:lang w:val="zh-CN" w:eastAsia="zh-CN" w:bidi="ar-SA"/>
        </w:rPr>
        <w:t>二、激活数据要素，释放</w:t>
      </w:r>
      <w:r>
        <w:rPr>
          <w:rFonts w:hint="default" w:ascii="黑体" w:hAnsi="黑体" w:eastAsia="黑体" w:cs="黑体"/>
          <w:sz w:val="32"/>
          <w:szCs w:val="32"/>
          <w:lang w:val="zh-CN" w:eastAsia="zh-CN" w:bidi="ar-SA"/>
        </w:rPr>
        <w:t>“</w:t>
      </w:r>
      <w:r>
        <w:rPr>
          <w:rFonts w:hint="eastAsia" w:ascii="黑体" w:hAnsi="黑体" w:eastAsia="黑体" w:cs="黑体"/>
          <w:sz w:val="32"/>
          <w:szCs w:val="32"/>
          <w:lang w:val="zh-CN" w:eastAsia="zh-CN" w:bidi="ar-SA"/>
        </w:rPr>
        <w:t>数据强省</w:t>
      </w:r>
      <w:r>
        <w:rPr>
          <w:rFonts w:hint="default" w:ascii="黑体" w:hAnsi="黑体" w:eastAsia="黑体" w:cs="黑体"/>
          <w:sz w:val="32"/>
          <w:szCs w:val="32"/>
          <w:lang w:val="zh-CN" w:eastAsia="zh-CN" w:bidi="ar-SA"/>
        </w:rPr>
        <w:t>”</w:t>
      </w:r>
      <w:r>
        <w:rPr>
          <w:rFonts w:hint="eastAsia" w:ascii="黑体" w:hAnsi="黑体" w:eastAsia="黑体" w:cs="黑体"/>
          <w:sz w:val="32"/>
          <w:szCs w:val="32"/>
          <w:lang w:val="zh-CN" w:eastAsia="zh-CN" w:bidi="ar-SA"/>
        </w:rPr>
        <w:t>的核心价值</w:t>
      </w:r>
    </w:p>
    <w:p w14:paraId="13644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报告将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2026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年明确为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数据要素价值释放年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，并强调要推动数据要素从资源向资产化、资本化跨越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。2025年，湖北移动打造的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  <w:t>湖北省旅游出行特征数据集、荆楚栅格人员时空特征大数据集分别入选第二批、第三批全省高质量数据集。聚焦“技术+场景”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，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  <w:t>打造文体文旅高质量数据集获国家数据局典型案例推荐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，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  <w:t>5个数据案例入选数据智能“星河（Galaxy）”案例集。</w:t>
      </w:r>
    </w:p>
    <w:p w14:paraId="33BA8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湖北移动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全面推进“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人工智能+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行动，成立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长江研究院和大模型产创基地（全国四个），系统构建“模数算台”全栈能力，已积累标准模型36个，高质量数据集600TB，形成50余项AI核心能力，与武汉大学、华中科技大学、三峡大学等高校建立多个省级联合实验室，在工信部“算力强基”揭榜行动（湖北）中，牵头3项任务（是省内唯一入围的运营商）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助力湖北打造“立足湖北、辐射中部”的AI创新和数智产业发展集群。</w:t>
      </w:r>
    </w:p>
    <w:p w14:paraId="03443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湖北移动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全面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落实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数据要素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×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计划，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联合行业头部企业申报国家可信数据空间试点，谋划建设广泛互联的企业可信数据空间。同时，携手生态伙伴，深度参与公共数据授权运营和数据要素流通交易。依托海量数据与强大算力，沉淀了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100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余个行业数据模型，打造了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数慧人社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、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数慧交通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等七个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数慧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系列解决方案，并在金融风控、医保反欺诈等领域落地。</w:t>
      </w:r>
    </w:p>
    <w:p w14:paraId="5B4A8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湖北移动推进从“单点突破”向“全域协同”发展转变。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在宜昌，达成全省首笔数据交易；在十堰，助力茅箭区打造了全省首个数据资产变现标杆；在随州，入选了全省第一批数据要素企业入库登记名单，助力专汽产业链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数化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升级；在武汉连续承办两届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湖北数据要素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×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大赛，并积极参与隐私保护计算试点。</w:t>
      </w:r>
    </w:p>
    <w:p w14:paraId="179E8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下一步，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针对报告中提出的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组建数据要素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‘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汉交所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’”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和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建立市州级数据要素服务中心、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区县级数据要素服务站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，湖北移动将发挥自身在网络覆盖、客户规模以及技术安全方面的优势，积极支持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汉交所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建设，并配合建立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17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个市州级数据要素服务中心，打通数据流通的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最后一公里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。</w:t>
      </w:r>
    </w:p>
    <w:p w14:paraId="3BF62B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outlineLvl w:val="0"/>
        <w:rPr>
          <w:rFonts w:hint="default" w:ascii="黑体" w:hAnsi="黑体" w:eastAsia="黑体" w:cs="黑体"/>
          <w:sz w:val="32"/>
          <w:szCs w:val="32"/>
          <w:lang w:val="zh-CN" w:eastAsia="zh-CN" w:bidi="ar-SA"/>
        </w:rPr>
      </w:pPr>
      <w:r>
        <w:rPr>
          <w:rFonts w:hint="eastAsia" w:ascii="黑体" w:hAnsi="黑体" w:eastAsia="黑体" w:cs="黑体"/>
          <w:sz w:val="32"/>
          <w:szCs w:val="32"/>
          <w:lang w:val="zh-CN" w:eastAsia="zh-CN" w:bidi="ar-SA"/>
        </w:rPr>
        <w:t>三、深化“</w:t>
      </w:r>
      <w:r>
        <w:rPr>
          <w:rFonts w:hint="eastAsia" w:ascii="黑体" w:hAnsi="黑体" w:eastAsia="黑体" w:cs="黑体"/>
          <w:sz w:val="32"/>
          <w:szCs w:val="32"/>
          <w:lang w:val="en-US" w:eastAsia="zh-CN" w:bidi="ar-SA"/>
        </w:rPr>
        <w:t>实</w:t>
      </w:r>
      <w:r>
        <w:rPr>
          <w:rFonts w:hint="eastAsia" w:ascii="黑体" w:hAnsi="黑体" w:eastAsia="黑体" w:cs="黑体"/>
          <w:sz w:val="32"/>
          <w:szCs w:val="32"/>
          <w:lang w:val="zh-CN" w:eastAsia="zh-CN" w:bidi="ar-SA"/>
        </w:rPr>
        <w:t>数融合”，拓展</w:t>
      </w:r>
      <w:r>
        <w:rPr>
          <w:rFonts w:hint="default" w:ascii="黑体" w:hAnsi="黑体" w:eastAsia="黑体" w:cs="黑体"/>
          <w:sz w:val="32"/>
          <w:szCs w:val="32"/>
          <w:lang w:val="zh-CN" w:eastAsia="zh-CN" w:bidi="ar-SA"/>
        </w:rPr>
        <w:t>“</w:t>
      </w:r>
      <w:r>
        <w:rPr>
          <w:rFonts w:hint="eastAsia" w:ascii="黑体" w:hAnsi="黑体" w:eastAsia="黑体" w:cs="黑体"/>
          <w:sz w:val="32"/>
          <w:szCs w:val="32"/>
          <w:lang w:val="zh-CN" w:eastAsia="zh-CN" w:bidi="ar-SA"/>
        </w:rPr>
        <w:t>数据赋能</w:t>
      </w:r>
      <w:r>
        <w:rPr>
          <w:rFonts w:hint="default" w:ascii="黑体" w:hAnsi="黑体" w:eastAsia="黑体" w:cs="黑体"/>
          <w:sz w:val="32"/>
          <w:szCs w:val="32"/>
          <w:lang w:val="zh-CN" w:eastAsia="zh-CN" w:bidi="ar-SA"/>
        </w:rPr>
        <w:t>”</w:t>
      </w:r>
      <w:r>
        <w:rPr>
          <w:rFonts w:hint="eastAsia" w:ascii="黑体" w:hAnsi="黑体" w:eastAsia="黑体" w:cs="黑体"/>
          <w:sz w:val="32"/>
          <w:szCs w:val="32"/>
          <w:lang w:val="zh-CN" w:eastAsia="zh-CN" w:bidi="ar-SA"/>
        </w:rPr>
        <w:t>的广阔场景</w:t>
      </w:r>
    </w:p>
    <w:p w14:paraId="5F230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报告强调要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加快场景培育和开放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，实施数实融合集成式场景。湖北移动始终坚持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以用促建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，在工业、农业、交通、低空经济等领域打造了一批标杆应用。</w:t>
      </w:r>
    </w:p>
    <w:p w14:paraId="39165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在智慧城市与安全治理方面，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湖北移动</w:t>
      </w:r>
      <w:r>
        <w:rPr>
          <w:rFonts w:hint="eastAsia" w:ascii="仿宋_GB2312" w:hAnsi="仿宋_GB2312" w:eastAsia="仿宋_GB2312" w:cs="仿宋_GB2312"/>
          <w:sz w:val="32"/>
          <w:szCs w:val="32"/>
        </w:rPr>
        <w:t>打造“城市大脑”，助力黄石、宜昌、十堰等地提升城市治理智能化水平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深度参与城市生命线安全工程建设，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在武汉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部署超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5000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个智能监测设备，实现对燃气管网、供水管网等城市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脉搏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的实时监测。</w:t>
      </w:r>
    </w:p>
    <w:p w14:paraId="64DAD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在新兴赛道方面，紧密参与武汉、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十堰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车路云一体化试点，建成国内最大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5G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自动驾驶测试区；在湖北英山实施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“5G+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北斗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地质灾害防治监测预警项目，成功预警了多起潜在滑坡灾害；在低空经济领域，在武汉经开区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率先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完成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5G-A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通感一体网络部署，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助力</w:t>
      </w:r>
      <w:r>
        <w:rPr>
          <w:rFonts w:hint="default" w:ascii="仿宋_GB2312" w:hAnsi="仿宋_GB2312" w:eastAsia="仿宋_GB2312" w:cs="仿宋_GB2312"/>
          <w:sz w:val="32"/>
          <w:szCs w:val="32"/>
        </w:rPr>
        <w:t>十堰成功打造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省内</w:t>
      </w:r>
      <w:r>
        <w:rPr>
          <w:rFonts w:hint="default" w:ascii="仿宋_GB2312" w:hAnsi="仿宋_GB2312" w:eastAsia="仿宋_GB2312" w:cs="仿宋_GB2312"/>
          <w:sz w:val="32"/>
          <w:szCs w:val="32"/>
        </w:rPr>
        <w:t>首个“低空经济示范区”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抢占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新质生产力发展高地。</w:t>
      </w:r>
      <w:bookmarkStart w:id="0" w:name="_GoBack"/>
      <w:bookmarkEnd w:id="0"/>
    </w:p>
    <w:p w14:paraId="3D6C0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</w:pPr>
    </w:p>
    <w:p w14:paraId="6EC8C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展望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2026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年，湖北移动将继续加大在鄂投资力度，重点支撑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5G-A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、万兆光网、智算中心等新型信息基础设施建设，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同时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紧扣全省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十个方面加力奋进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的任务清单，特别是围绕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人工智能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+”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、</w:t>
      </w:r>
      <w:r>
        <w:rPr>
          <w:rFonts w:hint="default" w:ascii="仿宋_GB2312" w:hAnsi="仿宋_GB2312" w:eastAsia="仿宋_GB2312" w:cs="仿宋_GB2312"/>
          <w:sz w:val="32"/>
          <w:szCs w:val="32"/>
          <w:lang w:val="zh-CN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数据要素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×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等专项行动，进一步加强与省数据局及各兄弟单位的合作，共同挖掘数字经济新赛道，培育公共数据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跑起来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示范场景，为湖北在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十五五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开局之年取得新突破贡献移动力量！</w:t>
      </w:r>
    </w:p>
    <w:p w14:paraId="69154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 w:eastAsia="zh-CN" w:bidi="ar-SA"/>
        </w:rPr>
        <w:t>以上发言，不当之处，请批评指正。谢谢大家！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3D4F04"/>
    <w:rsid w:val="0CBE7177"/>
    <w:rsid w:val="17430BBA"/>
    <w:rsid w:val="5B0E6F3E"/>
    <w:rsid w:val="69FB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湖北有限公司</Company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2026-02-06T01:52:00Z</dcterms:created>
  <dc:creator>Tao</dc:creator>
  <cp:lastModifiedBy>Tao</cp:lastModifiedBy>
  <dcterms:modified xsi:type="dcterms:W3CDTF">2026-02-06T04:28:54Z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E6ED5581F5864A45972C32F0A5825C04_11</vt:lpwstr>
  </property>
</Properties>
</file>