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【26年1月16日】蔚省长调研智算中心备参资料</w:t>
      </w:r>
    </w:p>
    <w:p>
      <w:pPr>
        <w:spacing w:after="50" w:line="360" w:lineRule="auto" w:beforeLines="100"/>
        <w:ind w:left="0"/>
        <w:jc w:val="both"/>
      </w:pPr>
      <w:bookmarkStart w:name="u76a804cc" w:id="0"/>
      <w:r>
        <w:rPr>
          <w:rFonts w:ascii="宋体" w:hAnsi="Times New Roman" w:eastAsia="宋体"/>
          <w:b/>
          <w:i w:val="false"/>
          <w:color w:val="000000"/>
          <w:sz w:val="33"/>
        </w:rPr>
        <w:t>一、政府相关热点会议、政策</w:t>
      </w:r>
    </w:p>
    <w:bookmarkEnd w:id="0"/>
    <w:bookmarkStart w:name="u61e02c8b" w:id="1"/>
    <w:p>
      <w:pPr>
        <w:spacing w:after="50" w:line="360" w:lineRule="auto" w:beforeLines="100"/>
        <w:ind w:left="0"/>
        <w:jc w:val="both"/>
      </w:pPr>
      <w:r>
        <w:rPr>
          <w:rFonts w:ascii="宋体" w:hAnsi="Times New Roman" w:eastAsia="宋体"/>
          <w:b/>
          <w:i w:val="false"/>
          <w:color w:val="000000"/>
          <w:sz w:val="33"/>
          <w:shd w:fill="ffffff"/>
        </w:rPr>
        <w:t>（一）重要会议部署</w:t>
      </w:r>
    </w:p>
    <w:bookmarkEnd w:id="1"/>
    <w:bookmarkStart w:name="ua2153df8" w:id="2"/>
    <w:p>
      <w:pPr>
        <w:spacing w:after="50" w:line="360" w:lineRule="auto" w:beforeLines="100"/>
        <w:ind w:left="0"/>
        <w:jc w:val="both"/>
      </w:pPr>
      <w:r>
        <w:rPr>
          <w:rFonts w:ascii="宋体" w:hAnsi="Times New Roman" w:eastAsia="宋体"/>
          <w:b w:val="false"/>
          <w:i w:val="false"/>
          <w:color w:val="000000"/>
          <w:sz w:val="33"/>
          <w:shd w:fill="ffffff"/>
        </w:rPr>
        <w:t>2025年9月8日，省委副书记、省长李殿勋主持召开省政府常务会议，研究强化“算网存用”协同、加快推进数字经济发展等工作。会议强调要科学务实规划建设“数字湖北”，统筹考虑“末端感知、网络互联、数据融通、算力共享、智慧应用、安全监管”六大关键支撑，以数字政府建设为引领，要坚持“算、网、存、用”协同发展，着力强化通算、智算、超算与边缘计算“四算统筹”，优化全省算力布局、提升供给水平；着力强化互联互通和全网络升级，促进算力高效调度与共享；着力推动算法创新和存算协同，优化算力发展生态。</w:t>
      </w:r>
    </w:p>
    <w:bookmarkEnd w:id="2"/>
    <w:bookmarkStart w:name="u71c9d42b" w:id="3"/>
    <w:p>
      <w:pPr>
        <w:spacing w:after="50" w:line="360" w:lineRule="auto" w:beforeLines="100"/>
        <w:ind w:left="0"/>
        <w:jc w:val="both"/>
      </w:pPr>
      <w:r>
        <w:rPr>
          <w:rFonts w:ascii="宋体" w:hAnsi="Times New Roman" w:eastAsia="宋体"/>
          <w:b/>
          <w:i w:val="false"/>
          <w:color w:val="000000"/>
          <w:sz w:val="33"/>
          <w:shd w:fill="ffffff"/>
        </w:rPr>
        <w:t>（二）核心政策文件</w:t>
      </w:r>
    </w:p>
    <w:bookmarkEnd w:id="3"/>
    <w:bookmarkStart w:name="ubfd9c4aa" w:id="4"/>
    <w:p>
      <w:pPr>
        <w:spacing w:after="50" w:line="360" w:lineRule="auto" w:beforeLines="100"/>
        <w:ind w:left="0"/>
        <w:jc w:val="both"/>
      </w:pPr>
      <w:r>
        <w:rPr>
          <w:rFonts w:ascii="宋体" w:hAnsi="Times New Roman" w:eastAsia="宋体"/>
          <w:b w:val="false"/>
          <w:i w:val="false"/>
          <w:color w:val="000000"/>
          <w:sz w:val="33"/>
          <w:shd w:fill="ffffff"/>
        </w:rPr>
        <w:t>2025年9月15日，湖北省人民政府办公厅印发《湖北省加快算网存用协同发展的若干措施》，提出</w:t>
      </w:r>
      <w:r>
        <w:rPr>
          <w:rFonts w:ascii="宋体" w:hAnsi="Times New Roman" w:eastAsia="宋体"/>
          <w:b w:val="false"/>
          <w:i w:val="false"/>
          <w:color w:val="000000"/>
          <w:sz w:val="33"/>
          <w:u w:val="single"/>
          <w:shd w:fill="ffffff"/>
        </w:rPr>
        <w:t>到</w:t>
      </w:r>
      <w:r>
        <w:rPr>
          <w:rFonts w:ascii="宋体" w:hAnsi="Times New Roman" w:eastAsia="宋体"/>
          <w:b w:val="false"/>
          <w:i w:val="false"/>
          <w:color w:val="000000"/>
          <w:sz w:val="33"/>
          <w:u w:val="single"/>
          <w:shd w:fill="ffffff"/>
        </w:rPr>
        <w:t>2027年，</w:t>
      </w:r>
      <w:r>
        <w:rPr>
          <w:rFonts w:ascii="宋体" w:hAnsi="Times New Roman" w:eastAsia="宋体"/>
          <w:b/>
          <w:i w:val="false"/>
          <w:color w:val="000000"/>
          <w:sz w:val="33"/>
          <w:u w:val="single"/>
          <w:shd w:fill="ffffff"/>
        </w:rPr>
        <w:t>全省算力总规模达到</w:t>
      </w:r>
      <w:r>
        <w:rPr>
          <w:rFonts w:ascii="宋体" w:hAnsi="Times New Roman" w:eastAsia="宋体"/>
          <w:b/>
          <w:i w:val="false"/>
          <w:color w:val="000000"/>
          <w:sz w:val="33"/>
          <w:u w:val="single"/>
          <w:shd w:fill="ffffff"/>
        </w:rPr>
        <w:t>25EFLOPS，其中新建算力设施智算和超算占比不低于90%，建成省内算力互联互通平台体系</w:t>
      </w:r>
      <w:r>
        <w:rPr>
          <w:rFonts w:ascii="宋体" w:hAnsi="Times New Roman" w:eastAsia="宋体"/>
          <w:b w:val="false"/>
          <w:i w:val="false"/>
          <w:color w:val="000000"/>
          <w:sz w:val="33"/>
          <w:shd w:fill="ffffff"/>
        </w:rPr>
        <w:t>，实现算力互联互通跨域调度，各市州算力互联网间</w:t>
      </w:r>
      <w:r>
        <w:rPr>
          <w:rFonts w:ascii="宋体" w:hAnsi="Times New Roman" w:eastAsia="宋体"/>
          <w:b w:val="false"/>
          <w:i w:val="false"/>
          <w:color w:val="000000"/>
          <w:sz w:val="33"/>
          <w:shd w:fill="ffffff"/>
        </w:rPr>
        <w:t>5毫秒超短时延，深度融入国家“东数西算”工程及全国一体化算力网，基本形成布局合理、连算成网、建用互促、绿色低碳的算网存用协同发展格局。</w:t>
      </w:r>
    </w:p>
    <w:bookmarkEnd w:id="4"/>
    <w:bookmarkStart w:name="u96b12349" w:id="5"/>
    <w:p>
      <w:pPr>
        <w:spacing w:after="50" w:line="360" w:lineRule="auto" w:beforeLines="100"/>
        <w:ind w:left="0"/>
        <w:jc w:val="both"/>
      </w:pPr>
      <w:r>
        <w:rPr>
          <w:rFonts w:ascii="宋体" w:hAnsi="Times New Roman" w:eastAsia="宋体"/>
          <w:b/>
          <w:i w:val="false"/>
          <w:color w:val="000000"/>
          <w:sz w:val="33"/>
          <w:shd w:fill="ffffff"/>
        </w:rPr>
        <w:t>（三）政策亮点</w:t>
      </w:r>
    </w:p>
    <w:bookmarkEnd w:id="5"/>
    <w:bookmarkStart w:name="u973b017a" w:id="6"/>
    <w:p>
      <w:pPr>
        <w:spacing w:after="50" w:line="360" w:lineRule="auto" w:beforeLines="100"/>
        <w:ind w:left="0"/>
        <w:jc w:val="both"/>
      </w:pPr>
      <w:r>
        <w:rPr>
          <w:rFonts w:ascii="宋体" w:hAnsi="Times New Roman" w:eastAsia="宋体"/>
          <w:b/>
          <w:i w:val="false"/>
          <w:color w:val="000000"/>
          <w:sz w:val="33"/>
          <w:shd w:fill="ffffff"/>
        </w:rPr>
        <w:t>算力布局优化：</w:t>
      </w:r>
      <w:r>
        <w:rPr>
          <w:rFonts w:ascii="宋体" w:hAnsi="Times New Roman" w:eastAsia="宋体"/>
          <w:b w:val="false"/>
          <w:i w:val="false"/>
          <w:color w:val="000000"/>
          <w:sz w:val="33"/>
          <w:shd w:fill="ffffff"/>
        </w:rPr>
        <w:t>科学布局</w:t>
      </w:r>
      <w:r>
        <w:rPr>
          <w:rFonts w:ascii="宋体" w:hAnsi="Times New Roman" w:eastAsia="宋体"/>
          <w:b w:val="false"/>
          <w:i w:val="false"/>
          <w:color w:val="000000"/>
          <w:sz w:val="33"/>
          <w:shd w:fill="ffffff"/>
        </w:rPr>
        <w:t>“武宜襄·十”三大算力圈，建设中部先进算力集群，打造国家“东数西算”中继站、国家算力网络枢纽节点。鼓励武汉建设有全国影响力的先进算力中心，宜昌打造“算力之都”，襄阳、十堰打造区域算力高地。</w:t>
      </w:r>
    </w:p>
    <w:bookmarkEnd w:id="6"/>
    <w:bookmarkStart w:name="ufc1bc877" w:id="7"/>
    <w:p>
      <w:pPr>
        <w:spacing w:after="50" w:line="360" w:lineRule="auto" w:beforeLines="100"/>
        <w:ind w:left="0"/>
        <w:jc w:val="both"/>
      </w:pPr>
      <w:r>
        <w:rPr>
          <w:rFonts w:ascii="宋体" w:hAnsi="Times New Roman" w:eastAsia="宋体"/>
          <w:b/>
          <w:i w:val="false"/>
          <w:color w:val="000000"/>
          <w:sz w:val="33"/>
          <w:shd w:fill="ffffff"/>
        </w:rPr>
        <w:t>多元算力供给：</w:t>
      </w:r>
      <w:r>
        <w:rPr>
          <w:rFonts w:ascii="宋体" w:hAnsi="Times New Roman" w:eastAsia="宋体"/>
          <w:b w:val="false"/>
          <w:i w:val="false"/>
          <w:color w:val="000000"/>
          <w:sz w:val="33"/>
          <w:shd w:fill="ffffff"/>
        </w:rPr>
        <w:t>形成全省</w:t>
      </w:r>
      <w:r>
        <w:rPr>
          <w:rFonts w:ascii="宋体" w:hAnsi="Times New Roman" w:eastAsia="宋体"/>
          <w:b w:val="false"/>
          <w:i w:val="false"/>
          <w:color w:val="000000"/>
          <w:sz w:val="33"/>
          <w:shd w:fill="ffffff"/>
        </w:rPr>
        <w:t>“通用+智算+超算+边缘”多元算力供给体系，对符合国家监管要求的新型数据中心、人工智能计算中心、高性能计算等领域，新建且投入超过2亿元的创新基础设施，按照建设费用或对外有效服务费用的10%给予补贴，每个最高不超过500万元。</w:t>
      </w:r>
    </w:p>
    <w:bookmarkEnd w:id="7"/>
    <w:bookmarkStart w:name="u202668dd" w:id="8"/>
    <w:p>
      <w:pPr>
        <w:spacing w:after="50" w:line="360" w:lineRule="auto" w:beforeLines="100"/>
        <w:ind w:left="0"/>
        <w:jc w:val="both"/>
      </w:pPr>
      <w:r>
        <w:rPr>
          <w:rFonts w:ascii="宋体" w:hAnsi="Times New Roman" w:eastAsia="宋体"/>
          <w:b/>
          <w:i w:val="false"/>
          <w:color w:val="000000"/>
          <w:sz w:val="33"/>
          <w:shd w:fill="ffffff"/>
        </w:rPr>
        <w:t>天基算力布局</w:t>
      </w:r>
      <w:r>
        <w:rPr>
          <w:rFonts w:ascii="宋体" w:hAnsi="Times New Roman" w:eastAsia="宋体"/>
          <w:b w:val="false"/>
          <w:i w:val="false"/>
          <w:color w:val="000000"/>
          <w:sz w:val="33"/>
          <w:shd w:fill="ffffff"/>
        </w:rPr>
        <w:t>：《湖北省加快算网存用协同发展的若干措施》中明确提出，要</w:t>
      </w:r>
      <w:r>
        <w:rPr>
          <w:rFonts w:ascii="宋体" w:hAnsi="Times New Roman" w:eastAsia="宋体"/>
          <w:b w:val="false"/>
          <w:i w:val="false"/>
          <w:color w:val="000000"/>
          <w:sz w:val="33"/>
          <w:shd w:fill="ffffff"/>
        </w:rPr>
        <w:t>“依托武汉国家航天产业基地，探索空天信息技术与算力基础设施融合，前瞻布局天基算力网及太空算力中心”。</w:t>
      </w:r>
    </w:p>
    <w:bookmarkEnd w:id="8"/>
    <w:bookmarkStart w:name="u3b508b3f" w:id="9"/>
    <w:p>
      <w:pPr>
        <w:spacing w:after="50" w:line="360" w:lineRule="auto" w:beforeLines="100"/>
        <w:ind w:left="0"/>
        <w:jc w:val="both"/>
      </w:pPr>
      <w:r>
        <w:rPr>
          <w:rFonts w:ascii="宋体" w:hAnsi="Times New Roman" w:eastAsia="宋体"/>
          <w:b/>
          <w:i w:val="false"/>
          <w:color w:val="000000"/>
          <w:sz w:val="33"/>
          <w:shd w:fill="ffffff"/>
        </w:rPr>
        <w:t>量子科技先行：</w:t>
      </w:r>
      <w:r>
        <w:rPr>
          <w:rFonts w:ascii="宋体" w:hAnsi="Times New Roman" w:eastAsia="宋体"/>
          <w:b w:val="false"/>
          <w:i w:val="false"/>
          <w:color w:val="000000"/>
          <w:sz w:val="33"/>
          <w:shd w:fill="ffffff"/>
        </w:rPr>
        <w:t>湖北省将量子科技产业作为全省</w:t>
      </w:r>
      <w:r>
        <w:rPr>
          <w:rFonts w:ascii="宋体" w:hAnsi="Times New Roman" w:eastAsia="宋体"/>
          <w:b w:val="false"/>
          <w:i w:val="false"/>
          <w:color w:val="000000"/>
          <w:sz w:val="33"/>
          <w:shd w:fill="ffffff"/>
        </w:rPr>
        <w:t>9条新兴特色制造业产业链之一，也是全国首个推出量子科技产业行动方案的省份，先后制定《武汉市加快发展量子科技产业三年行动方案（2023—2025年）》《武汉市促进未来产业创新发展实施方案》等政策。2025年底以来，陆续设立量子概念验证基金（湖北省首只以量子命名的概念验证基金）,成立湖北省量子信息科学学会，通过政策支持、平台建设和资金投入，加速成果转化。</w:t>
      </w:r>
    </w:p>
    <w:bookmarkEnd w:id="9"/>
    <w:bookmarkStart w:name="u75a1b7ed" w:id="10"/>
    <w:bookmarkEnd w:id="10"/>
    <w:bookmarkStart w:name="ub3cd305e" w:id="11"/>
    <w:p>
      <w:pPr>
        <w:spacing w:after="50" w:line="360" w:lineRule="auto" w:beforeLines="100"/>
        <w:ind w:left="0"/>
        <w:jc w:val="both"/>
      </w:pPr>
      <w:r>
        <w:rPr>
          <w:rFonts w:ascii="宋体" w:hAnsi="Times New Roman" w:eastAsia="宋体"/>
          <w:b/>
          <w:i w:val="false"/>
          <w:color w:val="000000"/>
          <w:sz w:val="33"/>
        </w:rPr>
        <w:t>二、</w:t>
      </w:r>
      <w:r>
        <w:rPr>
          <w:rFonts w:ascii="宋体" w:hAnsi="Times New Roman" w:eastAsia="宋体"/>
          <w:b/>
          <w:i w:val="false"/>
          <w:color w:val="000000"/>
          <w:sz w:val="33"/>
        </w:rPr>
        <w:t>湖北省发展布局</w:t>
      </w:r>
    </w:p>
    <w:bookmarkEnd w:id="11"/>
    <w:bookmarkStart w:name="u1ed7082b" w:id="12"/>
    <w:p>
      <w:pPr>
        <w:spacing w:after="50" w:line="360" w:lineRule="auto" w:beforeLines="100"/>
        <w:ind w:left="0"/>
        <w:jc w:val="both"/>
      </w:pPr>
      <w:r>
        <w:rPr>
          <w:rFonts w:ascii="宋体" w:hAnsi="Times New Roman" w:eastAsia="宋体"/>
          <w:b/>
          <w:i w:val="false"/>
          <w:color w:val="000000"/>
          <w:sz w:val="33"/>
          <w:shd w:fill="ffffff"/>
        </w:rPr>
        <w:t>（一）算力基础设施布局</w:t>
      </w:r>
    </w:p>
    <w:bookmarkEnd w:id="12"/>
    <w:bookmarkStart w:name="u25e531b4" w:id="13"/>
    <w:p>
      <w:pPr>
        <w:spacing w:after="50" w:line="360" w:lineRule="auto" w:beforeLines="100"/>
        <w:ind w:left="0"/>
        <w:jc w:val="both"/>
      </w:pPr>
      <w:r>
        <w:rPr>
          <w:rFonts w:ascii="宋体" w:hAnsi="Times New Roman" w:eastAsia="宋体"/>
          <w:b/>
          <w:i w:val="false"/>
          <w:color w:val="000000"/>
          <w:sz w:val="33"/>
          <w:shd w:fill="ffffff"/>
        </w:rPr>
        <w:t>“1+3+N”平台体系：</w:t>
      </w:r>
      <w:r>
        <w:rPr>
          <w:rFonts w:ascii="宋体" w:hAnsi="Times New Roman" w:eastAsia="宋体"/>
          <w:b w:val="false"/>
          <w:i w:val="false"/>
          <w:color w:val="000000"/>
          <w:sz w:val="33"/>
          <w:shd w:fill="ffffff"/>
        </w:rPr>
        <w:t>《湖北省加快算网存用协同发展的若干措施》提出，到</w:t>
      </w:r>
      <w:r>
        <w:rPr>
          <w:rFonts w:ascii="宋体" w:hAnsi="Times New Roman" w:eastAsia="宋体"/>
          <w:b w:val="false"/>
          <w:i w:val="false"/>
          <w:color w:val="000000"/>
          <w:sz w:val="33"/>
          <w:shd w:fill="ffffff"/>
        </w:rPr>
        <w:t>2027年形成全省“1+3+N”的平台体系（即1个省级、3个“金三角”区域分平台、N个行业平台），推动算力高效调度包括建设算力互联互通平台、推进全光网络升级、强化智算产业支撑。</w:t>
      </w:r>
    </w:p>
    <w:bookmarkEnd w:id="13"/>
    <w:bookmarkStart w:name="uf0dcf9f0" w:id="14"/>
    <w:p>
      <w:pPr>
        <w:spacing w:after="50" w:line="360" w:lineRule="auto" w:beforeLines="100"/>
        <w:ind w:left="0"/>
        <w:jc w:val="both"/>
      </w:pPr>
      <w:r>
        <w:rPr>
          <w:rFonts w:ascii="宋体" w:hAnsi="Times New Roman" w:eastAsia="宋体"/>
          <w:b/>
          <w:i w:val="false"/>
          <w:color w:val="000000"/>
          <w:sz w:val="33"/>
          <w:shd w:fill="ffffff"/>
        </w:rPr>
        <w:t>多层次算力体系：</w:t>
      </w:r>
      <w:r>
        <w:rPr>
          <w:rFonts w:ascii="宋体" w:hAnsi="Times New Roman" w:eastAsia="宋体"/>
          <w:b w:val="false"/>
          <w:i w:val="false"/>
          <w:color w:val="000000"/>
          <w:sz w:val="33"/>
          <w:shd w:fill="ffffff"/>
        </w:rPr>
        <w:t>鼓励武汉建设有全国影响力的先进算力中心，宜昌打造</w:t>
      </w:r>
      <w:r>
        <w:rPr>
          <w:rFonts w:ascii="宋体" w:hAnsi="Times New Roman" w:eastAsia="宋体"/>
          <w:b w:val="false"/>
          <w:i w:val="false"/>
          <w:color w:val="000000"/>
          <w:sz w:val="33"/>
          <w:shd w:fill="ffffff"/>
        </w:rPr>
        <w:t>“算力之都”，襄阳、十堰打造区域算力高地。鼓励黄石、荆门、鄂州、孝感等市州拓展算力应用场景，引导算力赋能新兴产业发展。建设中部先进算力集群，打造国家“东数西算”中继站、国家算力网络枢纽节点。</w:t>
      </w:r>
    </w:p>
    <w:bookmarkEnd w:id="14"/>
    <w:bookmarkStart w:name="u8510e9a7" w:id="15"/>
    <w:p>
      <w:pPr>
        <w:spacing w:after="50" w:line="360" w:lineRule="auto" w:beforeLines="100"/>
        <w:ind w:left="0"/>
        <w:jc w:val="both"/>
      </w:pPr>
      <w:r>
        <w:rPr>
          <w:rFonts w:ascii="宋体" w:hAnsi="Times New Roman" w:eastAsia="宋体"/>
          <w:b/>
          <w:i w:val="false"/>
          <w:color w:val="000000"/>
          <w:sz w:val="33"/>
          <w:shd w:fill="ffffff"/>
        </w:rPr>
        <w:t>毫秒用算网络：</w:t>
      </w:r>
      <w:r>
        <w:rPr>
          <w:rFonts w:ascii="宋体" w:hAnsi="Times New Roman" w:eastAsia="宋体"/>
          <w:b w:val="false"/>
          <w:i w:val="false"/>
          <w:color w:val="000000"/>
          <w:sz w:val="33"/>
          <w:shd w:fill="ffffff"/>
        </w:rPr>
        <w:t>经信厅组织</w:t>
      </w:r>
      <w:r>
        <w:rPr>
          <w:rFonts w:ascii="宋体" w:hAnsi="Times New Roman" w:eastAsia="宋体"/>
          <w:b w:val="false"/>
          <w:i w:val="false"/>
          <w:color w:val="000000"/>
          <w:sz w:val="33"/>
          <w:shd w:fill="ffffff"/>
        </w:rPr>
        <w:t>开展湖北省城域</w:t>
      </w:r>
      <w:r>
        <w:rPr>
          <w:rFonts w:ascii="宋体" w:hAnsi="Times New Roman" w:eastAsia="宋体"/>
          <w:b w:val="false"/>
          <w:i w:val="false"/>
          <w:color w:val="000000"/>
          <w:sz w:val="33"/>
          <w:shd w:fill="ffffff"/>
        </w:rPr>
        <w:t>“毫秒用算”专项行动，到2027年基本形成全域覆盖、高效畅通的城域毫秒用算网络能力体系，</w:t>
      </w:r>
      <w:r>
        <w:rPr>
          <w:rFonts w:ascii="宋体" w:hAnsi="Times New Roman" w:eastAsia="宋体"/>
          <w:b w:val="false"/>
          <w:i w:val="false"/>
          <w:color w:val="000000"/>
          <w:sz w:val="33"/>
          <w:u w:val="single"/>
          <w:shd w:fill="ffffff"/>
        </w:rPr>
        <w:t>面向</w:t>
      </w:r>
      <w:r>
        <w:rPr>
          <w:rFonts w:ascii="宋体" w:hAnsi="Times New Roman" w:eastAsia="宋体"/>
          <w:b w:val="false"/>
          <w:i w:val="false"/>
          <w:color w:val="000000"/>
          <w:sz w:val="33"/>
          <w:u w:val="single"/>
          <w:shd w:fill="ffffff"/>
        </w:rPr>
        <w:t>基础设施实现</w:t>
      </w:r>
      <w:r>
        <w:rPr>
          <w:rFonts w:ascii="宋体" w:hAnsi="Times New Roman" w:eastAsia="宋体"/>
          <w:b/>
          <w:i w:val="false"/>
          <w:color w:val="000000"/>
          <w:sz w:val="33"/>
          <w:u w:val="single"/>
          <w:shd w:fill="ffffff"/>
        </w:rPr>
        <w:t>算力中心毫秒互连（</w:t>
      </w:r>
      <w:r>
        <w:rPr>
          <w:rFonts w:ascii="宋体" w:hAnsi="Times New Roman" w:eastAsia="宋体"/>
          <w:b/>
          <w:i w:val="false"/>
          <w:color w:val="000000"/>
          <w:sz w:val="33"/>
          <w:u w:val="single"/>
          <w:shd w:fill="ffffff"/>
        </w:rPr>
        <w:t>&lt;1毫秒），</w:t>
      </w:r>
      <w:r>
        <w:rPr>
          <w:rFonts w:ascii="宋体" w:hAnsi="Times New Roman" w:eastAsia="宋体"/>
          <w:b w:val="false"/>
          <w:i w:val="false"/>
          <w:color w:val="000000"/>
          <w:sz w:val="33"/>
          <w:u w:val="single"/>
          <w:shd w:fill="ffffff"/>
        </w:rPr>
        <w:t>面向重点场所实现</w:t>
      </w:r>
      <w:r>
        <w:rPr>
          <w:rFonts w:ascii="宋体" w:hAnsi="Times New Roman" w:eastAsia="宋体"/>
          <w:b/>
          <w:i w:val="false"/>
          <w:color w:val="000000"/>
          <w:sz w:val="33"/>
          <w:u w:val="single"/>
          <w:shd w:fill="ffffff"/>
        </w:rPr>
        <w:t>算力资源毫秒接入（</w:t>
      </w:r>
      <w:r>
        <w:rPr>
          <w:rFonts w:ascii="宋体" w:hAnsi="Times New Roman" w:eastAsia="宋体"/>
          <w:b/>
          <w:i w:val="false"/>
          <w:color w:val="000000"/>
          <w:sz w:val="33"/>
          <w:u w:val="single"/>
          <w:shd w:fill="ffffff"/>
        </w:rPr>
        <w:t>&lt;1毫秒），</w:t>
      </w:r>
      <w:r>
        <w:rPr>
          <w:rFonts w:ascii="宋体" w:hAnsi="Times New Roman" w:eastAsia="宋体"/>
          <w:b w:val="false"/>
          <w:i w:val="false"/>
          <w:color w:val="000000"/>
          <w:sz w:val="33"/>
          <w:u w:val="single"/>
          <w:shd w:fill="ffffff"/>
        </w:rPr>
        <w:t>面向应用终端实现</w:t>
      </w:r>
      <w:r>
        <w:rPr>
          <w:rFonts w:ascii="宋体" w:hAnsi="Times New Roman" w:eastAsia="宋体"/>
          <w:b/>
          <w:i w:val="false"/>
          <w:color w:val="000000"/>
          <w:sz w:val="33"/>
          <w:u w:val="single"/>
          <w:shd w:fill="ffffff"/>
        </w:rPr>
        <w:t>算力应用毫秒可达（网络时延</w:t>
      </w:r>
      <w:r>
        <w:rPr>
          <w:rFonts w:ascii="宋体" w:hAnsi="Times New Roman" w:eastAsia="宋体"/>
          <w:b/>
          <w:i w:val="false"/>
          <w:color w:val="000000"/>
          <w:sz w:val="33"/>
          <w:u w:val="single"/>
          <w:shd w:fill="ffffff"/>
        </w:rPr>
        <w:t>&lt;10毫秒）</w:t>
      </w:r>
      <w:r>
        <w:rPr>
          <w:rFonts w:ascii="宋体" w:hAnsi="Times New Roman" w:eastAsia="宋体"/>
          <w:b w:val="false"/>
          <w:i w:val="false"/>
          <w:color w:val="000000"/>
          <w:sz w:val="33"/>
          <w:u w:val="single"/>
          <w:shd w:fill="ffffff"/>
        </w:rPr>
        <w:t>。</w:t>
      </w:r>
    </w:p>
    <w:bookmarkEnd w:id="15"/>
    <w:bookmarkStart w:name="u098d12e1" w:id="16"/>
    <w:p>
      <w:pPr>
        <w:spacing w:after="50" w:line="360" w:lineRule="auto" w:beforeLines="100"/>
        <w:ind w:left="0"/>
        <w:jc w:val="both"/>
      </w:pPr>
      <w:r>
        <w:rPr>
          <w:rFonts w:ascii="宋体" w:hAnsi="Times New Roman" w:eastAsia="宋体"/>
          <w:b/>
          <w:i w:val="false"/>
          <w:color w:val="000000"/>
          <w:sz w:val="33"/>
          <w:shd w:fill="ffffff"/>
        </w:rPr>
        <w:t>（二）产业发展布局</w:t>
      </w:r>
    </w:p>
    <w:bookmarkEnd w:id="16"/>
    <w:bookmarkStart w:name="uee699f7a" w:id="17"/>
    <w:p>
      <w:pPr>
        <w:spacing w:after="50" w:line="360" w:lineRule="auto" w:beforeLines="100"/>
        <w:ind w:left="0"/>
        <w:jc w:val="both"/>
      </w:pPr>
      <w:r>
        <w:rPr>
          <w:rFonts w:ascii="宋体" w:hAnsi="Times New Roman" w:eastAsia="宋体"/>
          <w:b/>
          <w:i w:val="false"/>
          <w:color w:val="000000"/>
          <w:sz w:val="33"/>
          <w:shd w:fill="ffffff"/>
        </w:rPr>
        <w:t>“51020”先进制造业集群：</w:t>
      </w:r>
      <w:r>
        <w:rPr>
          <w:rFonts w:ascii="宋体" w:hAnsi="Times New Roman" w:eastAsia="宋体"/>
          <w:b w:val="false"/>
          <w:i w:val="false"/>
          <w:color w:val="000000"/>
          <w:sz w:val="33"/>
          <w:shd w:fill="ffffff"/>
        </w:rPr>
        <w:t>聚焦集成电路、新型显示、智能终端、软件与信息服务、网络安全等数字产业集群化发展，推动算力赋能新兴产业发展。</w:t>
      </w:r>
    </w:p>
    <w:bookmarkEnd w:id="17"/>
    <w:bookmarkStart w:name="u726e7203" w:id="18"/>
    <w:p>
      <w:pPr>
        <w:spacing w:after="50" w:line="360" w:lineRule="auto" w:beforeLines="100"/>
        <w:ind w:left="0"/>
        <w:jc w:val="both"/>
      </w:pPr>
      <w:r>
        <w:rPr>
          <w:rFonts w:ascii="宋体" w:hAnsi="Times New Roman" w:eastAsia="宋体"/>
          <w:b/>
          <w:i w:val="false"/>
          <w:color w:val="000000"/>
          <w:sz w:val="33"/>
          <w:shd w:fill="ffffff"/>
        </w:rPr>
        <w:t>重点发展方向：</w:t>
      </w:r>
      <w:r>
        <w:rPr>
          <w:rFonts w:ascii="宋体" w:hAnsi="Times New Roman" w:eastAsia="宋体"/>
          <w:b w:val="false"/>
          <w:i w:val="false"/>
          <w:color w:val="000000"/>
          <w:sz w:val="33"/>
          <w:shd w:fill="ffffff"/>
        </w:rPr>
        <w:t>支持武汉市建设数据流通利用建设试点示范城市；襄阳、十堰发展自动驾驶、智能座舱、</w:t>
      </w:r>
      <w:r>
        <w:rPr>
          <w:rFonts w:ascii="宋体" w:hAnsi="Times New Roman" w:eastAsia="宋体"/>
          <w:b w:val="false"/>
          <w:i w:val="false"/>
          <w:color w:val="000000"/>
          <w:sz w:val="33"/>
          <w:shd w:fill="ffffff"/>
        </w:rPr>
        <w:t>“车路云一体化”，建设智能网联汽车示范区；宜昌发挥三峡绿电优势，坚持“以电育算、以算育数、以数育产”发展，打造全国一体化算力“中继站”；鄂州市依托花湖国际机场，特色化布局智慧物流等创新应用。</w:t>
      </w:r>
    </w:p>
    <w:bookmarkEnd w:id="18"/>
    <w:bookmarkStart w:name="u10fc2686" w:id="19"/>
    <w:p>
      <w:pPr>
        <w:spacing w:after="50" w:line="360" w:lineRule="auto" w:beforeLines="100"/>
        <w:ind w:left="0"/>
        <w:jc w:val="both"/>
      </w:pPr>
      <w:r>
        <w:rPr>
          <w:rFonts w:ascii="宋体" w:hAnsi="Times New Roman" w:eastAsia="宋体"/>
          <w:b/>
          <w:i w:val="false"/>
          <w:color w:val="000000"/>
          <w:sz w:val="33"/>
          <w:shd w:fill="ffffff"/>
        </w:rPr>
        <w:t>未来产业布局：</w:t>
      </w:r>
      <w:r>
        <w:rPr>
          <w:rFonts w:ascii="宋体" w:hAnsi="Times New Roman" w:eastAsia="宋体"/>
          <w:b w:val="false"/>
          <w:i w:val="false"/>
          <w:color w:val="000000"/>
          <w:sz w:val="33"/>
          <w:shd w:fill="ffffff"/>
        </w:rPr>
        <w:t>在区域产业布局方面，做大做强武汉国家航天产业基地，建设航天强省；发展壮大智能经济，加快智能网联汽车、智能手机、智能家电、智能穿戴等智能终端产业发展；实施</w:t>
      </w:r>
      <w:r>
        <w:rPr>
          <w:rFonts w:ascii="宋体" w:hAnsi="Times New Roman" w:eastAsia="宋体"/>
          <w:b w:val="false"/>
          <w:i w:val="false"/>
          <w:color w:val="000000"/>
          <w:sz w:val="33"/>
          <w:shd w:fill="ffffff"/>
        </w:rPr>
        <w:t>“人工智能+”行动，促进实数融合、数智融合，全方位赋能千行百业，打造全国数智经济发展高地。</w:t>
      </w:r>
    </w:p>
    <w:bookmarkEnd w:id="19"/>
    <w:bookmarkStart w:name="u1d4fd6f4" w:id="20"/>
    <w:bookmarkEnd w:id="20"/>
    <w:bookmarkStart w:name="u354597fe" w:id="21"/>
    <w:p>
      <w:pPr>
        <w:spacing w:after="50" w:line="360" w:lineRule="auto" w:beforeLines="100"/>
        <w:ind w:left="0"/>
        <w:jc w:val="both"/>
      </w:pPr>
      <w:r>
        <w:rPr>
          <w:rFonts w:ascii="宋体" w:hAnsi="Times New Roman" w:eastAsia="宋体"/>
          <w:b/>
          <w:i w:val="false"/>
          <w:color w:val="000000"/>
          <w:sz w:val="33"/>
        </w:rPr>
        <w:t>三、</w:t>
      </w:r>
      <w:r>
        <w:rPr>
          <w:rFonts w:ascii="宋体" w:hAnsi="Times New Roman" w:eastAsia="宋体"/>
          <w:b/>
          <w:i w:val="false"/>
          <w:color w:val="000000"/>
          <w:sz w:val="33"/>
        </w:rPr>
        <w:t>中国移动算力布局</w:t>
      </w:r>
    </w:p>
    <w:bookmarkEnd w:id="21"/>
    <w:bookmarkStart w:name="u9666dffc" w:id="22"/>
    <w:p>
      <w:pPr>
        <w:spacing w:after="50" w:line="360" w:lineRule="auto" w:beforeLines="100"/>
        <w:ind w:left="0"/>
        <w:jc w:val="both"/>
      </w:pPr>
      <w:r>
        <w:rPr>
          <w:rFonts w:ascii="宋体" w:hAnsi="Times New Roman" w:eastAsia="宋体"/>
          <w:b w:val="false"/>
          <w:i w:val="false"/>
          <w:color w:val="000000"/>
          <w:sz w:val="33"/>
          <w:shd w:fill="ffffff"/>
        </w:rPr>
        <w:t>中国移动围绕算网基础设施、算网资源调度体系、算网关键技术体系、算网产品服务体系开展系统布局，建成</w:t>
      </w:r>
      <w:r>
        <w:rPr>
          <w:rFonts w:ascii="宋体" w:hAnsi="Times New Roman" w:eastAsia="宋体"/>
          <w:b w:val="false"/>
          <w:i w:val="false"/>
          <w:color w:val="000000"/>
          <w:sz w:val="33"/>
          <w:shd w:fill="ffffff"/>
        </w:rPr>
        <w:t>“4（热点区域）+N（中心节点）+31（省级节点）+X（边缘节点）”的算力网络布局，</w:t>
      </w:r>
      <w:r>
        <w:rPr>
          <w:rFonts w:ascii="宋体" w:hAnsi="Times New Roman" w:eastAsia="宋体"/>
          <w:b w:val="false"/>
          <w:i w:val="false"/>
          <w:color w:val="000000"/>
          <w:sz w:val="33"/>
          <w:u w:val="single"/>
        </w:rPr>
        <w:t>中国移动已建成全国首个</w:t>
      </w:r>
      <w:r>
        <w:rPr>
          <w:rFonts w:ascii="宋体" w:hAnsi="Times New Roman" w:eastAsia="宋体"/>
          <w:b w:val="false"/>
          <w:i w:val="false"/>
          <w:color w:val="000000"/>
          <w:sz w:val="33"/>
          <w:u w:val="single"/>
        </w:rPr>
        <w:t>“四算合一”融合算力网络，算力服务器规模超100万台，智算规模超过61.3 EFLOPS</w:t>
      </w:r>
      <w:r>
        <w:rPr>
          <w:rFonts w:ascii="宋体" w:hAnsi="Times New Roman" w:eastAsia="宋体"/>
          <w:b w:val="false"/>
          <w:i w:val="false"/>
          <w:color w:val="000000"/>
          <w:sz w:val="33"/>
          <w:u w:val="single"/>
        </w:rPr>
        <w:t>（截至</w:t>
      </w:r>
      <w:r>
        <w:rPr>
          <w:rFonts w:ascii="宋体" w:hAnsi="Times New Roman" w:eastAsia="宋体"/>
          <w:b w:val="false"/>
          <w:i w:val="false"/>
          <w:color w:val="000000"/>
          <w:sz w:val="33"/>
          <w:u w:val="single"/>
        </w:rPr>
        <w:t>2025年上半年）</w:t>
      </w:r>
      <w:r>
        <w:rPr>
          <w:rFonts w:ascii="宋体" w:hAnsi="Times New Roman" w:eastAsia="宋体"/>
          <w:b w:val="false"/>
          <w:i w:val="false"/>
          <w:color w:val="000000"/>
          <w:sz w:val="33"/>
          <w:u w:val="single"/>
        </w:rPr>
        <w:t>，并网了</w:t>
      </w:r>
      <w:r>
        <w:rPr>
          <w:rFonts w:ascii="宋体" w:hAnsi="Times New Roman" w:eastAsia="宋体"/>
          <w:b w:val="false"/>
          <w:i w:val="false"/>
          <w:color w:val="000000"/>
          <w:sz w:val="33"/>
          <w:u w:val="single"/>
        </w:rPr>
        <w:t>21家智算中心、3家国家级超算中心和3家量算中心，</w:t>
      </w:r>
      <w:r>
        <w:rPr>
          <w:rFonts w:ascii="宋体" w:hAnsi="Times New Roman" w:eastAsia="宋体"/>
          <w:b/>
          <w:i w:val="false"/>
          <w:color w:val="000000"/>
          <w:sz w:val="33"/>
          <w:u w:val="single"/>
        </w:rPr>
        <w:t>可调度算力占全国六分之一</w:t>
      </w:r>
      <w:r>
        <w:rPr>
          <w:rFonts w:ascii="宋体" w:hAnsi="Times New Roman" w:eastAsia="宋体"/>
          <w:b w:val="false"/>
          <w:i w:val="false"/>
          <w:color w:val="000000"/>
          <w:sz w:val="33"/>
        </w:rPr>
        <w:t>。通过算网大脑实现全量资源纳管与智能调度，搭配高带宽运力网，提供低时延、高弹性服务</w:t>
      </w:r>
      <w:r>
        <w:rPr>
          <w:rFonts w:ascii="宋体" w:hAnsi="Times New Roman" w:eastAsia="宋体"/>
          <w:b w:val="false"/>
          <w:i w:val="false"/>
          <w:color w:val="000000"/>
          <w:sz w:val="33"/>
          <w:shd w:fill="ffffff"/>
        </w:rPr>
        <w:t>。</w:t>
      </w:r>
    </w:p>
    <w:bookmarkEnd w:id="22"/>
    <w:bookmarkStart w:name="ue74b821a" w:id="23"/>
    <w:p>
      <w:pPr>
        <w:spacing w:after="50" w:line="360" w:lineRule="auto" w:beforeLines="100"/>
        <w:ind w:left="0"/>
        <w:jc w:val="both"/>
      </w:pPr>
      <w:r>
        <w:rPr>
          <w:rFonts w:ascii="宋体" w:hAnsi="Times New Roman" w:eastAsia="宋体"/>
          <w:b w:val="false"/>
          <w:i w:val="false"/>
          <w:color w:val="000000"/>
          <w:sz w:val="33"/>
        </w:rPr>
        <w:t>中国移动自</w:t>
      </w:r>
      <w:r>
        <w:rPr>
          <w:rFonts w:ascii="宋体" w:hAnsi="Times New Roman" w:eastAsia="宋体"/>
          <w:b w:val="false"/>
          <w:i w:val="false"/>
          <w:color w:val="000000"/>
          <w:sz w:val="33"/>
        </w:rPr>
        <w:t>2023年起推进并已完成全球首个规模最大、覆盖最广的400G全光骨干网建设，并于2024年6月率先开通全球首个800G空芯光纤传输技术试验网，是空芯光纤及传输系统产业从技术原型走向产业化的重要里程碑；2025年7月完成业界首次800G以太网智算协同训练现网试验，是探索跨智算中心互联的新架构和新技术的重要突破。</w:t>
      </w:r>
    </w:p>
    <w:bookmarkEnd w:id="23"/>
    <w:bookmarkStart w:name="u72163e7c" w:id="24"/>
    <w:p>
      <w:pPr>
        <w:spacing w:after="50" w:line="360" w:lineRule="auto" w:beforeLines="100"/>
        <w:ind w:left="0"/>
        <w:jc w:val="both"/>
      </w:pPr>
      <w:r>
        <w:rPr>
          <w:rFonts w:ascii="宋体" w:hAnsi="Times New Roman" w:eastAsia="宋体"/>
          <w:b/>
          <w:i w:val="false"/>
          <w:color w:val="0070c0"/>
          <w:sz w:val="33"/>
        </w:rPr>
        <w:t>【国之重器、超级工程】</w:t>
      </w:r>
      <w:r>
        <w:rPr>
          <w:rFonts w:ascii="宋体" w:hAnsi="Times New Roman" w:eastAsia="宋体"/>
          <w:b w:val="false"/>
          <w:i w:val="false"/>
          <w:color w:val="000000"/>
          <w:sz w:val="33"/>
        </w:rPr>
        <w:t>中国移动</w:t>
      </w:r>
      <w:r>
        <w:rPr>
          <w:rFonts w:ascii="宋体" w:hAnsi="Times New Roman" w:eastAsia="宋体"/>
          <w:b w:val="false"/>
          <w:i w:val="false"/>
          <w:color w:val="000000"/>
          <w:sz w:val="33"/>
        </w:rPr>
        <w:t>“九天”大模型、中国移动“6G开放众创试验装置”分别入选2024、2025年度“</w:t>
      </w:r>
      <w:r>
        <w:rPr>
          <w:rFonts w:ascii="宋体" w:hAnsi="Times New Roman" w:eastAsia="宋体"/>
          <w:b/>
          <w:i w:val="false"/>
          <w:color w:val="000000"/>
          <w:sz w:val="33"/>
        </w:rPr>
        <w:t>央企十大国之重器</w:t>
      </w:r>
      <w:r>
        <w:rPr>
          <w:rFonts w:ascii="宋体" w:hAnsi="Times New Roman" w:eastAsia="宋体"/>
          <w:b w:val="false"/>
          <w:i w:val="false"/>
          <w:color w:val="000000"/>
          <w:sz w:val="33"/>
        </w:rPr>
        <w:t>”；中国移动“九州”算力光网、中国移动“全球领先全国规模最大的算力网络”分别入选2024、2025年度“</w:t>
      </w:r>
      <w:r>
        <w:rPr>
          <w:rFonts w:ascii="宋体" w:hAnsi="Times New Roman" w:eastAsia="宋体"/>
          <w:b/>
          <w:i w:val="false"/>
          <w:color w:val="000000"/>
          <w:sz w:val="33"/>
        </w:rPr>
        <w:t>央企十大超级工程</w:t>
      </w:r>
      <w:r>
        <w:rPr>
          <w:rFonts w:ascii="宋体" w:hAnsi="Times New Roman" w:eastAsia="宋体"/>
          <w:b w:val="false"/>
          <w:i w:val="false"/>
          <w:color w:val="000000"/>
          <w:sz w:val="33"/>
        </w:rPr>
        <w:t>”。</w:t>
      </w:r>
    </w:p>
    <w:bookmarkEnd w:id="24"/>
    <w:bookmarkStart w:name="u76bf29b9" w:id="25"/>
    <w:p>
      <w:pPr>
        <w:spacing w:after="50" w:line="360" w:lineRule="auto" w:beforeLines="100"/>
        <w:ind w:left="0"/>
        <w:jc w:val="both"/>
      </w:pPr>
      <w:r>
        <w:rPr>
          <w:rFonts w:ascii="宋体" w:hAnsi="Times New Roman" w:eastAsia="宋体"/>
          <w:b/>
          <w:i w:val="false"/>
          <w:color w:val="000000"/>
          <w:sz w:val="33"/>
        </w:rPr>
        <w:t>（一）</w:t>
      </w:r>
      <w:r>
        <w:rPr>
          <w:rFonts w:ascii="宋体" w:hAnsi="Times New Roman" w:eastAsia="宋体"/>
          <w:b/>
          <w:i w:val="false"/>
          <w:color w:val="000000"/>
          <w:sz w:val="33"/>
        </w:rPr>
        <w:t>湖北移动资源布局</w:t>
      </w:r>
    </w:p>
    <w:bookmarkEnd w:id="25"/>
    <w:bookmarkStart w:name="u856f9e8a" w:id="26"/>
    <w:p>
      <w:pPr>
        <w:spacing w:after="50" w:line="360" w:lineRule="auto" w:beforeLines="100"/>
        <w:ind w:left="0"/>
        <w:jc w:val="both"/>
      </w:pPr>
      <w:r>
        <w:rPr>
          <w:rFonts w:ascii="宋体" w:hAnsi="Times New Roman" w:eastAsia="宋体"/>
          <w:b/>
          <w:i w:val="false"/>
          <w:color w:val="000000"/>
          <w:sz w:val="33"/>
          <w:shd w:fill="ffffff"/>
        </w:rPr>
        <w:t>“3+5+X”</w:t>
      </w:r>
      <w:r>
        <w:rPr>
          <w:rFonts w:ascii="宋体" w:hAnsi="Times New Roman" w:eastAsia="宋体"/>
          <w:b/>
          <w:i w:val="false"/>
          <w:color w:val="000000"/>
          <w:sz w:val="33"/>
          <w:shd w:fill="ffffff"/>
        </w:rPr>
        <w:t>数据中心集群：</w:t>
      </w:r>
      <w:r>
        <w:rPr>
          <w:rFonts w:ascii="宋体" w:hAnsi="Times New Roman" w:eastAsia="宋体"/>
          <w:b w:val="false"/>
          <w:i w:val="false"/>
          <w:color w:val="000000"/>
          <w:sz w:val="33"/>
          <w:shd w:fill="ffffff"/>
        </w:rPr>
        <w:t>为服务湖北</w:t>
      </w:r>
      <w:r>
        <w:rPr>
          <w:rFonts w:ascii="宋体" w:hAnsi="Times New Roman" w:eastAsia="宋体"/>
          <w:b w:val="false"/>
          <w:i w:val="false"/>
          <w:color w:val="000000"/>
          <w:sz w:val="33"/>
          <w:shd w:fill="ffffff"/>
        </w:rPr>
        <w:t>“一极两带”数字经济发展，依托全省数据中心“3+5+X”梯次布局，筑牢算力基础底座。湖北移动围绕汉、襄、宜三大中心城市，构建5大省级节点（东湖高新、楚平路、金银湖、云计算、宜昌(规划待建)），覆盖全部地市及若干区县边缘下沉节点的资源集约、算网一体的数据中心集群，全省共具备4个省级数据中心（另有1个规划待建），13个地市数据中心，5个区县级数据中心以及6个合作数据中心。</w:t>
      </w:r>
    </w:p>
    <w:bookmarkEnd w:id="26"/>
    <w:bookmarkStart w:name="u13b2cf89" w:id="27"/>
    <w:p>
      <w:pPr>
        <w:spacing w:after="50" w:line="360" w:lineRule="auto" w:beforeLines="100"/>
        <w:ind w:left="0"/>
        <w:jc w:val="both"/>
      </w:pPr>
      <w:r>
        <w:rPr>
          <w:rFonts w:ascii="宋体" w:hAnsi="Times New Roman" w:eastAsia="宋体"/>
          <w:b/>
          <w:i w:val="false"/>
          <w:color w:val="000000"/>
          <w:sz w:val="33"/>
        </w:rPr>
        <w:t>“1+3+X”算力布局：</w:t>
      </w:r>
      <w:r>
        <w:rPr>
          <w:rFonts w:ascii="宋体" w:hAnsi="Times New Roman" w:eastAsia="宋体"/>
          <w:b w:val="false"/>
          <w:i w:val="false"/>
          <w:color w:val="000000"/>
          <w:sz w:val="33"/>
        </w:rPr>
        <w:t>湖北移动创新布局</w:t>
      </w:r>
      <w:r>
        <w:rPr>
          <w:rFonts w:ascii="宋体" w:hAnsi="Times New Roman" w:eastAsia="宋体"/>
          <w:b w:val="false"/>
          <w:i w:val="false"/>
          <w:color w:val="000000"/>
          <w:sz w:val="33"/>
        </w:rPr>
        <w:t>“1+3+X”（1个中国移动智算中心（武汉），武汉未来城、武汉楚平路、襄阳云计算3大省级节点中心，全省X（20余个）地市级数据中心）的通智超量算力体系，部署行业专属云、网络边缘云、全栈信创云等多形态算力资源，</w:t>
      </w:r>
      <w:r>
        <w:rPr>
          <w:rFonts w:ascii="宋体" w:hAnsi="Times New Roman" w:eastAsia="宋体"/>
          <w:b w:val="false"/>
          <w:i w:val="false"/>
          <w:color w:val="000000"/>
          <w:sz w:val="33"/>
        </w:rPr>
        <w:t>形成了地域协同、云边多级联动的高效算力布局，</w:t>
      </w:r>
      <w:r>
        <w:rPr>
          <w:rFonts w:ascii="宋体" w:hAnsi="Times New Roman" w:eastAsia="宋体"/>
          <w:b w:val="false"/>
          <w:i w:val="false"/>
          <w:color w:val="000000"/>
          <w:sz w:val="33"/>
        </w:rPr>
        <w:t>为千行百业提供多样化的算力服务。</w:t>
      </w:r>
    </w:p>
    <w:bookmarkEnd w:id="27"/>
    <w:bookmarkStart w:name="u0eae8c7d" w:id="28"/>
    <w:p>
      <w:pPr>
        <w:spacing w:after="50" w:line="360" w:lineRule="auto" w:beforeLines="100"/>
        <w:ind w:left="0"/>
        <w:jc w:val="both"/>
      </w:pPr>
      <w:r>
        <w:rPr>
          <w:rFonts w:ascii="宋体" w:hAnsi="Times New Roman" w:eastAsia="宋体"/>
          <w:b w:val="false"/>
          <w:i w:val="false"/>
          <w:color w:val="000000"/>
          <w:sz w:val="33"/>
        </w:rPr>
        <w:t>未来城、襄阳云计算园区基本情况：</w:t>
      </w:r>
    </w:p>
    <w:bookmarkEnd w:id="28"/>
    <w:bookmarkStart w:name="knF8z" w:id="2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120"/>
        <w:gridCol w:w="1528"/>
        <w:gridCol w:w="1289"/>
        <w:gridCol w:w="1268"/>
        <w:gridCol w:w="1598"/>
        <w:gridCol w:w="1494"/>
        <w:gridCol w:w="1792"/>
        <w:gridCol w:w="3545"/>
      </w:tblGrid>
      <w:tr>
        <w:trPr>
          <w:trHeight w:val="495" w:hRule="atLeast"/>
        </w:trPr>
        <w:tc>
          <w:tcPr>
            <w:tcW w:w="11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f43a0aa" w:id="30"/>
          <w:p>
            <w:pPr>
              <w:spacing w:after="50" w:line="360" w:lineRule="auto" w:beforeLines="100"/>
              <w:ind w:left="0"/>
              <w:jc w:val="center"/>
            </w:pPr>
            <w:r>
              <w:rPr>
                <w:rFonts w:ascii="宋体" w:hAnsi="Times New Roman" w:eastAsia="宋体"/>
                <w:b/>
                <w:i w:val="false"/>
                <w:color w:val="000000"/>
                <w:sz w:val="24"/>
              </w:rPr>
              <w:t>园区</w:t>
            </w:r>
          </w:p>
          <w:bookmarkEnd w:id="30"/>
        </w:tc>
        <w:tc>
          <w:tcPr>
            <w:tcW w:w="152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980c03a" w:id="31"/>
          <w:p>
            <w:pPr>
              <w:spacing w:after="50" w:line="360" w:lineRule="auto" w:beforeLines="100"/>
              <w:ind w:left="0"/>
              <w:jc w:val="center"/>
            </w:pPr>
            <w:r>
              <w:rPr>
                <w:rFonts w:ascii="宋体" w:hAnsi="Times New Roman" w:eastAsia="宋体"/>
                <w:b/>
                <w:i w:val="false"/>
                <w:color w:val="000000"/>
                <w:sz w:val="24"/>
              </w:rPr>
              <w:t>园区面积</w:t>
            </w:r>
          </w:p>
          <w:bookmarkEnd w:id="31"/>
        </w:tc>
        <w:tc>
          <w:tcPr>
            <w:tcW w:w="12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d0dcb34" w:id="32"/>
          <w:p>
            <w:pPr>
              <w:spacing w:after="50" w:line="360" w:lineRule="auto" w:beforeLines="100"/>
              <w:ind w:left="0"/>
              <w:jc w:val="center"/>
            </w:pPr>
            <w:r>
              <w:rPr>
                <w:rFonts w:ascii="宋体" w:hAnsi="Times New Roman" w:eastAsia="宋体"/>
                <w:b/>
                <w:i w:val="false"/>
                <w:color w:val="000000"/>
                <w:sz w:val="24"/>
              </w:rPr>
              <w:t>建筑总面积</w:t>
            </w:r>
          </w:p>
          <w:bookmarkEnd w:id="32"/>
        </w:tc>
        <w:tc>
          <w:tcPr>
            <w:tcW w:w="1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7fdb185" w:id="33"/>
          <w:p>
            <w:pPr>
              <w:spacing w:after="50" w:line="360" w:lineRule="auto" w:beforeLines="100"/>
              <w:ind w:left="0"/>
              <w:jc w:val="center"/>
            </w:pPr>
            <w:r>
              <w:rPr>
                <w:rFonts w:ascii="宋体" w:hAnsi="Times New Roman" w:eastAsia="宋体"/>
                <w:b/>
                <w:i w:val="false"/>
                <w:color w:val="000000"/>
                <w:sz w:val="24"/>
              </w:rPr>
              <w:t>机房楼数量</w:t>
            </w:r>
          </w:p>
          <w:bookmarkEnd w:id="33"/>
        </w:tc>
        <w:tc>
          <w:tcPr>
            <w:tcW w:w="15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57a5d33" w:id="34"/>
          <w:p>
            <w:pPr>
              <w:spacing w:after="50" w:line="360" w:lineRule="auto" w:beforeLines="100"/>
              <w:ind w:left="0"/>
              <w:jc w:val="center"/>
            </w:pPr>
            <w:r>
              <w:rPr>
                <w:rFonts w:ascii="宋体" w:hAnsi="Times New Roman" w:eastAsia="宋体"/>
                <w:b/>
                <w:i w:val="false"/>
                <w:color w:val="000000"/>
                <w:sz w:val="24"/>
              </w:rPr>
              <w:t>机房楼建筑面积</w:t>
            </w:r>
          </w:p>
          <w:bookmarkEnd w:id="34"/>
        </w:tc>
        <w:tc>
          <w:tcPr>
            <w:tcW w:w="14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053a508" w:id="35"/>
          <w:p>
            <w:pPr>
              <w:spacing w:after="50" w:line="360" w:lineRule="auto" w:beforeLines="100"/>
              <w:ind w:left="0"/>
              <w:jc w:val="center"/>
            </w:pPr>
            <w:r>
              <w:rPr>
                <w:rFonts w:ascii="宋体" w:hAnsi="Times New Roman" w:eastAsia="宋体"/>
                <w:b/>
                <w:i w:val="false"/>
                <w:color w:val="000000"/>
                <w:sz w:val="24"/>
              </w:rPr>
              <w:t>外电容量</w:t>
            </w:r>
          </w:p>
          <w:bookmarkEnd w:id="35"/>
        </w:tc>
        <w:tc>
          <w:tcPr>
            <w:tcW w:w="17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61e3629" w:id="36"/>
          <w:p>
            <w:pPr>
              <w:spacing w:after="50" w:line="360" w:lineRule="auto" w:beforeLines="100"/>
              <w:ind w:left="0"/>
              <w:jc w:val="center"/>
            </w:pPr>
            <w:r>
              <w:rPr>
                <w:rFonts w:ascii="宋体" w:hAnsi="Times New Roman" w:eastAsia="宋体"/>
                <w:b/>
                <w:i w:val="false"/>
                <w:color w:val="000000"/>
                <w:sz w:val="24"/>
              </w:rPr>
              <w:t>剩余外电容量</w:t>
            </w:r>
          </w:p>
          <w:bookmarkEnd w:id="36"/>
        </w:tc>
        <w:tc>
          <w:tcPr>
            <w:tcW w:w="35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59deaa" w:id="37"/>
          <w:p>
            <w:pPr>
              <w:spacing w:after="50" w:line="360" w:lineRule="auto" w:beforeLines="100"/>
              <w:ind w:left="0"/>
              <w:jc w:val="center"/>
            </w:pPr>
            <w:r>
              <w:rPr>
                <w:rFonts w:ascii="宋体" w:hAnsi="Times New Roman" w:eastAsia="宋体"/>
                <w:b/>
                <w:i w:val="false"/>
                <w:color w:val="000000"/>
                <w:sz w:val="24"/>
              </w:rPr>
              <w:t>备注</w:t>
            </w:r>
          </w:p>
          <w:bookmarkEnd w:id="37"/>
        </w:tc>
      </w:tr>
      <w:tr>
        <w:trPr>
          <w:trHeight w:val="495" w:hRule="atLeast"/>
        </w:trPr>
        <w:tc>
          <w:tcPr>
            <w:tcW w:w="11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36cea51" w:id="38"/>
          <w:p>
            <w:pPr>
              <w:spacing w:after="50" w:line="360" w:lineRule="auto" w:beforeLines="100"/>
              <w:ind w:left="0"/>
              <w:jc w:val="center"/>
            </w:pPr>
            <w:r>
              <w:rPr>
                <w:rFonts w:ascii="宋体" w:hAnsi="Times New Roman" w:eastAsia="宋体"/>
                <w:b w:val="false"/>
                <w:i w:val="false"/>
                <w:color w:val="000000"/>
                <w:sz w:val="24"/>
              </w:rPr>
              <w:t>未来城</w:t>
            </w:r>
          </w:p>
          <w:bookmarkEnd w:id="38"/>
        </w:tc>
        <w:tc>
          <w:tcPr>
            <w:tcW w:w="152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bb911bc" w:id="39"/>
          <w:p>
            <w:pPr>
              <w:spacing w:after="50" w:line="360" w:lineRule="auto" w:beforeLines="100"/>
              <w:ind w:left="0"/>
              <w:jc w:val="left"/>
            </w:pPr>
            <w:r>
              <w:rPr>
                <w:rFonts w:ascii="宋体" w:hAnsi="Times New Roman" w:eastAsia="宋体"/>
                <w:b w:val="false"/>
                <w:i w:val="false"/>
                <w:color w:val="000000"/>
                <w:sz w:val="24"/>
              </w:rPr>
              <w:t>约</w:t>
            </w:r>
            <w:r>
              <w:rPr>
                <w:rFonts w:ascii="宋体" w:hAnsi="Times New Roman" w:eastAsia="宋体"/>
                <w:b w:val="false"/>
                <w:i w:val="false"/>
                <w:color w:val="000000"/>
                <w:sz w:val="24"/>
              </w:rPr>
              <w:t>77亩</w:t>
            </w:r>
          </w:p>
          <w:bookmarkEnd w:id="39"/>
        </w:tc>
        <w:tc>
          <w:tcPr>
            <w:tcW w:w="12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0315e70" w:id="40"/>
          <w:p>
            <w:pPr>
              <w:spacing w:after="50" w:line="360" w:lineRule="auto" w:beforeLines="100"/>
              <w:ind w:left="0"/>
              <w:jc w:val="center"/>
            </w:pPr>
            <w:r>
              <w:rPr>
                <w:rFonts w:ascii="宋体" w:hAnsi="Times New Roman" w:eastAsia="宋体"/>
                <w:b w:val="false"/>
                <w:i w:val="false"/>
                <w:color w:val="000000"/>
                <w:sz w:val="24"/>
              </w:rPr>
              <w:t>8.1万平方米</w:t>
            </w:r>
          </w:p>
          <w:bookmarkEnd w:id="40"/>
        </w:tc>
        <w:tc>
          <w:tcPr>
            <w:tcW w:w="1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9f7b33a" w:id="41"/>
          <w:p>
            <w:pPr>
              <w:spacing w:after="50" w:line="360" w:lineRule="auto" w:beforeLines="100"/>
              <w:ind w:left="0"/>
              <w:jc w:val="center"/>
            </w:pPr>
            <w:r>
              <w:rPr>
                <w:rFonts w:ascii="宋体" w:hAnsi="Times New Roman" w:eastAsia="宋体"/>
                <w:b w:val="false"/>
                <w:i w:val="false"/>
                <w:color w:val="000000"/>
                <w:sz w:val="24"/>
              </w:rPr>
              <w:t>3栋</w:t>
            </w:r>
          </w:p>
          <w:bookmarkEnd w:id="41"/>
        </w:tc>
        <w:tc>
          <w:tcPr>
            <w:tcW w:w="15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83b8f42" w:id="42"/>
          <w:p>
            <w:pPr>
              <w:spacing w:after="50" w:line="360" w:lineRule="auto" w:beforeLines="100"/>
              <w:ind w:left="0"/>
              <w:jc w:val="center"/>
            </w:pPr>
            <w:r>
              <w:rPr>
                <w:rFonts w:ascii="宋体" w:hAnsi="Times New Roman" w:eastAsia="宋体"/>
                <w:b w:val="false"/>
                <w:i w:val="false"/>
                <w:color w:val="000000"/>
                <w:sz w:val="24"/>
              </w:rPr>
              <w:t>62236平方米</w:t>
            </w:r>
          </w:p>
          <w:bookmarkEnd w:id="42"/>
        </w:tc>
        <w:tc>
          <w:tcPr>
            <w:tcW w:w="14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b2935f0" w:id="43"/>
          <w:p>
            <w:pPr>
              <w:spacing w:after="50" w:line="360" w:lineRule="auto" w:beforeLines="100"/>
              <w:ind w:left="0"/>
              <w:jc w:val="center"/>
            </w:pPr>
            <w:r>
              <w:rPr>
                <w:rFonts w:ascii="宋体" w:hAnsi="Times New Roman" w:eastAsia="宋体"/>
                <w:b w:val="false"/>
                <w:i w:val="false"/>
                <w:color w:val="000000"/>
                <w:sz w:val="24"/>
              </w:rPr>
              <w:t>30000kVA</w:t>
            </w:r>
          </w:p>
          <w:bookmarkEnd w:id="43"/>
        </w:tc>
        <w:tc>
          <w:tcPr>
            <w:tcW w:w="17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1cacf4c" w:id="44"/>
          <w:p>
            <w:pPr>
              <w:spacing w:after="50" w:line="360" w:lineRule="auto" w:beforeLines="100"/>
              <w:ind w:left="0"/>
              <w:jc w:val="center"/>
            </w:pPr>
            <w:r>
              <w:rPr>
                <w:rFonts w:ascii="宋体" w:hAnsi="Times New Roman" w:eastAsia="宋体"/>
                <w:b w:val="false"/>
                <w:i w:val="false"/>
                <w:color w:val="000000"/>
                <w:sz w:val="24"/>
              </w:rPr>
              <w:t>14800kVA</w:t>
            </w:r>
          </w:p>
          <w:bookmarkEnd w:id="44"/>
        </w:tc>
        <w:tc>
          <w:tcPr>
            <w:tcW w:w="35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3858552" w:id="45"/>
          <w:p>
            <w:pPr>
              <w:spacing w:after="50" w:line="360" w:lineRule="auto" w:beforeLines="100"/>
              <w:ind w:left="0"/>
              <w:jc w:val="both"/>
            </w:pPr>
            <w:r>
              <w:rPr>
                <w:rFonts w:ascii="宋体" w:hAnsi="Times New Roman" w:eastAsia="宋体"/>
                <w:b w:val="false"/>
                <w:i w:val="false"/>
                <w:color w:val="000000"/>
                <w:sz w:val="24"/>
              </w:rPr>
              <w:t>启动</w:t>
            </w:r>
            <w:r>
              <w:rPr>
                <w:rFonts w:ascii="宋体" w:hAnsi="Times New Roman" w:eastAsia="宋体"/>
                <w:b w:val="false"/>
                <w:i w:val="false"/>
                <w:color w:val="000000"/>
                <w:sz w:val="24"/>
              </w:rPr>
              <w:t>110kV变电站项目，计划引入外电容量80000kVA，替代现有20000kV外电。</w:t>
            </w:r>
          </w:p>
          <w:bookmarkEnd w:id="45"/>
        </w:tc>
      </w:tr>
      <w:tr>
        <w:trPr>
          <w:trHeight w:val="495" w:hRule="atLeast"/>
        </w:trPr>
        <w:tc>
          <w:tcPr>
            <w:tcW w:w="11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688a39d" w:id="46"/>
          <w:p>
            <w:pPr>
              <w:spacing w:after="50" w:line="360" w:lineRule="auto" w:beforeLines="100"/>
              <w:ind w:left="0"/>
              <w:jc w:val="center"/>
            </w:pPr>
            <w:r>
              <w:rPr>
                <w:rFonts w:ascii="宋体" w:hAnsi="Times New Roman" w:eastAsia="宋体"/>
                <w:b w:val="false"/>
                <w:i w:val="false"/>
                <w:color w:val="000000"/>
                <w:sz w:val="24"/>
              </w:rPr>
              <w:t>襄阳云计算</w:t>
            </w:r>
          </w:p>
          <w:bookmarkEnd w:id="46"/>
        </w:tc>
        <w:tc>
          <w:tcPr>
            <w:tcW w:w="152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04af352" w:id="47"/>
          <w:p>
            <w:pPr>
              <w:spacing w:after="50" w:line="360" w:lineRule="auto" w:beforeLines="100"/>
              <w:ind w:left="0"/>
              <w:jc w:val="left"/>
            </w:pPr>
            <w:r>
              <w:rPr>
                <w:rFonts w:ascii="宋体" w:hAnsi="Times New Roman" w:eastAsia="宋体"/>
                <w:b w:val="false"/>
                <w:i w:val="false"/>
                <w:color w:val="000000"/>
                <w:sz w:val="24"/>
              </w:rPr>
              <w:t>约</w:t>
            </w:r>
            <w:r>
              <w:rPr>
                <w:rFonts w:ascii="宋体" w:hAnsi="Times New Roman" w:eastAsia="宋体"/>
                <w:b w:val="false"/>
                <w:i w:val="false"/>
                <w:color w:val="000000"/>
                <w:sz w:val="24"/>
              </w:rPr>
              <w:t>219亩</w:t>
            </w:r>
          </w:p>
          <w:bookmarkEnd w:id="47"/>
          <w:bookmarkStart w:name="u99ec83fd" w:id="48"/>
          <w:p>
            <w:pPr>
              <w:spacing w:after="50" w:line="360" w:lineRule="auto" w:beforeLines="100"/>
              <w:ind w:left="0"/>
              <w:jc w:val="left"/>
            </w:pPr>
            <w:r>
              <w:rPr>
                <w:rFonts w:ascii="宋体" w:hAnsi="Times New Roman" w:eastAsia="宋体"/>
                <w:b w:val="false"/>
                <w:i w:val="false"/>
                <w:color w:val="000000"/>
                <w:sz w:val="24"/>
              </w:rPr>
              <w:t>（</w:t>
            </w:r>
            <w:r>
              <w:rPr>
                <w:rFonts w:ascii="宋体" w:hAnsi="Times New Roman" w:eastAsia="宋体"/>
                <w:b w:val="false"/>
                <w:i w:val="false"/>
                <w:color w:val="000000"/>
                <w:sz w:val="24"/>
              </w:rPr>
              <w:t>2025年退地后）</w:t>
            </w:r>
          </w:p>
          <w:bookmarkEnd w:id="48"/>
        </w:tc>
        <w:tc>
          <w:tcPr>
            <w:tcW w:w="12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5453377" w:id="49"/>
          <w:p>
            <w:pPr>
              <w:spacing w:after="50" w:line="360" w:lineRule="auto" w:beforeLines="100"/>
              <w:ind w:left="0"/>
              <w:jc w:val="center"/>
            </w:pPr>
            <w:r>
              <w:rPr>
                <w:rFonts w:ascii="宋体" w:hAnsi="Times New Roman" w:eastAsia="宋体"/>
                <w:b w:val="false"/>
                <w:i w:val="false"/>
                <w:color w:val="000000"/>
                <w:sz w:val="24"/>
              </w:rPr>
              <w:t>-</w:t>
            </w:r>
          </w:p>
          <w:bookmarkEnd w:id="49"/>
        </w:tc>
        <w:tc>
          <w:tcPr>
            <w:tcW w:w="12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61f1d01" w:id="50"/>
          <w:p>
            <w:pPr>
              <w:spacing w:after="50" w:line="360" w:lineRule="auto" w:beforeLines="100"/>
              <w:ind w:left="0"/>
              <w:jc w:val="center"/>
            </w:pPr>
            <w:r>
              <w:rPr>
                <w:rFonts w:ascii="宋体" w:hAnsi="Times New Roman" w:eastAsia="宋体"/>
                <w:b w:val="false"/>
                <w:i w:val="false"/>
                <w:color w:val="000000"/>
                <w:sz w:val="24"/>
              </w:rPr>
              <w:t>1栋</w:t>
            </w:r>
          </w:p>
          <w:bookmarkEnd w:id="50"/>
        </w:tc>
        <w:tc>
          <w:tcPr>
            <w:tcW w:w="159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179545f" w:id="51"/>
          <w:p>
            <w:pPr>
              <w:spacing w:after="50" w:line="360" w:lineRule="auto" w:beforeLines="100"/>
              <w:ind w:left="0"/>
              <w:jc w:val="center"/>
            </w:pPr>
            <w:r>
              <w:rPr>
                <w:rFonts w:ascii="宋体" w:hAnsi="Times New Roman" w:eastAsia="宋体"/>
                <w:b w:val="false"/>
                <w:i w:val="false"/>
                <w:color w:val="000000"/>
                <w:sz w:val="24"/>
              </w:rPr>
              <w:t>23889平方米</w:t>
            </w:r>
          </w:p>
          <w:bookmarkEnd w:id="51"/>
        </w:tc>
        <w:tc>
          <w:tcPr>
            <w:tcW w:w="149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657325" w:id="52"/>
          <w:p>
            <w:pPr>
              <w:spacing w:after="50" w:line="360" w:lineRule="auto" w:beforeLines="100"/>
              <w:ind w:left="0"/>
              <w:jc w:val="center"/>
            </w:pPr>
            <w:r>
              <w:rPr>
                <w:rFonts w:ascii="宋体" w:hAnsi="Times New Roman" w:eastAsia="宋体"/>
                <w:b w:val="false"/>
                <w:i w:val="false"/>
                <w:color w:val="000000"/>
                <w:sz w:val="24"/>
              </w:rPr>
              <w:t>16100kVA</w:t>
            </w:r>
          </w:p>
          <w:bookmarkEnd w:id="52"/>
        </w:tc>
        <w:tc>
          <w:tcPr>
            <w:tcW w:w="17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eec0bd0" w:id="53"/>
          <w:p>
            <w:pPr>
              <w:spacing w:after="50" w:line="360" w:lineRule="auto" w:beforeLines="100"/>
              <w:ind w:left="0"/>
              <w:jc w:val="center"/>
            </w:pPr>
            <w:r>
              <w:rPr>
                <w:rFonts w:ascii="宋体" w:hAnsi="Times New Roman" w:eastAsia="宋体"/>
                <w:b w:val="false"/>
                <w:i w:val="false"/>
                <w:color w:val="000000"/>
                <w:sz w:val="24"/>
              </w:rPr>
              <w:t>8200kVA</w:t>
            </w:r>
          </w:p>
          <w:bookmarkEnd w:id="53"/>
        </w:tc>
        <w:tc>
          <w:tcPr>
            <w:tcW w:w="35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fc31c1" w:id="54"/>
          <w:p>
            <w:pPr>
              <w:spacing w:after="50" w:line="360" w:lineRule="auto" w:beforeLines="100"/>
              <w:ind w:left="0"/>
              <w:jc w:val="left"/>
            </w:pPr>
          </w:p>
          <w:bookmarkEnd w:id="54"/>
        </w:tc>
      </w:tr>
    </w:tbl>
    <w:bookmarkEnd w:id="29"/>
    <w:bookmarkStart w:name="u5ced76b4" w:id="55"/>
    <w:p>
      <w:pPr>
        <w:spacing w:after="50" w:line="360" w:lineRule="auto" w:beforeLines="100"/>
        <w:ind w:left="0"/>
        <w:jc w:val="both"/>
      </w:pPr>
      <w:r>
        <w:rPr>
          <w:rFonts w:ascii="宋体" w:hAnsi="Times New Roman" w:eastAsia="宋体"/>
          <w:b w:val="false"/>
          <w:i w:val="false"/>
          <w:color w:val="000000"/>
          <w:sz w:val="33"/>
        </w:rPr>
        <w:t>湖北移动发挥区位与绿色电力、深层冷水等资源优势，积极打造绿色算力中心，建设东岳庙、武当云谷合作机房：</w:t>
      </w:r>
    </w:p>
    <w:bookmarkEnd w:id="55"/>
    <w:bookmarkStart w:name="kEvSL" w:id="5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073"/>
        <w:gridCol w:w="3622"/>
        <w:gridCol w:w="4012"/>
        <w:gridCol w:w="4927"/>
      </w:tblGrid>
      <w:tr>
        <w:trPr>
          <w:trHeight w:val="495" w:hRule="atLeast"/>
        </w:trPr>
        <w:tc>
          <w:tcPr>
            <w:tcW w:w="1073"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bed4dafa" w:id="57"/>
          <w:p>
            <w:pPr>
              <w:spacing w:after="50" w:line="360" w:lineRule="auto" w:beforeLines="100"/>
              <w:ind w:left="0"/>
              <w:jc w:val="center"/>
            </w:pPr>
            <w:r>
              <w:rPr>
                <w:rFonts w:ascii="宋体" w:hAnsi="Times New Roman" w:eastAsia="宋体"/>
                <w:b/>
                <w:i w:val="false"/>
                <w:color w:val="0f1115"/>
                <w:sz w:val="24"/>
              </w:rPr>
              <w:t>机房名称</w:t>
            </w:r>
          </w:p>
          <w:bookmarkEnd w:id="57"/>
        </w:tc>
        <w:tc>
          <w:tcPr>
            <w:tcW w:w="362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d298131b" w:id="58"/>
          <w:p>
            <w:pPr>
              <w:spacing w:after="50" w:line="360" w:lineRule="auto" w:beforeLines="100"/>
              <w:ind w:left="0"/>
              <w:jc w:val="center"/>
            </w:pPr>
            <w:r>
              <w:rPr>
                <w:rFonts w:ascii="宋体" w:hAnsi="Times New Roman" w:eastAsia="宋体"/>
                <w:b/>
                <w:i w:val="false"/>
                <w:color w:val="0f1115"/>
                <w:sz w:val="24"/>
              </w:rPr>
              <w:t>定位</w:t>
            </w:r>
            <w:r>
              <w:rPr>
                <w:rFonts w:ascii="宋体" w:hAnsi="Times New Roman" w:eastAsia="宋体"/>
                <w:b/>
                <w:i w:val="false"/>
                <w:color w:val="0f1115"/>
                <w:sz w:val="24"/>
              </w:rPr>
              <w:t>/特点</w:t>
            </w:r>
          </w:p>
          <w:bookmarkEnd w:id="58"/>
        </w:tc>
        <w:tc>
          <w:tcPr>
            <w:tcW w:w="4012"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46b830ed" w:id="59"/>
          <w:p>
            <w:pPr>
              <w:spacing w:after="50" w:line="360" w:lineRule="auto" w:beforeLines="100"/>
              <w:ind w:left="0"/>
              <w:jc w:val="center"/>
            </w:pPr>
            <w:r>
              <w:rPr>
                <w:rFonts w:ascii="宋体" w:hAnsi="Times New Roman" w:eastAsia="宋体"/>
                <w:b/>
                <w:i w:val="false"/>
                <w:color w:val="0f1115"/>
                <w:sz w:val="24"/>
              </w:rPr>
              <w:t>技术路径与绿色措施</w:t>
            </w:r>
          </w:p>
          <w:bookmarkEnd w:id="59"/>
        </w:tc>
        <w:tc>
          <w:tcPr>
            <w:tcW w:w="4927" w:type="dxa"/>
            <w:tcBorders>
              <w:top w:val="single" w:color="eeeeee" w:sz="8"/>
              <w:left w:val="single" w:color="eeeeee" w:sz="8"/>
              <w:bottom w:val="single" w:color="eeeeee" w:sz="8"/>
              <w:right w:val="single" w:color="eeeeee" w:sz="8"/>
            </w:tcBorders>
            <w:shd w:fill="ffffff"/>
            <w:tcMar>
              <w:top w:w="15" w:type="dxa"/>
              <w:left w:w="15" w:type="dxa"/>
              <w:bottom w:w="15" w:type="dxa"/>
              <w:right w:w="15" w:type="dxa"/>
            </w:tcMar>
            <w:vAlign w:val="center"/>
          </w:tcPr>
          <w:bookmarkStart w:name="u84f7183f" w:id="60"/>
          <w:p>
            <w:pPr>
              <w:spacing w:after="50" w:line="360" w:lineRule="auto" w:beforeLines="100"/>
              <w:ind w:left="0"/>
              <w:jc w:val="center"/>
            </w:pPr>
            <w:r>
              <w:rPr>
                <w:rFonts w:ascii="宋体" w:hAnsi="Times New Roman" w:eastAsia="宋体"/>
                <w:b/>
                <w:i w:val="false"/>
                <w:color w:val="0f1115"/>
                <w:sz w:val="24"/>
              </w:rPr>
              <w:t>关键数据</w:t>
            </w:r>
            <w:r>
              <w:rPr>
                <w:rFonts w:ascii="宋体" w:hAnsi="Times New Roman" w:eastAsia="宋体"/>
                <w:b/>
                <w:i w:val="false"/>
                <w:color w:val="0f1115"/>
                <w:sz w:val="24"/>
              </w:rPr>
              <w:t>/成效</w:t>
            </w:r>
          </w:p>
          <w:bookmarkEnd w:id="60"/>
        </w:tc>
      </w:tr>
      <w:tr>
        <w:trPr>
          <w:trHeight w:val="495" w:hRule="atLeast"/>
        </w:trPr>
        <w:tc>
          <w:tcPr>
            <w:tcW w:w="1073"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0db1bef" w:id="61"/>
          <w:p>
            <w:pPr>
              <w:spacing w:after="50" w:line="360" w:lineRule="auto" w:beforeLines="100"/>
              <w:ind w:left="0"/>
              <w:jc w:val="left"/>
            </w:pPr>
            <w:r>
              <w:rPr>
                <w:rFonts w:ascii="宋体" w:hAnsi="Times New Roman" w:eastAsia="宋体"/>
                <w:b w:val="false"/>
                <w:i w:val="false"/>
                <w:color w:val="000000"/>
                <w:sz w:val="24"/>
              </w:rPr>
              <w:t>东岳庙机房</w:t>
            </w:r>
          </w:p>
          <w:bookmarkEnd w:id="61"/>
        </w:tc>
        <w:tc>
          <w:tcPr>
            <w:tcW w:w="3622"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d9cd99" w:id="62"/>
          <w:p>
            <w:pPr>
              <w:spacing w:after="50" w:line="360" w:lineRule="auto" w:beforeLines="100"/>
              <w:ind w:left="0"/>
              <w:jc w:val="left"/>
            </w:pPr>
            <w:r>
              <w:rPr>
                <w:rFonts w:ascii="宋体" w:hAnsi="Times New Roman" w:eastAsia="宋体"/>
                <w:b w:val="false"/>
                <w:i w:val="false"/>
                <w:color w:val="000000"/>
                <w:sz w:val="24"/>
              </w:rPr>
              <w:t>分布式绿电应用试点（小规模可再生能源替代）</w:t>
            </w:r>
          </w:p>
          <w:bookmarkEnd w:id="62"/>
        </w:tc>
        <w:tc>
          <w:tcPr>
            <w:tcW w:w="4012"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aa490d4" w:id="63"/>
          <w:p>
            <w:pPr>
              <w:spacing w:after="50" w:line="360" w:lineRule="auto" w:beforeLines="100"/>
              <w:ind w:left="0"/>
              <w:jc w:val="left"/>
            </w:pPr>
            <w:r>
              <w:rPr>
                <w:rFonts w:ascii="宋体" w:hAnsi="Times New Roman" w:eastAsia="宋体"/>
                <w:b w:val="false"/>
                <w:i w:val="false"/>
                <w:color w:val="000000"/>
                <w:sz w:val="24"/>
              </w:rPr>
              <w:t>建成</w:t>
            </w:r>
            <w:r>
              <w:rPr>
                <w:rFonts w:ascii="宋体" w:hAnsi="Times New Roman" w:eastAsia="宋体"/>
                <w:b w:val="false"/>
                <w:i w:val="false"/>
                <w:color w:val="000000"/>
                <w:sz w:val="24"/>
              </w:rPr>
              <w:t>4.4kW太阳能辅助供电系统，采用直流并机技术与传统开关电源协同运行</w:t>
            </w:r>
          </w:p>
          <w:bookmarkEnd w:id="63"/>
        </w:tc>
        <w:tc>
          <w:tcPr>
            <w:tcW w:w="49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a738947" w:id="64"/>
          <w:p>
            <w:pPr>
              <w:spacing w:after="50" w:line="360" w:lineRule="auto" w:beforeLines="100"/>
              <w:ind w:left="0"/>
              <w:jc w:val="left"/>
            </w:pPr>
            <w:r>
              <w:rPr>
                <w:rFonts w:ascii="宋体" w:hAnsi="Times New Roman" w:eastAsia="宋体"/>
                <w:b w:val="false"/>
                <w:i w:val="false"/>
                <w:color w:val="000000"/>
                <w:sz w:val="24"/>
              </w:rPr>
              <w:t>年有效光照约</w:t>
            </w:r>
            <w:r>
              <w:rPr>
                <w:rFonts w:ascii="宋体" w:hAnsi="Times New Roman" w:eastAsia="宋体"/>
                <w:b w:val="false"/>
                <w:i w:val="false"/>
                <w:color w:val="000000"/>
                <w:sz w:val="24"/>
              </w:rPr>
              <w:t>991.92小时</w:t>
            </w:r>
          </w:p>
          <w:bookmarkEnd w:id="64"/>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49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99c036d" w:id="65"/>
          <w:p>
            <w:pPr>
              <w:spacing w:after="50" w:line="360" w:lineRule="auto" w:beforeLines="100"/>
              <w:ind w:left="0"/>
              <w:jc w:val="left"/>
            </w:pPr>
            <w:r>
              <w:rPr>
                <w:rFonts w:ascii="宋体" w:hAnsi="Times New Roman" w:eastAsia="宋体"/>
                <w:b w:val="false"/>
                <w:i w:val="false"/>
                <w:color w:val="000000"/>
                <w:sz w:val="24"/>
              </w:rPr>
              <w:t>年均发电量</w:t>
            </w:r>
            <w:r>
              <w:rPr>
                <w:rFonts w:ascii="宋体" w:hAnsi="Times New Roman" w:eastAsia="宋体"/>
                <w:b w:val="false"/>
                <w:i w:val="false"/>
                <w:color w:val="000000"/>
                <w:sz w:val="24"/>
              </w:rPr>
              <w:t>4364.45千瓦时</w:t>
            </w:r>
          </w:p>
          <w:bookmarkEnd w:id="65"/>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49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230f12" w:id="66"/>
          <w:p>
            <w:pPr>
              <w:spacing w:after="50" w:line="360" w:lineRule="auto" w:beforeLines="100"/>
              <w:ind w:left="0"/>
              <w:jc w:val="left"/>
            </w:pPr>
            <w:r>
              <w:rPr>
                <w:rFonts w:ascii="宋体" w:hAnsi="Times New Roman" w:eastAsia="宋体"/>
                <w:b w:val="false"/>
                <w:i w:val="false"/>
                <w:color w:val="000000"/>
                <w:sz w:val="24"/>
              </w:rPr>
              <w:t>可满足</w:t>
            </w:r>
            <w:r>
              <w:rPr>
                <w:rFonts w:ascii="宋体" w:hAnsi="Times New Roman" w:eastAsia="宋体"/>
                <w:b w:val="false"/>
                <w:i w:val="false"/>
                <w:color w:val="000000"/>
                <w:sz w:val="24"/>
              </w:rPr>
              <w:t>1.8千瓦负载供电需求</w:t>
            </w:r>
          </w:p>
          <w:bookmarkEnd w:id="66"/>
        </w:tc>
      </w:tr>
      <w:tr>
        <w:trPr>
          <w:trHeight w:val="495" w:hRule="atLeast"/>
        </w:trPr>
        <w:tc>
          <w:tcPr>
            <w:tcW w:w="1073"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7b55c65" w:id="67"/>
          <w:p>
            <w:pPr>
              <w:spacing w:after="50" w:line="360" w:lineRule="auto" w:beforeLines="100"/>
              <w:ind w:left="0"/>
              <w:jc w:val="left"/>
            </w:pPr>
            <w:r>
              <w:rPr>
                <w:rFonts w:ascii="宋体" w:hAnsi="Times New Roman" w:eastAsia="宋体"/>
                <w:b w:val="false"/>
                <w:i w:val="false"/>
                <w:color w:val="000000"/>
                <w:sz w:val="24"/>
              </w:rPr>
              <w:t>武当云谷机房</w:t>
            </w:r>
          </w:p>
          <w:bookmarkEnd w:id="67"/>
        </w:tc>
        <w:tc>
          <w:tcPr>
            <w:tcW w:w="3622"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a9bd5c" w:id="68"/>
          <w:p>
            <w:pPr>
              <w:spacing w:after="50" w:line="360" w:lineRule="auto" w:beforeLines="100"/>
              <w:ind w:left="0"/>
              <w:jc w:val="left"/>
            </w:pPr>
            <w:r>
              <w:rPr>
                <w:rFonts w:ascii="宋体" w:hAnsi="Times New Roman" w:eastAsia="宋体"/>
                <w:b w:val="false"/>
                <w:i w:val="false"/>
                <w:color w:val="000000"/>
                <w:sz w:val="24"/>
              </w:rPr>
              <w:t>规模化算力体系（</w:t>
            </w:r>
            <w:r>
              <w:rPr>
                <w:rFonts w:ascii="宋体" w:hAnsi="Times New Roman" w:eastAsia="宋体"/>
                <w:b w:val="false"/>
                <w:i w:val="false"/>
                <w:color w:val="000000"/>
                <w:sz w:val="24"/>
              </w:rPr>
              <w:t>“100%绿电+自然水冷”）</w:t>
            </w:r>
          </w:p>
          <w:bookmarkEnd w:id="68"/>
        </w:tc>
        <w:tc>
          <w:tcPr>
            <w:tcW w:w="4012"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f18e3e9" w:id="69"/>
          <w:p>
            <w:pPr>
              <w:spacing w:after="50" w:line="360" w:lineRule="auto" w:beforeLines="100"/>
              <w:ind w:left="0"/>
              <w:jc w:val="left"/>
            </w:pPr>
            <w:r>
              <w:rPr>
                <w:rFonts w:ascii="宋体" w:hAnsi="Times New Roman" w:eastAsia="宋体"/>
                <w:b w:val="false"/>
                <w:i w:val="false"/>
                <w:color w:val="000000"/>
                <w:sz w:val="24"/>
              </w:rPr>
              <w:t>依托丹江口水库清洁水电资源与深层冷水优势，构建绿色算力体系</w:t>
            </w:r>
          </w:p>
          <w:bookmarkEnd w:id="69"/>
        </w:tc>
        <w:tc>
          <w:tcPr>
            <w:tcW w:w="49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3fee274" w:id="70"/>
          <w:p>
            <w:pPr>
              <w:spacing w:after="50" w:line="360" w:lineRule="auto" w:beforeLines="100"/>
              <w:ind w:left="0"/>
              <w:jc w:val="left"/>
            </w:pPr>
            <w:r>
              <w:rPr>
                <w:rFonts w:ascii="宋体" w:hAnsi="Times New Roman" w:eastAsia="宋体"/>
                <w:b w:val="false"/>
                <w:i w:val="false"/>
                <w:color w:val="000000"/>
                <w:sz w:val="24"/>
              </w:rPr>
              <w:t>PUE值低至1.20</w:t>
            </w:r>
          </w:p>
          <w:bookmarkEnd w:id="70"/>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49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bb86988" w:id="71"/>
          <w:p>
            <w:pPr>
              <w:spacing w:after="50" w:line="360" w:lineRule="auto" w:beforeLines="100"/>
              <w:ind w:left="0"/>
              <w:jc w:val="left"/>
            </w:pPr>
            <w:r>
              <w:rPr>
                <w:rFonts w:ascii="宋体" w:hAnsi="Times New Roman" w:eastAsia="宋体"/>
                <w:b w:val="false"/>
                <w:i w:val="false"/>
                <w:color w:val="000000"/>
                <w:sz w:val="24"/>
              </w:rPr>
              <w:t>获评</w:t>
            </w:r>
            <w:r>
              <w:rPr>
                <w:rFonts w:ascii="宋体" w:hAnsi="Times New Roman" w:eastAsia="宋体"/>
                <w:b w:val="false"/>
                <w:i w:val="false"/>
                <w:color w:val="000000"/>
                <w:sz w:val="24"/>
              </w:rPr>
              <w:t>2023年度国家绿色数据中心</w:t>
            </w:r>
          </w:p>
          <w:bookmarkEnd w:id="71"/>
        </w:tc>
      </w:tr>
    </w:tbl>
    <w:bookmarkEnd w:id="56"/>
    <w:bookmarkStart w:name="u40c71acd" w:id="72"/>
    <w:bookmarkEnd w:id="72"/>
    <w:bookmarkStart w:name="u3ab9d0c3" w:id="73"/>
    <w:p>
      <w:pPr>
        <w:spacing w:after="50" w:line="360" w:lineRule="auto" w:beforeLines="100"/>
        <w:ind w:left="0"/>
        <w:jc w:val="both"/>
      </w:pPr>
      <w:r>
        <w:rPr>
          <w:rFonts w:ascii="宋体" w:hAnsi="Times New Roman" w:eastAsia="宋体"/>
          <w:b/>
          <w:i w:val="false"/>
          <w:color w:val="000000"/>
          <w:sz w:val="33"/>
        </w:rPr>
        <w:t>超低时延运力网络：</w:t>
      </w:r>
      <w:r>
        <w:rPr>
          <w:rFonts w:ascii="宋体" w:hAnsi="Times New Roman" w:eastAsia="宋体"/>
          <w:b w:val="false"/>
          <w:i w:val="false"/>
          <w:color w:val="000000"/>
          <w:sz w:val="33"/>
        </w:rPr>
        <w:t>湖北移动在全国率先完成</w:t>
      </w:r>
      <w:r>
        <w:rPr>
          <w:rFonts w:ascii="宋体" w:hAnsi="Times New Roman" w:eastAsia="宋体"/>
          <w:b w:val="false"/>
          <w:i w:val="false"/>
          <w:color w:val="000000"/>
          <w:sz w:val="33"/>
        </w:rPr>
        <w:t>400G全光网建设，光传送网络正式迈入400G时代，支撑三大城市圈智算互联，运载力水平名列全国前茅。依托全光传输技术，实现“一跳入算”，直达全国所有大中城市，为各类算力应用提供稳定、高速、广覆盖的基础支撑。打造省内“1-3-5”毫秒级时延圈，即地市1ms、城市圈3ms、全省5ms；省际“7-10”时延圈，实现长江经济带7ms、全国算力枢纽中心10ms的超低延迟访问，为算力调度提供了有力保障。</w:t>
      </w:r>
    </w:p>
    <w:bookmarkEnd w:id="73"/>
    <w:bookmarkStart w:name="O4ESH" w:id="7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681"/>
        <w:gridCol w:w="2020"/>
        <w:gridCol w:w="2989"/>
        <w:gridCol w:w="6944"/>
      </w:tblGrid>
      <w:tr>
        <w:trPr>
          <w:trHeight w:val="495" w:hRule="atLeast"/>
        </w:trPr>
        <w:tc>
          <w:tcPr>
            <w:tcW w:w="1681"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d7dfae" w:id="75"/>
          <w:p>
            <w:pPr>
              <w:spacing w:after="50" w:line="360" w:lineRule="auto" w:beforeLines="100"/>
              <w:ind w:left="0"/>
              <w:jc w:val="center"/>
            </w:pPr>
            <w:r>
              <w:rPr>
                <w:rFonts w:ascii="宋体" w:hAnsi="Times New Roman" w:eastAsia="宋体"/>
                <w:b w:val="false"/>
                <w:i w:val="false"/>
                <w:color w:val="000000"/>
                <w:sz w:val="24"/>
              </w:rPr>
              <w:t>全光底座</w:t>
            </w:r>
          </w:p>
          <w:bookmarkEnd w:id="75"/>
        </w:tc>
        <w:tc>
          <w:tcPr>
            <w:tcW w:w="20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1005383" w:id="76"/>
          <w:p>
            <w:pPr>
              <w:spacing w:after="50" w:line="360" w:lineRule="auto" w:beforeLines="100"/>
              <w:ind w:left="0"/>
              <w:jc w:val="center"/>
            </w:pPr>
            <w:r>
              <w:rPr>
                <w:rFonts w:ascii="宋体" w:hAnsi="Times New Roman" w:eastAsia="宋体"/>
                <w:b w:val="false"/>
                <w:i w:val="false"/>
                <w:color w:val="000000"/>
                <w:sz w:val="24"/>
              </w:rPr>
              <w:t>一干</w:t>
            </w:r>
          </w:p>
          <w:bookmarkEnd w:id="76"/>
        </w:tc>
        <w:tc>
          <w:tcPr>
            <w:tcW w:w="29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da02d7b" w:id="77"/>
          <w:p>
            <w:pPr>
              <w:spacing w:after="50" w:line="360" w:lineRule="auto" w:beforeLines="100"/>
              <w:ind w:left="0"/>
              <w:jc w:val="center"/>
            </w:pPr>
            <w:r>
              <w:rPr>
                <w:rFonts w:ascii="宋体" w:hAnsi="Times New Roman" w:eastAsia="宋体"/>
                <w:b w:val="false"/>
                <w:i w:val="false"/>
                <w:color w:val="000000"/>
                <w:sz w:val="24"/>
              </w:rPr>
              <w:t>400GOTN覆盖</w:t>
            </w:r>
          </w:p>
          <w:bookmarkEnd w:id="77"/>
        </w:tc>
        <w:tc>
          <w:tcPr>
            <w:tcW w:w="69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9302ee1" w:id="78"/>
          <w:p>
            <w:pPr>
              <w:spacing w:after="50" w:line="360" w:lineRule="auto" w:beforeLines="100"/>
              <w:ind w:left="0"/>
              <w:jc w:val="center"/>
            </w:pPr>
            <w:r>
              <w:rPr>
                <w:rFonts w:ascii="宋体" w:hAnsi="Times New Roman" w:eastAsia="宋体"/>
                <w:b w:val="false"/>
                <w:i w:val="false"/>
                <w:color w:val="000000"/>
                <w:sz w:val="24"/>
              </w:rPr>
              <w:t>覆盖全国，</w:t>
            </w:r>
            <w:r>
              <w:rPr>
                <w:rFonts w:ascii="宋体" w:hAnsi="Times New Roman" w:eastAsia="宋体"/>
                <w:b w:val="false"/>
                <w:i w:val="false"/>
                <w:color w:val="000000"/>
                <w:sz w:val="24"/>
              </w:rPr>
              <w:t>2024年投产。开展800G试点。</w:t>
            </w:r>
          </w:p>
          <w:bookmarkEnd w:id="78"/>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2020"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b2da1a4" w:id="79"/>
          <w:p>
            <w:pPr>
              <w:spacing w:after="50" w:line="360" w:lineRule="auto" w:beforeLines="100"/>
              <w:ind w:left="0"/>
              <w:jc w:val="center"/>
            </w:pPr>
            <w:r>
              <w:rPr>
                <w:rFonts w:ascii="宋体" w:hAnsi="Times New Roman" w:eastAsia="宋体"/>
                <w:b w:val="false"/>
                <w:i w:val="false"/>
                <w:color w:val="000000"/>
                <w:sz w:val="24"/>
              </w:rPr>
              <w:t>二干</w:t>
            </w:r>
          </w:p>
          <w:bookmarkEnd w:id="79"/>
        </w:tc>
        <w:tc>
          <w:tcPr>
            <w:tcW w:w="29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332030c" w:id="80"/>
          <w:p>
            <w:pPr>
              <w:spacing w:after="50" w:line="360" w:lineRule="auto" w:beforeLines="100"/>
              <w:ind w:left="0"/>
              <w:jc w:val="center"/>
            </w:pPr>
            <w:r>
              <w:rPr>
                <w:rFonts w:ascii="宋体" w:hAnsi="Times New Roman" w:eastAsia="宋体"/>
                <w:b w:val="false"/>
                <w:i w:val="false"/>
                <w:color w:val="000000"/>
                <w:sz w:val="24"/>
              </w:rPr>
              <w:t>200GOTN覆盖</w:t>
            </w:r>
          </w:p>
          <w:bookmarkEnd w:id="80"/>
        </w:tc>
        <w:tc>
          <w:tcPr>
            <w:tcW w:w="69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6ea372e" w:id="81"/>
          <w:p>
            <w:pPr>
              <w:spacing w:after="50" w:line="360" w:lineRule="auto" w:beforeLines="100"/>
              <w:ind w:left="0"/>
              <w:jc w:val="center"/>
            </w:pPr>
            <w:r>
              <w:rPr>
                <w:rFonts w:ascii="宋体" w:hAnsi="Times New Roman" w:eastAsia="宋体"/>
                <w:b w:val="false"/>
                <w:i w:val="false"/>
                <w:color w:val="000000"/>
                <w:sz w:val="24"/>
              </w:rPr>
              <w:t>覆盖全省</w:t>
            </w:r>
          </w:p>
          <w:bookmarkEnd w:id="81"/>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29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7b13eb" w:id="82"/>
          <w:p>
            <w:pPr>
              <w:spacing w:after="50" w:line="360" w:lineRule="auto" w:beforeLines="100"/>
              <w:ind w:left="0"/>
              <w:jc w:val="center"/>
            </w:pPr>
            <w:r>
              <w:rPr>
                <w:rFonts w:ascii="宋体" w:hAnsi="Times New Roman" w:eastAsia="宋体"/>
                <w:b w:val="false"/>
                <w:i w:val="false"/>
                <w:color w:val="000000"/>
                <w:sz w:val="24"/>
              </w:rPr>
              <w:t>OXC</w:t>
            </w:r>
          </w:p>
          <w:bookmarkEnd w:id="82"/>
        </w:tc>
        <w:tc>
          <w:tcPr>
            <w:tcW w:w="69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201554" w:id="83"/>
          <w:p>
            <w:pPr>
              <w:spacing w:after="50" w:line="360" w:lineRule="auto" w:beforeLines="100"/>
              <w:ind w:left="0"/>
              <w:jc w:val="center"/>
            </w:pPr>
            <w:r>
              <w:rPr>
                <w:rFonts w:ascii="宋体" w:hAnsi="Times New Roman" w:eastAsia="宋体"/>
                <w:b w:val="false"/>
                <w:i w:val="false"/>
                <w:color w:val="000000"/>
                <w:sz w:val="24"/>
              </w:rPr>
              <w:t>16个地市</w:t>
            </w:r>
          </w:p>
          <w:bookmarkEnd w:id="83"/>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29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c8ebe1a" w:id="84"/>
          <w:p>
            <w:pPr>
              <w:spacing w:after="50" w:line="360" w:lineRule="auto" w:beforeLines="100"/>
              <w:ind w:left="0"/>
              <w:jc w:val="center"/>
            </w:pPr>
            <w:r>
              <w:rPr>
                <w:rFonts w:ascii="宋体" w:hAnsi="Times New Roman" w:eastAsia="宋体"/>
                <w:b w:val="false"/>
                <w:i w:val="false"/>
                <w:color w:val="000000"/>
                <w:sz w:val="24"/>
              </w:rPr>
              <w:t>配置带宽（</w:t>
            </w:r>
            <w:r>
              <w:rPr>
                <w:rFonts w:ascii="宋体" w:hAnsi="Times New Roman" w:eastAsia="宋体"/>
                <w:b w:val="false"/>
                <w:i w:val="false"/>
                <w:color w:val="000000"/>
                <w:sz w:val="24"/>
              </w:rPr>
              <w:t>T）</w:t>
            </w:r>
          </w:p>
          <w:bookmarkEnd w:id="84"/>
        </w:tc>
        <w:tc>
          <w:tcPr>
            <w:tcW w:w="69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d5ae23" w:id="85"/>
          <w:p>
            <w:pPr>
              <w:spacing w:after="50" w:line="360" w:lineRule="auto" w:beforeLines="100"/>
              <w:ind w:left="0"/>
              <w:jc w:val="center"/>
            </w:pPr>
            <w:r>
              <w:rPr>
                <w:rFonts w:ascii="宋体" w:hAnsi="Times New Roman" w:eastAsia="宋体"/>
                <w:b w:val="false"/>
                <w:i w:val="false"/>
                <w:color w:val="000000"/>
                <w:sz w:val="24"/>
              </w:rPr>
              <w:t>400</w:t>
            </w:r>
          </w:p>
          <w:bookmarkEnd w:id="85"/>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2020" w:type="dxa"/>
            <w:vMerge w:val="restart"/>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f3707d9" w:id="86"/>
          <w:p>
            <w:pPr>
              <w:spacing w:after="50" w:line="360" w:lineRule="auto" w:beforeLines="100"/>
              <w:ind w:left="0"/>
              <w:jc w:val="center"/>
            </w:pPr>
            <w:r>
              <w:rPr>
                <w:rFonts w:ascii="宋体" w:hAnsi="Times New Roman" w:eastAsia="宋体"/>
                <w:b w:val="false"/>
                <w:i w:val="false"/>
                <w:color w:val="000000"/>
                <w:sz w:val="24"/>
              </w:rPr>
              <w:t>本地网</w:t>
            </w:r>
          </w:p>
          <w:bookmarkEnd w:id="86"/>
        </w:tc>
        <w:tc>
          <w:tcPr>
            <w:tcW w:w="29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e02dfb5" w:id="87"/>
          <w:p>
            <w:pPr>
              <w:spacing w:after="50" w:line="360" w:lineRule="auto" w:beforeLines="100"/>
              <w:ind w:left="0"/>
              <w:jc w:val="center"/>
            </w:pPr>
            <w:r>
              <w:rPr>
                <w:rFonts w:ascii="宋体" w:hAnsi="Times New Roman" w:eastAsia="宋体"/>
                <w:b w:val="false"/>
                <w:i w:val="false"/>
                <w:color w:val="000000"/>
                <w:sz w:val="24"/>
              </w:rPr>
              <w:t>OTN覆盖</w:t>
            </w:r>
          </w:p>
          <w:bookmarkEnd w:id="87"/>
        </w:tc>
        <w:tc>
          <w:tcPr>
            <w:tcW w:w="69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0f5fe9" w:id="88"/>
          <w:p>
            <w:pPr>
              <w:spacing w:after="50" w:line="360" w:lineRule="auto" w:beforeLines="100"/>
              <w:ind w:left="0"/>
              <w:jc w:val="center"/>
            </w:pPr>
            <w:r>
              <w:rPr>
                <w:rFonts w:ascii="宋体" w:hAnsi="Times New Roman" w:eastAsia="宋体"/>
                <w:b w:val="false"/>
                <w:i w:val="false"/>
                <w:color w:val="000000"/>
                <w:sz w:val="24"/>
              </w:rPr>
              <w:t>城乡汇聚机房全覆盖</w:t>
            </w:r>
          </w:p>
          <w:bookmarkEnd w:id="88"/>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29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d59de97" w:id="89"/>
          <w:p>
            <w:pPr>
              <w:spacing w:after="50" w:line="360" w:lineRule="auto" w:beforeLines="100"/>
              <w:ind w:left="0"/>
              <w:jc w:val="center"/>
            </w:pPr>
            <w:r>
              <w:rPr>
                <w:rFonts w:ascii="宋体" w:hAnsi="Times New Roman" w:eastAsia="宋体"/>
                <w:b w:val="false"/>
                <w:i w:val="false"/>
                <w:color w:val="000000"/>
                <w:sz w:val="24"/>
              </w:rPr>
              <w:t>OXC</w:t>
            </w:r>
          </w:p>
          <w:bookmarkEnd w:id="89"/>
        </w:tc>
        <w:tc>
          <w:tcPr>
            <w:tcW w:w="69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692a17" w:id="90"/>
          <w:p>
            <w:pPr>
              <w:spacing w:after="50" w:line="360" w:lineRule="auto" w:beforeLines="100"/>
              <w:ind w:left="0"/>
              <w:jc w:val="center"/>
            </w:pPr>
            <w:r>
              <w:rPr>
                <w:rFonts w:ascii="宋体" w:hAnsi="Times New Roman" w:eastAsia="宋体"/>
                <w:b w:val="false"/>
                <w:i w:val="false"/>
                <w:color w:val="000000"/>
                <w:sz w:val="24"/>
              </w:rPr>
              <w:t>60个节点</w:t>
            </w:r>
          </w:p>
          <w:bookmarkEnd w:id="90"/>
        </w:tc>
      </w:tr>
      <w:tr>
        <w:trPr>
          <w:trHeight w:val="495" w:hRule="atLeast"/>
        </w:trPr>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0" w:type="dxa"/>
            <w:vMerge/>
            <w:tcBorders>
              <w:top w:val="nil"/>
              <w:left w:val="single" w:color="eeeeee" w:sz="8"/>
              <w:bottom w:val="single" w:color="eeeeee" w:sz="8"/>
              <w:right w:val="single" w:color="eeeeee" w:sz="8"/>
            </w:tcBorders>
          </w:tcPr>
          <w:p>
            <w:pPr>
              <w:spacing w:line="360" w:lineRule="auto" w:beforeLines="100" w:after="50"/>
              <w:ind w:left="0"/>
            </w:pPr>
          </w:p>
        </w:tc>
        <w:tc>
          <w:tcPr>
            <w:tcW w:w="29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566d7c" w:id="91"/>
          <w:p>
            <w:pPr>
              <w:spacing w:after="50" w:line="360" w:lineRule="auto" w:beforeLines="100"/>
              <w:ind w:left="0"/>
              <w:jc w:val="center"/>
            </w:pPr>
            <w:r>
              <w:rPr>
                <w:rFonts w:ascii="宋体" w:hAnsi="Times New Roman" w:eastAsia="宋体"/>
                <w:b w:val="false"/>
                <w:i w:val="false"/>
                <w:color w:val="000000"/>
                <w:sz w:val="24"/>
              </w:rPr>
              <w:t>配置带宽（</w:t>
            </w:r>
            <w:r>
              <w:rPr>
                <w:rFonts w:ascii="宋体" w:hAnsi="Times New Roman" w:eastAsia="宋体"/>
                <w:b w:val="false"/>
                <w:i w:val="false"/>
                <w:color w:val="000000"/>
                <w:sz w:val="24"/>
              </w:rPr>
              <w:t>T）</w:t>
            </w:r>
          </w:p>
          <w:bookmarkEnd w:id="91"/>
        </w:tc>
        <w:tc>
          <w:tcPr>
            <w:tcW w:w="69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727b06" w:id="92"/>
          <w:p>
            <w:pPr>
              <w:spacing w:after="50" w:line="360" w:lineRule="auto" w:beforeLines="100"/>
              <w:ind w:left="0"/>
              <w:jc w:val="center"/>
            </w:pPr>
            <w:r>
              <w:rPr>
                <w:rFonts w:ascii="宋体" w:hAnsi="Times New Roman" w:eastAsia="宋体"/>
                <w:b w:val="false"/>
                <w:i w:val="false"/>
                <w:color w:val="000000"/>
                <w:sz w:val="24"/>
              </w:rPr>
              <w:t>330</w:t>
            </w:r>
          </w:p>
          <w:bookmarkEnd w:id="92"/>
        </w:tc>
      </w:tr>
    </w:tbl>
    <w:bookmarkEnd w:id="74"/>
    <w:bookmarkStart w:name="uf6f4e6a9" w:id="93"/>
    <w:p>
      <w:pPr>
        <w:spacing w:after="50" w:line="360" w:lineRule="auto" w:beforeLines="100"/>
        <w:ind w:left="0"/>
        <w:jc w:val="both"/>
      </w:pPr>
      <w:r>
        <w:rPr>
          <w:rFonts w:ascii="宋体" w:hAnsi="Times New Roman" w:eastAsia="宋体"/>
          <w:b w:val="false"/>
          <w:i w:val="false"/>
          <w:color w:val="000000"/>
          <w:sz w:val="33"/>
        </w:rPr>
        <w:t>依托自有智能算网调度平台，湖北移动助力东风汽车集团首次实现约</w:t>
      </w:r>
      <w:r>
        <w:rPr>
          <w:rFonts w:ascii="宋体" w:hAnsi="Times New Roman" w:eastAsia="宋体"/>
          <w:b w:val="false"/>
          <w:i w:val="false"/>
          <w:color w:val="000000"/>
          <w:sz w:val="33"/>
        </w:rPr>
        <w:t>1000公里的跨省超远距离算力资源调度，双向传输时延仅20毫秒，交付A800、H800等高性能算力资源，为智能汽车研发注入澎湃算力动能。</w:t>
      </w:r>
    </w:p>
    <w:bookmarkEnd w:id="93"/>
    <w:bookmarkStart w:name="ubbb15a93" w:id="94"/>
    <w:p>
      <w:pPr>
        <w:spacing w:after="50" w:line="360" w:lineRule="auto" w:beforeLines="100"/>
        <w:ind w:left="0"/>
        <w:jc w:val="both"/>
      </w:pPr>
      <w:r>
        <w:rPr>
          <w:rFonts w:ascii="宋体" w:hAnsi="Times New Roman" w:eastAsia="宋体"/>
          <w:b/>
          <w:i w:val="false"/>
          <w:color w:val="000000"/>
          <w:sz w:val="33"/>
        </w:rPr>
        <w:t>工信部算力强基揭榜行动（湖北）：</w:t>
      </w:r>
      <w:r>
        <w:rPr>
          <w:rFonts w:ascii="宋体" w:hAnsi="Times New Roman" w:eastAsia="宋体"/>
          <w:b w:val="false"/>
          <w:i w:val="false"/>
          <w:color w:val="000000"/>
          <w:sz w:val="33"/>
        </w:rPr>
        <w:t>湖北省共</w:t>
      </w:r>
      <w:r>
        <w:rPr>
          <w:rFonts w:ascii="宋体" w:hAnsi="Times New Roman" w:eastAsia="宋体"/>
          <w:b w:val="false"/>
          <w:i w:val="false"/>
          <w:color w:val="000000"/>
          <w:sz w:val="33"/>
        </w:rPr>
        <w:t>5个揭榜产品，其中湖北移动占3个，分别为：基于RoCE的分布式智算集群网络智能优化解决方案、绿色算力技术研究及应用、企业绿色计算碳感知平台。</w:t>
      </w:r>
    </w:p>
    <w:bookmarkEnd w:id="94"/>
    <w:bookmarkStart w:name="uc490290a" w:id="95"/>
    <w:p>
      <w:pPr>
        <w:spacing w:after="50" w:line="360" w:lineRule="auto" w:beforeLines="100"/>
        <w:ind w:left="0"/>
        <w:jc w:val="both"/>
      </w:pPr>
      <w:r>
        <w:rPr>
          <w:rFonts w:ascii="宋体" w:hAnsi="Times New Roman" w:eastAsia="宋体"/>
          <w:b/>
          <w:i w:val="false"/>
          <w:color w:val="000000"/>
          <w:sz w:val="33"/>
        </w:rPr>
        <w:t>（二）未来城智算中心介绍</w:t>
      </w:r>
    </w:p>
    <w:bookmarkEnd w:id="95"/>
    <w:bookmarkStart w:name="u5001ded3" w:id="96"/>
    <w:p>
      <w:pPr>
        <w:spacing w:after="50" w:line="360" w:lineRule="auto" w:beforeLines="100"/>
        <w:ind w:left="0"/>
        <w:jc w:val="both"/>
      </w:pPr>
      <w:r>
        <w:rPr>
          <w:rFonts w:ascii="宋体" w:hAnsi="Times New Roman" w:eastAsia="宋体"/>
          <w:b/>
          <w:i w:val="false"/>
          <w:color w:val="000000"/>
          <w:sz w:val="33"/>
        </w:rPr>
        <w:t>中国移动智算中心（武汉）</w:t>
      </w:r>
      <w:r>
        <w:rPr>
          <w:rFonts w:ascii="宋体" w:hAnsi="Times New Roman" w:eastAsia="宋体"/>
          <w:b w:val="false"/>
          <w:i w:val="false"/>
          <w:color w:val="000000"/>
          <w:sz w:val="33"/>
        </w:rPr>
        <w:t>：作为中国移动集团首个落地的区域性智算中心，同时也是华中地区规模最大的智算中心，该中心立足武汉，辐射湖北、湖南、江西三省。</w:t>
      </w:r>
      <w:r>
        <w:rPr>
          <w:rFonts w:ascii="宋体" w:hAnsi="Times New Roman" w:eastAsia="宋体"/>
          <w:b w:val="false"/>
          <w:i w:val="false"/>
          <w:color w:val="000000"/>
          <w:sz w:val="33"/>
        </w:rPr>
        <w:t>2024年1月投产运营，截至2025年12月底，已建成全集团首套对外商用的国产昇腾超节点算力基础设施，现网智算算力规模累计达2588P（集团排名第三，华中片区首位)，部署了国际主流、国产可控双千卡、双平面集群，可提供稳定高性能的智算服务，通过先进的液冷技术加持</w:t>
      </w:r>
      <w:r>
        <w:rPr>
          <w:rFonts w:ascii="宋体" w:hAnsi="Times New Roman" w:eastAsia="宋体"/>
          <w:b w:val="false"/>
          <w:i w:val="false"/>
          <w:color w:val="000000"/>
          <w:sz w:val="33"/>
        </w:rPr>
        <w:t>PUE</w:t>
      </w:r>
      <w:r>
        <w:rPr>
          <w:rFonts w:ascii="宋体" w:hAnsi="Times New Roman" w:eastAsia="宋体"/>
          <w:b w:val="false"/>
          <w:i w:val="false"/>
          <w:color w:val="000000"/>
          <w:sz w:val="33"/>
        </w:rPr>
        <w:t>可降至</w:t>
      </w:r>
      <w:r>
        <w:rPr>
          <w:rFonts w:ascii="宋体" w:hAnsi="Times New Roman" w:eastAsia="宋体"/>
          <w:b w:val="false"/>
          <w:i w:val="false"/>
          <w:color w:val="000000"/>
          <w:sz w:val="33"/>
        </w:rPr>
        <w:t>1.2以内</w:t>
      </w:r>
      <w:r>
        <w:rPr>
          <w:rFonts w:ascii="宋体" w:hAnsi="Times New Roman" w:eastAsia="宋体"/>
          <w:b w:val="false"/>
          <w:i w:val="false"/>
          <w:color w:val="000000"/>
          <w:sz w:val="33"/>
        </w:rPr>
        <w:t>。该中心最大可容纳</w:t>
      </w:r>
      <w:r>
        <w:rPr>
          <w:rFonts w:ascii="宋体" w:hAnsi="Times New Roman" w:eastAsia="宋体"/>
          <w:b w:val="false"/>
          <w:i w:val="false"/>
          <w:color w:val="000000"/>
          <w:sz w:val="33"/>
        </w:rPr>
        <w:t>2.7万张GPU，支撑智慧政务、科研教育、自动驾驶、医药研发等前沿场景。</w:t>
      </w:r>
    </w:p>
    <w:bookmarkEnd w:id="96"/>
    <w:bookmarkStart w:name="u63bb2572" w:id="97"/>
    <w:p>
      <w:pPr>
        <w:spacing w:after="50" w:line="360" w:lineRule="auto" w:beforeLines="100"/>
        <w:ind w:left="0"/>
        <w:jc w:val="both"/>
      </w:pPr>
      <w:r>
        <w:rPr>
          <w:rFonts w:ascii="宋体" w:hAnsi="Times New Roman" w:eastAsia="宋体"/>
          <w:b w:val="false"/>
          <w:i w:val="false"/>
          <w:color w:val="000000"/>
          <w:sz w:val="33"/>
        </w:rPr>
        <w:t>2024年湖北移动全年总电量22亿度，数据中心与通信机房耗电量占总耗电量16%。其中，</w:t>
      </w:r>
      <w:r>
        <w:rPr>
          <w:rFonts w:ascii="宋体" w:hAnsi="Times New Roman" w:eastAsia="宋体"/>
          <w:b/>
          <w:i w:val="false"/>
          <w:color w:val="000000"/>
          <w:sz w:val="33"/>
          <w:u w:val="single"/>
        </w:rPr>
        <w:t>中国移动智算中心（武汉）通信机房外市电能力达到</w:t>
      </w:r>
      <w:r>
        <w:rPr>
          <w:rFonts w:ascii="宋体" w:hAnsi="Times New Roman" w:eastAsia="宋体"/>
          <w:b/>
          <w:i w:val="false"/>
          <w:color w:val="000000"/>
          <w:sz w:val="33"/>
          <w:u w:val="single"/>
        </w:rPr>
        <w:t>30MW，年耗电量达到1.0682亿度。</w:t>
      </w:r>
    </w:p>
    <w:bookmarkEnd w:id="97"/>
    <w:bookmarkStart w:name="u81ab12cd" w:id="98"/>
    <w:bookmarkEnd w:id="98"/>
    <w:bookmarkStart w:name="m8RpS" w:id="9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217"/>
        <w:gridCol w:w="1766"/>
        <w:gridCol w:w="6695"/>
        <w:gridCol w:w="2956"/>
      </w:tblGrid>
      <w:tr>
        <w:trPr>
          <w:trHeight w:val="495" w:hRule="atLeast"/>
        </w:trPr>
        <w:tc>
          <w:tcPr>
            <w:tcW w:w="22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0015ab4" w:id="100"/>
          <w:p>
            <w:pPr>
              <w:spacing w:after="50" w:line="360" w:lineRule="auto" w:beforeLines="100"/>
              <w:ind w:left="0"/>
              <w:jc w:val="center"/>
            </w:pPr>
            <w:r>
              <w:rPr>
                <w:rFonts w:ascii="宋体" w:hAnsi="Times New Roman" w:eastAsia="宋体"/>
                <w:b/>
                <w:i w:val="false"/>
                <w:color w:val="000000"/>
                <w:sz w:val="24"/>
              </w:rPr>
              <w:t>国产算力</w:t>
            </w:r>
          </w:p>
          <w:bookmarkEnd w:id="100"/>
        </w:tc>
        <w:tc>
          <w:tcPr>
            <w:tcW w:w="176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1fc0878" w:id="101"/>
          <w:p>
            <w:pPr>
              <w:spacing w:after="50" w:line="360" w:lineRule="auto" w:beforeLines="100"/>
              <w:ind w:left="0"/>
              <w:jc w:val="center"/>
            </w:pPr>
            <w:r>
              <w:rPr>
                <w:rFonts w:ascii="宋体" w:hAnsi="Times New Roman" w:eastAsia="宋体"/>
                <w:b/>
                <w:i w:val="false"/>
                <w:color w:val="000000"/>
                <w:sz w:val="24"/>
              </w:rPr>
              <w:t>算力规模</w:t>
            </w:r>
          </w:p>
          <w:bookmarkEnd w:id="101"/>
        </w:tc>
        <w:tc>
          <w:tcPr>
            <w:tcW w:w="669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29de63" w:id="102"/>
          <w:p>
            <w:pPr>
              <w:spacing w:after="50" w:line="360" w:lineRule="auto" w:beforeLines="100"/>
              <w:ind w:left="0"/>
              <w:jc w:val="center"/>
            </w:pPr>
            <w:r>
              <w:rPr>
                <w:rFonts w:ascii="宋体" w:hAnsi="Times New Roman" w:eastAsia="宋体"/>
                <w:b/>
                <w:i w:val="false"/>
                <w:color w:val="000000"/>
                <w:sz w:val="24"/>
              </w:rPr>
              <w:t>主要优势</w:t>
            </w:r>
          </w:p>
          <w:bookmarkEnd w:id="102"/>
          <w:bookmarkStart w:name="u4e701b19" w:id="103"/>
          <w:p>
            <w:pPr>
              <w:spacing w:after="50" w:line="360" w:lineRule="auto" w:beforeLines="100"/>
              <w:ind w:left="0"/>
              <w:jc w:val="center"/>
            </w:pPr>
            <w:r>
              <w:rPr>
                <w:rFonts w:ascii="宋体" w:hAnsi="Times New Roman" w:eastAsia="宋体"/>
                <w:b/>
                <w:i w:val="false"/>
                <w:color w:val="000000"/>
                <w:sz w:val="24"/>
              </w:rPr>
              <w:t>(超节点性能数据见下一节)</w:t>
            </w:r>
          </w:p>
          <w:bookmarkEnd w:id="103"/>
        </w:tc>
        <w:tc>
          <w:tcPr>
            <w:tcW w:w="29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e7b7bd" w:id="104"/>
          <w:p>
            <w:pPr>
              <w:spacing w:after="50" w:line="360" w:lineRule="auto" w:beforeLines="100"/>
              <w:ind w:left="0"/>
              <w:jc w:val="center"/>
            </w:pPr>
            <w:r>
              <w:rPr>
                <w:rFonts w:ascii="宋体" w:hAnsi="Times New Roman" w:eastAsia="宋体"/>
                <w:b/>
                <w:i w:val="false"/>
                <w:color w:val="000000"/>
                <w:sz w:val="24"/>
              </w:rPr>
              <w:t>适用场景</w:t>
            </w:r>
          </w:p>
          <w:bookmarkEnd w:id="104"/>
        </w:tc>
      </w:tr>
      <w:tr>
        <w:trPr>
          <w:trHeight w:val="495" w:hRule="atLeast"/>
        </w:trPr>
        <w:tc>
          <w:tcPr>
            <w:tcW w:w="22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a1b0ca9" w:id="105"/>
          <w:p>
            <w:pPr>
              <w:spacing w:after="50" w:line="360" w:lineRule="auto" w:beforeLines="100"/>
              <w:ind w:left="0"/>
              <w:jc w:val="center"/>
            </w:pPr>
            <w:r>
              <w:rPr>
                <w:rFonts w:ascii="宋体" w:hAnsi="Times New Roman" w:eastAsia="宋体"/>
                <w:b w:val="false"/>
                <w:i w:val="false"/>
                <w:color w:val="000000"/>
                <w:sz w:val="24"/>
                <w:shd w:fill="ffffff"/>
              </w:rPr>
              <w:t>昇腾</w:t>
            </w:r>
            <w:r>
              <w:rPr>
                <w:rFonts w:ascii="宋体" w:hAnsi="Times New Roman" w:eastAsia="宋体"/>
                <w:b w:val="false"/>
                <w:i w:val="false"/>
                <w:color w:val="000000"/>
                <w:sz w:val="24"/>
                <w:shd w:fill="ffffff"/>
              </w:rPr>
              <w:t>910B</w:t>
            </w:r>
          </w:p>
          <w:bookmarkEnd w:id="105"/>
        </w:tc>
        <w:tc>
          <w:tcPr>
            <w:tcW w:w="176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360333" w:id="106"/>
          <w:p>
            <w:pPr>
              <w:spacing w:after="50" w:line="360" w:lineRule="auto" w:beforeLines="100"/>
              <w:ind w:left="0"/>
              <w:jc w:val="center"/>
            </w:pPr>
            <w:r>
              <w:rPr>
                <w:rFonts w:ascii="宋体" w:hAnsi="Times New Roman" w:eastAsia="宋体"/>
                <w:b w:val="false"/>
                <w:i w:val="false"/>
                <w:color w:val="000000"/>
                <w:sz w:val="24"/>
                <w:shd w:fill="ffffff"/>
              </w:rPr>
              <w:t>900P</w:t>
            </w:r>
          </w:p>
          <w:bookmarkEnd w:id="106"/>
        </w:tc>
        <w:tc>
          <w:tcPr>
            <w:tcW w:w="669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774c56a" w:id="107"/>
          <w:p>
            <w:pPr>
              <w:spacing w:after="50" w:line="360" w:lineRule="auto" w:beforeLines="100"/>
              <w:ind w:left="0"/>
              <w:jc w:val="both"/>
            </w:pPr>
            <w:r>
              <w:rPr>
                <w:rFonts w:ascii="宋体" w:hAnsi="Times New Roman" w:eastAsia="宋体"/>
                <w:b w:val="false"/>
                <w:i w:val="false"/>
                <w:color w:val="000000"/>
                <w:sz w:val="24"/>
                <w:shd w:fill="ffffff"/>
              </w:rPr>
              <w:t>1、</w:t>
            </w:r>
            <w:r>
              <w:rPr>
                <w:rFonts w:ascii="宋体" w:hAnsi="Times New Roman" w:eastAsia="宋体"/>
                <w:b w:val="false"/>
                <w:i w:val="false"/>
                <w:color w:val="000000"/>
                <w:sz w:val="24"/>
                <w:shd w:fill="ffffff"/>
              </w:rPr>
              <w:t>成熟稳定</w:t>
            </w:r>
          </w:p>
          <w:bookmarkEnd w:id="107"/>
          <w:bookmarkStart w:name="u497b1af2" w:id="108"/>
          <w:p>
            <w:pPr>
              <w:spacing w:after="50" w:line="360" w:lineRule="auto" w:beforeLines="100"/>
              <w:ind w:left="0"/>
              <w:jc w:val="both"/>
            </w:pPr>
            <w:r>
              <w:rPr>
                <w:rFonts w:ascii="宋体" w:hAnsi="Times New Roman" w:eastAsia="宋体"/>
                <w:b w:val="false"/>
                <w:i w:val="false"/>
                <w:color w:val="000000"/>
                <w:sz w:val="24"/>
                <w:shd w:fill="ffffff"/>
              </w:rPr>
              <w:t>2、</w:t>
            </w:r>
            <w:r>
              <w:rPr>
                <w:rFonts w:ascii="宋体" w:hAnsi="Times New Roman" w:eastAsia="宋体"/>
                <w:b w:val="false"/>
                <w:i w:val="false"/>
                <w:color w:val="000000"/>
                <w:sz w:val="24"/>
                <w:shd w:fill="ffffff"/>
              </w:rPr>
              <w:t>算力基础扎实</w:t>
            </w:r>
          </w:p>
          <w:bookmarkEnd w:id="108"/>
          <w:bookmarkStart w:name="ua720abcf" w:id="109"/>
          <w:p>
            <w:pPr>
              <w:spacing w:after="50" w:line="360" w:lineRule="auto" w:beforeLines="100"/>
              <w:ind w:left="0"/>
              <w:jc w:val="both"/>
            </w:pPr>
            <w:r>
              <w:rPr>
                <w:rFonts w:ascii="宋体" w:hAnsi="Times New Roman" w:eastAsia="宋体"/>
                <w:b w:val="false"/>
                <w:i w:val="false"/>
                <w:color w:val="000000"/>
                <w:sz w:val="24"/>
                <w:shd w:fill="ffffff"/>
              </w:rPr>
              <w:t>3、</w:t>
            </w:r>
            <w:r>
              <w:rPr>
                <w:rFonts w:ascii="宋体" w:hAnsi="Times New Roman" w:eastAsia="宋体"/>
                <w:b w:val="false"/>
                <w:i w:val="false"/>
                <w:color w:val="000000"/>
                <w:sz w:val="24"/>
                <w:shd w:fill="ffffff"/>
              </w:rPr>
              <w:t>内存带宽适配</w:t>
            </w:r>
          </w:p>
          <w:bookmarkEnd w:id="109"/>
          <w:bookmarkStart w:name="uf4294980" w:id="110"/>
          <w:p>
            <w:pPr>
              <w:spacing w:after="50" w:line="360" w:lineRule="auto" w:beforeLines="100"/>
              <w:ind w:left="0"/>
              <w:jc w:val="both"/>
            </w:pPr>
            <w:r>
              <w:rPr>
                <w:rFonts w:ascii="宋体" w:hAnsi="Times New Roman" w:eastAsia="宋体"/>
                <w:b w:val="false"/>
                <w:i w:val="false"/>
                <w:color w:val="000000"/>
                <w:sz w:val="24"/>
                <w:shd w:fill="ffffff"/>
              </w:rPr>
              <w:t>4、</w:t>
            </w:r>
            <w:r>
              <w:rPr>
                <w:rFonts w:ascii="宋体" w:hAnsi="Times New Roman" w:eastAsia="宋体"/>
                <w:b w:val="false"/>
                <w:i w:val="false"/>
                <w:color w:val="000000"/>
                <w:sz w:val="24"/>
                <w:shd w:fill="ffffff"/>
              </w:rPr>
              <w:t>生态兼容性好</w:t>
            </w:r>
          </w:p>
          <w:bookmarkEnd w:id="110"/>
        </w:tc>
        <w:tc>
          <w:tcPr>
            <w:tcW w:w="29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50f0783" w:id="111"/>
          <w:p>
            <w:pPr>
              <w:spacing w:after="50" w:line="360" w:lineRule="auto" w:beforeLines="100"/>
              <w:ind w:left="0"/>
              <w:jc w:val="both"/>
            </w:pPr>
            <w:r>
              <w:rPr>
                <w:rFonts w:ascii="宋体" w:hAnsi="Times New Roman" w:eastAsia="宋体"/>
                <w:b w:val="false"/>
                <w:i w:val="false"/>
                <w:color w:val="000000"/>
                <w:sz w:val="24"/>
                <w:shd w:fill="ffffff"/>
              </w:rPr>
              <w:t>适合对稳定性要求高、算力需求相对固定的场景</w:t>
            </w:r>
          </w:p>
          <w:bookmarkEnd w:id="111"/>
        </w:tc>
      </w:tr>
      <w:tr>
        <w:trPr>
          <w:trHeight w:val="495" w:hRule="atLeast"/>
        </w:trPr>
        <w:tc>
          <w:tcPr>
            <w:tcW w:w="22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f5338c1" w:id="112"/>
          <w:p>
            <w:pPr>
              <w:spacing w:after="50" w:line="360" w:lineRule="auto" w:beforeLines="100"/>
              <w:ind w:left="0"/>
              <w:jc w:val="center"/>
            </w:pPr>
            <w:r>
              <w:rPr>
                <w:rFonts w:ascii="宋体" w:hAnsi="Times New Roman" w:eastAsia="宋体"/>
                <w:b w:val="false"/>
                <w:i w:val="false"/>
                <w:color w:val="000000"/>
                <w:sz w:val="24"/>
                <w:shd w:fill="ffffff"/>
              </w:rPr>
              <w:t>昇腾</w:t>
            </w:r>
            <w:r>
              <w:rPr>
                <w:rFonts w:ascii="宋体" w:hAnsi="Times New Roman" w:eastAsia="宋体"/>
                <w:b w:val="false"/>
                <w:i w:val="false"/>
                <w:color w:val="000000"/>
                <w:sz w:val="24"/>
                <w:shd w:fill="ffffff"/>
              </w:rPr>
              <w:t>910C</w:t>
            </w:r>
          </w:p>
          <w:bookmarkEnd w:id="112"/>
        </w:tc>
        <w:tc>
          <w:tcPr>
            <w:tcW w:w="176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62e56a6" w:id="113"/>
          <w:p>
            <w:pPr>
              <w:spacing w:after="50" w:line="360" w:lineRule="auto" w:beforeLines="100"/>
              <w:ind w:left="0"/>
              <w:jc w:val="center"/>
            </w:pPr>
            <w:r>
              <w:rPr>
                <w:rFonts w:ascii="宋体" w:hAnsi="Times New Roman" w:eastAsia="宋体"/>
                <w:b w:val="false"/>
                <w:i w:val="false"/>
                <w:color w:val="000000"/>
                <w:sz w:val="24"/>
                <w:shd w:fill="ffffff"/>
              </w:rPr>
              <w:t>288P</w:t>
            </w:r>
          </w:p>
          <w:bookmarkEnd w:id="113"/>
        </w:tc>
        <w:tc>
          <w:tcPr>
            <w:tcW w:w="669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9d4aab3" w:id="114"/>
          <w:p>
            <w:pPr>
              <w:spacing w:after="50" w:line="360" w:lineRule="auto" w:beforeLines="100"/>
              <w:ind w:left="0"/>
              <w:jc w:val="both"/>
            </w:pPr>
            <w:r>
              <w:rPr>
                <w:rFonts w:ascii="宋体" w:hAnsi="Times New Roman" w:eastAsia="宋体"/>
                <w:b w:val="false"/>
                <w:i w:val="false"/>
                <w:color w:val="000000"/>
                <w:sz w:val="24"/>
                <w:shd w:fill="ffffff"/>
              </w:rPr>
              <w:t>1、算力翻倍</w:t>
            </w:r>
          </w:p>
          <w:bookmarkEnd w:id="114"/>
          <w:bookmarkStart w:name="u28b1df3f" w:id="115"/>
          <w:p>
            <w:pPr>
              <w:spacing w:after="50" w:line="360" w:lineRule="auto" w:beforeLines="100"/>
              <w:ind w:left="0"/>
              <w:jc w:val="both"/>
            </w:pPr>
            <w:r>
              <w:rPr>
                <w:rFonts w:ascii="宋体" w:hAnsi="Times New Roman" w:eastAsia="宋体"/>
                <w:b w:val="false"/>
                <w:i w:val="false"/>
                <w:color w:val="000000"/>
                <w:sz w:val="24"/>
                <w:shd w:fill="ffffff"/>
              </w:rPr>
              <w:t>2、内存容量翻倍</w:t>
            </w:r>
          </w:p>
          <w:bookmarkEnd w:id="115"/>
          <w:bookmarkStart w:name="ue3c6b4cc" w:id="116"/>
          <w:p>
            <w:pPr>
              <w:spacing w:after="50" w:line="360" w:lineRule="auto" w:beforeLines="100"/>
              <w:ind w:left="0"/>
              <w:jc w:val="both"/>
            </w:pPr>
            <w:r>
              <w:rPr>
                <w:rFonts w:ascii="宋体" w:hAnsi="Times New Roman" w:eastAsia="宋体"/>
                <w:b w:val="false"/>
                <w:i w:val="false"/>
                <w:color w:val="000000"/>
                <w:sz w:val="24"/>
                <w:shd w:fill="ffffff"/>
              </w:rPr>
              <w:t>3、互联带宽优化</w:t>
            </w:r>
          </w:p>
          <w:bookmarkEnd w:id="116"/>
          <w:bookmarkStart w:name="u061641b7" w:id="117"/>
          <w:p>
            <w:pPr>
              <w:spacing w:after="50" w:line="360" w:lineRule="auto" w:beforeLines="100"/>
              <w:ind w:left="0"/>
              <w:jc w:val="both"/>
            </w:pPr>
            <w:r>
              <w:rPr>
                <w:rFonts w:ascii="宋体" w:hAnsi="Times New Roman" w:eastAsia="宋体"/>
                <w:b w:val="false"/>
                <w:i w:val="false"/>
                <w:color w:val="000000"/>
                <w:sz w:val="24"/>
                <w:shd w:fill="ffffff"/>
              </w:rPr>
              <w:t>4、系统扩展性强</w:t>
            </w:r>
          </w:p>
          <w:bookmarkEnd w:id="117"/>
          <w:bookmarkStart w:name="uec9b61c0" w:id="118"/>
          <w:p>
            <w:pPr>
              <w:spacing w:after="50" w:line="360" w:lineRule="auto" w:beforeLines="100"/>
              <w:ind w:left="0"/>
              <w:jc w:val="both"/>
            </w:pPr>
            <w:r>
              <w:rPr>
                <w:rFonts w:ascii="宋体" w:hAnsi="Times New Roman" w:eastAsia="宋体"/>
                <w:b w:val="false"/>
                <w:i w:val="false"/>
                <w:color w:val="000000"/>
                <w:sz w:val="24"/>
                <w:shd w:fill="ffffff"/>
              </w:rPr>
              <w:t>5、能效比提升</w:t>
            </w:r>
          </w:p>
          <w:bookmarkEnd w:id="118"/>
          <w:bookmarkStart w:name="uf7c42f0c" w:id="119"/>
          <w:p>
            <w:pPr>
              <w:spacing w:after="50" w:line="360" w:lineRule="auto" w:beforeLines="100"/>
              <w:ind w:left="0"/>
              <w:jc w:val="both"/>
            </w:pPr>
            <w:r>
              <w:rPr>
                <w:rFonts w:ascii="宋体" w:hAnsi="Times New Roman" w:eastAsia="宋体"/>
                <w:b w:val="false"/>
                <w:i w:val="false"/>
                <w:color w:val="000000"/>
                <w:sz w:val="24"/>
                <w:shd w:fill="ffffff"/>
              </w:rPr>
              <w:t>在超节点架构中，实现了芯片间高效通信，减少了对传统网关的依赖，提升了系统整体性能和可扩展性。支持万卡级集群线性扩展，满足未来更大规模</w:t>
            </w:r>
            <w:r>
              <w:rPr>
                <w:rFonts w:ascii="宋体" w:hAnsi="Times New Roman" w:eastAsia="宋体"/>
                <w:b w:val="false"/>
                <w:i w:val="false"/>
                <w:color w:val="000000"/>
                <w:sz w:val="24"/>
                <w:shd w:fill="ffffff"/>
              </w:rPr>
              <w:t>AI模型训练需求。</w:t>
            </w:r>
          </w:p>
          <w:bookmarkEnd w:id="119"/>
        </w:tc>
        <w:tc>
          <w:tcPr>
            <w:tcW w:w="29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9847fef" w:id="120"/>
          <w:p>
            <w:pPr>
              <w:spacing w:after="50" w:line="360" w:lineRule="auto" w:beforeLines="100"/>
              <w:ind w:left="0"/>
              <w:jc w:val="both"/>
            </w:pPr>
            <w:r>
              <w:rPr>
                <w:rFonts w:ascii="宋体" w:hAnsi="Times New Roman" w:eastAsia="宋体"/>
                <w:b w:val="false"/>
                <w:i w:val="false"/>
                <w:color w:val="000000"/>
                <w:sz w:val="24"/>
                <w:shd w:fill="ffffff"/>
              </w:rPr>
              <w:t>适合大规模</w:t>
            </w:r>
            <w:r>
              <w:rPr>
                <w:rFonts w:ascii="宋体" w:hAnsi="Times New Roman" w:eastAsia="宋体"/>
                <w:b w:val="false"/>
                <w:i w:val="false"/>
                <w:color w:val="000000"/>
                <w:sz w:val="24"/>
                <w:shd w:fill="ffffff"/>
              </w:rPr>
              <w:t>AI模型训练、复杂推理任务及未来扩展需求</w:t>
            </w:r>
          </w:p>
          <w:bookmarkEnd w:id="120"/>
        </w:tc>
      </w:tr>
    </w:tbl>
    <w:bookmarkEnd w:id="99"/>
    <w:bookmarkStart w:name="u84885ecb" w:id="121"/>
    <w:p>
      <w:pPr>
        <w:spacing w:after="50" w:line="360" w:lineRule="auto" w:beforeLines="100"/>
        <w:ind w:left="0"/>
        <w:jc w:val="both"/>
      </w:pPr>
      <w:r>
        <w:rPr>
          <w:rFonts w:ascii="宋体" w:hAnsi="Times New Roman" w:eastAsia="宋体"/>
          <w:b/>
          <w:i w:val="false"/>
          <w:color w:val="000000"/>
          <w:sz w:val="33"/>
        </w:rPr>
        <w:t>（三）智算中心技术先进性</w:t>
      </w:r>
    </w:p>
    <w:bookmarkEnd w:id="121"/>
    <w:bookmarkStart w:name="uba3137ea" w:id="122"/>
    <w:p>
      <w:pPr>
        <w:spacing w:after="50" w:line="360" w:lineRule="auto" w:beforeLines="100"/>
        <w:ind w:left="0"/>
        <w:jc w:val="both"/>
      </w:pPr>
      <w:r>
        <w:rPr>
          <w:rFonts w:ascii="宋体" w:hAnsi="Times New Roman" w:eastAsia="宋体"/>
          <w:b w:val="false"/>
          <w:i w:val="false"/>
          <w:color w:val="000000"/>
          <w:sz w:val="33"/>
        </w:rPr>
        <w:t>中国移动智算中心（武汉）采用</w:t>
      </w:r>
      <w:r>
        <w:rPr>
          <w:rFonts w:ascii="宋体" w:hAnsi="Times New Roman" w:eastAsia="宋体"/>
          <w:b w:val="false"/>
          <w:i w:val="false"/>
          <w:color w:val="000000"/>
          <w:sz w:val="33"/>
          <w:u w:val="single"/>
        </w:rPr>
        <w:t>全高功率机柜、液冷</w:t>
      </w:r>
      <w:r>
        <w:rPr>
          <w:rFonts w:ascii="宋体" w:hAnsi="Times New Roman" w:eastAsia="宋体"/>
          <w:b w:val="false"/>
          <w:i w:val="false"/>
          <w:color w:val="000000"/>
          <w:sz w:val="33"/>
          <w:u w:val="single"/>
        </w:rPr>
        <w:t>+风冷双模式、国内国际头部双千卡双平面</w:t>
      </w:r>
      <w:r>
        <w:rPr>
          <w:rFonts w:ascii="宋体" w:hAnsi="Times New Roman" w:eastAsia="宋体"/>
          <w:b w:val="false"/>
          <w:i w:val="false"/>
          <w:color w:val="000000"/>
          <w:sz w:val="33"/>
        </w:rPr>
        <w:t>。</w:t>
      </w:r>
    </w:p>
    <w:bookmarkEnd w:id="122"/>
    <w:bookmarkStart w:name="u7352bb18" w:id="123"/>
    <w:p>
      <w:pPr>
        <w:spacing w:after="50" w:line="360" w:lineRule="auto" w:beforeLines="100"/>
        <w:ind w:left="0"/>
        <w:jc w:val="both"/>
      </w:pPr>
      <w:r>
        <w:rPr>
          <w:rFonts w:ascii="宋体" w:hAnsi="Times New Roman" w:eastAsia="宋体"/>
          <w:b/>
          <w:i w:val="false"/>
          <w:color w:val="000000"/>
          <w:sz w:val="33"/>
        </w:rPr>
        <w:t>华中首套昇腾</w:t>
      </w:r>
      <w:r>
        <w:rPr>
          <w:rFonts w:ascii="宋体" w:hAnsi="Times New Roman" w:eastAsia="宋体"/>
          <w:b/>
          <w:i w:val="false"/>
          <w:color w:val="000000"/>
          <w:sz w:val="33"/>
        </w:rPr>
        <w:t>384超节点</w:t>
      </w:r>
      <w:r>
        <w:rPr>
          <w:rFonts w:ascii="宋体" w:hAnsi="Times New Roman" w:eastAsia="宋体"/>
          <w:b/>
          <w:i w:val="false"/>
          <w:color w:val="000000"/>
          <w:sz w:val="33"/>
        </w:rPr>
        <w:t>：</w:t>
      </w:r>
      <w:r>
        <w:rPr>
          <w:rFonts w:ascii="宋体" w:hAnsi="Times New Roman" w:eastAsia="宋体"/>
          <w:b w:val="false"/>
          <w:i w:val="false"/>
          <w:color w:val="000000"/>
          <w:sz w:val="33"/>
        </w:rPr>
        <w:t>单超节点规模由</w:t>
      </w:r>
      <w:r>
        <w:rPr>
          <w:rFonts w:ascii="宋体" w:hAnsi="Times New Roman" w:eastAsia="宋体"/>
          <w:b w:val="false"/>
          <w:i w:val="false"/>
          <w:color w:val="000000"/>
          <w:sz w:val="33"/>
        </w:rPr>
        <w:t>8卡提升至384卡（提升48倍），超节点通信带宽由50GB/s提升至784GB/s（提升15倍），超节点内通信时延由2μs降至0.2μs（降至1/10）。通过构建业界最大384卡全互联集群，突破传统算力瓶颈，训练单卡吞吐提升3倍，推理单卡吞吐提升4倍。</w:t>
      </w:r>
    </w:p>
    <w:bookmarkEnd w:id="123"/>
    <w:bookmarkStart w:name="ue196643c" w:id="124"/>
    <w:p>
      <w:pPr>
        <w:spacing w:after="50" w:line="360" w:lineRule="auto" w:beforeLines="100"/>
        <w:ind w:left="0"/>
        <w:jc w:val="both"/>
      </w:pPr>
      <w:r>
        <w:rPr>
          <w:rFonts w:ascii="宋体" w:hAnsi="Times New Roman" w:eastAsia="宋体"/>
          <w:b/>
          <w:i w:val="false"/>
          <w:color w:val="000000"/>
          <w:sz w:val="33"/>
        </w:rPr>
        <w:t>液冷节能技术领先</w:t>
      </w:r>
      <w:r>
        <w:rPr>
          <w:rFonts w:ascii="宋体" w:hAnsi="Times New Roman" w:eastAsia="宋体"/>
          <w:b/>
          <w:i w:val="false"/>
          <w:color w:val="000000"/>
          <w:sz w:val="33"/>
        </w:rPr>
        <w:t>：</w:t>
      </w:r>
      <w:r>
        <w:rPr>
          <w:rFonts w:ascii="宋体" w:hAnsi="Times New Roman" w:eastAsia="宋体"/>
          <w:b w:val="false"/>
          <w:i w:val="false"/>
          <w:color w:val="000000"/>
          <w:sz w:val="33"/>
        </w:rPr>
        <w:t>湖北移动自主研发的</w:t>
      </w:r>
      <w:r>
        <w:rPr>
          <w:rFonts w:ascii="宋体" w:hAnsi="Times New Roman" w:eastAsia="宋体"/>
          <w:b w:val="false"/>
          <w:i w:val="false"/>
          <w:color w:val="000000"/>
          <w:sz w:val="33"/>
        </w:rPr>
        <w:t>IDC机房空调绿色AI节能控制系统，在绿色节能方面表现突出，有助于降低运营成本和客户使用成本。</w:t>
      </w:r>
      <w:r>
        <w:rPr>
          <w:rFonts w:ascii="宋体" w:hAnsi="Times New Roman" w:eastAsia="宋体"/>
          <w:b w:val="false"/>
          <w:i w:val="false"/>
          <w:color w:val="000000"/>
          <w:sz w:val="33"/>
        </w:rPr>
        <w:t>东湖高新数据中心</w:t>
      </w:r>
      <w:r>
        <w:rPr>
          <w:rFonts w:ascii="宋体" w:hAnsi="Times New Roman" w:eastAsia="宋体"/>
          <w:b w:val="false"/>
          <w:i w:val="false"/>
          <w:color w:val="000000"/>
          <w:sz w:val="33"/>
          <w:u w:val="single"/>
        </w:rPr>
        <w:t>采用当前技术最为先进、应用最为成熟的冷板式液冷</w:t>
      </w:r>
      <w:r>
        <w:rPr>
          <w:rFonts w:ascii="宋体" w:hAnsi="Times New Roman" w:eastAsia="宋体"/>
          <w:b w:val="false"/>
          <w:i w:val="false"/>
          <w:color w:val="000000"/>
          <w:sz w:val="33"/>
          <w:u w:val="single"/>
        </w:rPr>
        <w:t>部署方式</w:t>
      </w:r>
      <w:r>
        <w:rPr>
          <w:rFonts w:ascii="宋体" w:hAnsi="Times New Roman" w:eastAsia="宋体"/>
          <w:b w:val="false"/>
          <w:i w:val="false"/>
          <w:color w:val="000000"/>
          <w:sz w:val="33"/>
        </w:rPr>
        <w:t>，面向</w:t>
      </w:r>
      <w:r>
        <w:rPr>
          <w:rFonts w:ascii="宋体" w:hAnsi="Times New Roman" w:eastAsia="宋体"/>
          <w:b w:val="false"/>
          <w:i w:val="false"/>
          <w:color w:val="000000"/>
          <w:sz w:val="33"/>
        </w:rPr>
        <w:t>IT设备高密度部署需求提供密闭式全液冷机柜，可将制冷PUE降低至1.2以内，绿色低碳节能，运营电费成本降低20%</w:t>
      </w:r>
      <w:r>
        <w:rPr>
          <w:rFonts w:ascii="宋体" w:hAnsi="Times New Roman" w:eastAsia="宋体"/>
          <w:b w:val="false"/>
          <w:i w:val="false"/>
          <w:color w:val="000000"/>
          <w:sz w:val="33"/>
        </w:rPr>
        <w:t>，年减少碳排放可达</w:t>
      </w:r>
      <w:r>
        <w:rPr>
          <w:rFonts w:ascii="宋体" w:hAnsi="Times New Roman" w:eastAsia="宋体"/>
          <w:b w:val="false"/>
          <w:i w:val="false"/>
          <w:color w:val="000000"/>
          <w:sz w:val="33"/>
        </w:rPr>
        <w:t>12000吨</w:t>
      </w:r>
      <w:r>
        <w:rPr>
          <w:rFonts w:ascii="宋体" w:hAnsi="Times New Roman" w:eastAsia="宋体"/>
          <w:b w:val="false"/>
          <w:i w:val="false"/>
          <w:color w:val="000000"/>
          <w:sz w:val="33"/>
        </w:rPr>
        <w:t>。</w:t>
      </w:r>
    </w:p>
    <w:bookmarkEnd w:id="124"/>
    <w:bookmarkStart w:name="ub28c1805" w:id="125"/>
    <w:p>
      <w:pPr>
        <w:spacing w:after="50" w:line="360" w:lineRule="auto" w:beforeLines="100"/>
        <w:ind w:left="0"/>
        <w:jc w:val="both"/>
      </w:pPr>
      <w:r>
        <w:rPr>
          <w:rFonts w:ascii="宋体" w:hAnsi="Times New Roman" w:eastAsia="宋体"/>
          <w:b/>
          <w:i w:val="false"/>
          <w:color w:val="0070c0"/>
          <w:sz w:val="33"/>
        </w:rPr>
        <w:t>【</w:t>
      </w:r>
      <w:r>
        <w:rPr>
          <w:rFonts w:ascii="宋体" w:hAnsi="Times New Roman" w:eastAsia="宋体"/>
          <w:b/>
          <w:i w:val="false"/>
          <w:color w:val="0070c0"/>
          <w:sz w:val="33"/>
        </w:rPr>
        <w:t>冷却分配单元（</w:t>
      </w:r>
      <w:r>
        <w:rPr>
          <w:rFonts w:ascii="宋体" w:hAnsi="Times New Roman" w:eastAsia="宋体"/>
          <w:b/>
          <w:i w:val="false"/>
          <w:color w:val="0070c0"/>
          <w:sz w:val="33"/>
        </w:rPr>
        <w:t>CDU）</w:t>
      </w:r>
      <w:r>
        <w:rPr>
          <w:rFonts w:ascii="宋体" w:hAnsi="Times New Roman" w:eastAsia="宋体"/>
          <w:b/>
          <w:i w:val="false"/>
          <w:color w:val="0070c0"/>
          <w:sz w:val="33"/>
        </w:rPr>
        <w:t>】</w:t>
      </w:r>
      <w:r>
        <w:rPr>
          <w:rFonts w:ascii="宋体" w:hAnsi="Times New Roman" w:eastAsia="宋体"/>
          <w:b w:val="false"/>
          <w:i w:val="false"/>
          <w:color w:val="000000"/>
          <w:sz w:val="33"/>
        </w:rPr>
        <w:t>提供广泛的冷却能力、更高的效率，</w:t>
      </w:r>
      <w:r>
        <w:rPr>
          <w:rFonts w:ascii="宋体" w:hAnsi="Times New Roman" w:eastAsia="宋体"/>
          <w:b w:val="false"/>
          <w:i w:val="false"/>
          <w:color w:val="000000"/>
          <w:sz w:val="33"/>
        </w:rPr>
        <w:t>CDU在机架和服务器机箱内循环和泵送冷却液，并利用机房冷却水系统（FWS）和机架外部空气来冷却服务器</w:t>
      </w:r>
      <w:r>
        <w:rPr>
          <w:rFonts w:ascii="宋体" w:hAnsi="Times New Roman" w:eastAsia="宋体"/>
          <w:b w:val="false"/>
          <w:i w:val="false"/>
          <w:color w:val="000000"/>
          <w:sz w:val="33"/>
        </w:rPr>
        <w:t>，液冷却介质为乙二醇水溶液（</w:t>
      </w:r>
      <w:r>
        <w:rPr>
          <w:rFonts w:ascii="宋体" w:hAnsi="Times New Roman" w:eastAsia="宋体"/>
          <w:b w:val="false"/>
          <w:i w:val="false"/>
          <w:color w:val="000000"/>
          <w:sz w:val="33"/>
        </w:rPr>
        <w:t>15-20%），抗结冰和带走热量的同时，对整个二次侧管路实现耐腐蚀、抑菌的特点。通过CDU 70%热量由液冷排出，通道风冷列间空调承载30％热负荷</w:t>
      </w:r>
      <w:r>
        <w:rPr>
          <w:rFonts w:ascii="宋体" w:hAnsi="Times New Roman" w:eastAsia="宋体"/>
          <w:b w:val="false"/>
          <w:i w:val="false"/>
          <w:color w:val="000000"/>
          <w:sz w:val="33"/>
        </w:rPr>
        <w:t>。</w:t>
      </w:r>
      <w:r>
        <w:rPr>
          <w:rFonts w:ascii="宋体" w:hAnsi="Times New Roman" w:eastAsia="宋体"/>
          <w:b w:val="false"/>
          <w:i w:val="false"/>
          <w:color w:val="000000"/>
          <w:sz w:val="33"/>
        </w:rPr>
        <w:t>同时，</w:t>
      </w:r>
      <w:r>
        <w:rPr>
          <w:rFonts w:ascii="宋体" w:hAnsi="Times New Roman" w:eastAsia="宋体"/>
          <w:b w:val="false"/>
          <w:i w:val="false"/>
          <w:color w:val="000000"/>
          <w:sz w:val="33"/>
        </w:rPr>
        <w:t>空调</w:t>
      </w:r>
      <w:r>
        <w:rPr>
          <w:rFonts w:ascii="宋体" w:hAnsi="Times New Roman" w:eastAsia="宋体"/>
          <w:b w:val="false"/>
          <w:i w:val="false"/>
          <w:color w:val="000000"/>
          <w:sz w:val="33"/>
        </w:rPr>
        <w:t>BA智能群控，有效降低制冷功耗。一体化电力模组创新采用先进电力转换技术和高效散热设计，模组效率达到97.8%。</w:t>
      </w:r>
    </w:p>
    <w:bookmarkEnd w:id="125"/>
    <w:bookmarkStart w:name="u63453f7f" w:id="126"/>
    <w:p>
      <w:pPr>
        <w:spacing w:after="50" w:line="360" w:lineRule="auto" w:beforeLines="100"/>
        <w:ind w:left="0"/>
        <w:jc w:val="both"/>
      </w:pPr>
      <w:r>
        <w:rPr>
          <w:rFonts w:ascii="宋体" w:hAnsi="Times New Roman" w:eastAsia="宋体"/>
          <w:b/>
          <w:i w:val="false"/>
          <w:color w:val="000000"/>
          <w:sz w:val="33"/>
        </w:rPr>
        <w:t>基础设施高标准：</w:t>
      </w:r>
      <w:r>
        <w:rPr>
          <w:rFonts w:ascii="宋体" w:hAnsi="Times New Roman" w:eastAsia="宋体"/>
          <w:b w:val="false"/>
          <w:i w:val="false"/>
          <w:color w:val="000000"/>
          <w:sz w:val="33"/>
        </w:rPr>
        <w:t>湖北移动东湖高新数据中心、襄阳数据中心等</w:t>
      </w:r>
      <w:r>
        <w:rPr>
          <w:rFonts w:ascii="宋体" w:hAnsi="Times New Roman" w:eastAsia="宋体"/>
          <w:b w:val="false"/>
          <w:i w:val="false"/>
          <w:color w:val="000000"/>
          <w:sz w:val="33"/>
        </w:rPr>
        <w:t>IDC机房，均按 TIA-942 Tier 4设计，</w:t>
      </w:r>
      <w:r>
        <w:rPr>
          <w:rFonts w:ascii="宋体" w:hAnsi="Times New Roman" w:eastAsia="宋体"/>
          <w:b w:val="false"/>
          <w:i w:val="false"/>
          <w:color w:val="000000"/>
          <w:sz w:val="33"/>
        </w:rPr>
        <w:t>其中</w:t>
      </w:r>
      <w:r>
        <w:rPr>
          <w:rFonts w:ascii="宋体" w:hAnsi="Times New Roman" w:eastAsia="宋体"/>
          <w:b w:val="false"/>
          <w:i w:val="false"/>
          <w:color w:val="000000"/>
          <w:sz w:val="33"/>
        </w:rPr>
        <w:t>东湖高新数据中心</w:t>
      </w:r>
      <w:r>
        <w:rPr>
          <w:rFonts w:ascii="宋体" w:hAnsi="Times New Roman" w:eastAsia="宋体"/>
          <w:b w:val="false"/>
          <w:i w:val="false"/>
          <w:color w:val="000000"/>
          <w:sz w:val="33"/>
        </w:rPr>
        <w:t>已获得国标</w:t>
      </w:r>
      <w:r>
        <w:rPr>
          <w:rFonts w:ascii="宋体" w:hAnsi="Times New Roman" w:eastAsia="宋体"/>
          <w:b w:val="false"/>
          <w:i w:val="false"/>
          <w:color w:val="000000"/>
          <w:sz w:val="33"/>
        </w:rPr>
        <w:t>A级机房认证，</w:t>
      </w:r>
      <w:r>
        <w:rPr>
          <w:rFonts w:ascii="宋体" w:hAnsi="Times New Roman" w:eastAsia="宋体"/>
          <w:b w:val="false"/>
          <w:i w:val="false"/>
          <w:color w:val="000000"/>
          <w:sz w:val="33"/>
        </w:rPr>
        <w:t>能提供</w:t>
      </w:r>
      <w:r>
        <w:rPr>
          <w:rFonts w:ascii="宋体" w:hAnsi="Times New Roman" w:eastAsia="宋体"/>
          <w:b w:val="false"/>
          <w:i w:val="false"/>
          <w:color w:val="000000"/>
          <w:sz w:val="33"/>
        </w:rPr>
        <w:t>99.99%的网络连通率保障和99.999%持续供电保障，基础设施水平</w:t>
      </w:r>
      <w:r>
        <w:rPr>
          <w:rFonts w:ascii="宋体" w:hAnsi="Times New Roman" w:eastAsia="宋体"/>
          <w:b w:val="false"/>
          <w:i w:val="false"/>
          <w:color w:val="000000"/>
          <w:sz w:val="33"/>
        </w:rPr>
        <w:t>达到业内高标准要求</w:t>
      </w:r>
      <w:r>
        <w:rPr>
          <w:rFonts w:ascii="宋体" w:hAnsi="Times New Roman" w:eastAsia="宋体"/>
          <w:b w:val="false"/>
          <w:i w:val="false"/>
          <w:color w:val="000000"/>
          <w:sz w:val="33"/>
        </w:rPr>
        <w:t>。</w:t>
      </w:r>
    </w:p>
    <w:bookmarkEnd w:id="126"/>
    <w:bookmarkStart w:name="u57b7cba8" w:id="127"/>
    <w:p>
      <w:pPr>
        <w:spacing w:after="50" w:line="360" w:lineRule="auto" w:beforeLines="100"/>
        <w:ind w:left="0"/>
        <w:jc w:val="both"/>
      </w:pPr>
      <w:r>
        <w:rPr>
          <w:rFonts w:ascii="宋体" w:hAnsi="Times New Roman" w:eastAsia="宋体"/>
          <w:b/>
          <w:i w:val="false"/>
          <w:color w:val="000000"/>
          <w:sz w:val="33"/>
        </w:rPr>
        <w:t>持续供电保障</w:t>
      </w:r>
      <w:r>
        <w:rPr>
          <w:rFonts w:ascii="宋体" w:hAnsi="Times New Roman" w:eastAsia="宋体"/>
          <w:b/>
          <w:i w:val="false"/>
          <w:color w:val="000000"/>
          <w:sz w:val="33"/>
        </w:rPr>
        <w:t>：</w:t>
      </w:r>
      <w:r>
        <w:rPr>
          <w:rFonts w:ascii="宋体" w:hAnsi="Times New Roman" w:eastAsia="宋体"/>
          <w:b w:val="false"/>
          <w:i w:val="false"/>
          <w:color w:val="000000"/>
          <w:sz w:val="33"/>
        </w:rPr>
        <w:t>采用两路市电</w:t>
      </w:r>
      <w:r>
        <w:rPr>
          <w:rFonts w:ascii="宋体" w:hAnsi="Times New Roman" w:eastAsia="宋体"/>
          <w:b w:val="false"/>
          <w:i w:val="false"/>
          <w:color w:val="000000"/>
          <w:sz w:val="33"/>
        </w:rPr>
        <w:t>+柴油发电机+UPS三重保障：两路市电采用不同局向专线供电，柴油发电具备72小时不间断供电能力支持，UPS提供系统后备至少30分钟时长。</w:t>
      </w:r>
    </w:p>
    <w:bookmarkEnd w:id="127"/>
    <w:bookmarkStart w:name="ue215a6ce" w:id="128"/>
    <w:p>
      <w:pPr>
        <w:spacing w:after="50" w:line="360" w:lineRule="auto" w:beforeLines="100"/>
        <w:ind w:left="0"/>
        <w:jc w:val="both"/>
      </w:pPr>
      <w:r>
        <w:rPr>
          <w:rFonts w:ascii="宋体" w:hAnsi="Times New Roman" w:eastAsia="宋体"/>
          <w:b/>
          <w:i w:val="false"/>
          <w:color w:val="000000"/>
          <w:sz w:val="33"/>
        </w:rPr>
        <w:t>智能运维管理：</w:t>
      </w:r>
      <w:r>
        <w:rPr>
          <w:rFonts w:ascii="宋体" w:hAnsi="Times New Roman" w:eastAsia="宋体"/>
          <w:b w:val="false"/>
          <w:i w:val="false"/>
          <w:color w:val="000000"/>
          <w:sz w:val="33"/>
        </w:rPr>
        <w:t>针对多元化异构算力资源池对运维管理的更高要求。引入华为</w:t>
      </w:r>
      <w:r>
        <w:rPr>
          <w:rFonts w:ascii="宋体" w:hAnsi="Times New Roman" w:eastAsia="宋体"/>
          <w:b w:val="false"/>
          <w:i w:val="false"/>
          <w:color w:val="000000"/>
          <w:sz w:val="33"/>
        </w:rPr>
        <w:t>CCAE一站式智能运维管理平台，实现不同架构算力的统一纳管、任务调度和资源优化，大幅提升运维效率。</w:t>
      </w:r>
    </w:p>
    <w:bookmarkEnd w:id="128"/>
    <w:bookmarkStart w:name="u316e58ca" w:id="129"/>
    <w:p>
      <w:pPr>
        <w:spacing w:after="50" w:line="360" w:lineRule="auto" w:beforeLines="100"/>
        <w:ind w:left="0"/>
        <w:jc w:val="both"/>
      </w:pPr>
      <w:r>
        <w:rPr>
          <w:rFonts w:ascii="宋体" w:hAnsi="Times New Roman" w:eastAsia="宋体"/>
          <w:b/>
          <w:i w:val="false"/>
          <w:color w:val="000000"/>
          <w:sz w:val="33"/>
        </w:rPr>
        <w:t>（四）长江研究院介绍</w:t>
      </w:r>
    </w:p>
    <w:bookmarkEnd w:id="129"/>
    <w:bookmarkStart w:name="u71efa316" w:id="130"/>
    <w:p>
      <w:pPr>
        <w:spacing w:after="50" w:line="360" w:lineRule="auto" w:beforeLines="100"/>
        <w:ind w:left="0"/>
        <w:jc w:val="both"/>
      </w:pPr>
      <w:r>
        <w:rPr>
          <w:rFonts w:ascii="宋体" w:hAnsi="Times New Roman" w:eastAsia="宋体"/>
          <w:b w:val="false"/>
          <w:i w:val="false"/>
          <w:color w:val="000000"/>
          <w:sz w:val="33"/>
        </w:rPr>
        <w:t>2024年11月，湖北移动长江研究院及中国移动大模型产业创新基地（湖北）（全国四个）正式揭牌，围绕人工智能、5G-A/6G、北斗及卫星互联网、低空经济开展关键技术研发攻关。</w:t>
      </w:r>
      <w:r>
        <w:rPr>
          <w:rFonts w:ascii="宋体" w:hAnsi="Times New Roman" w:eastAsia="宋体"/>
          <w:b w:val="false"/>
          <w:i w:val="false"/>
          <w:color w:val="000000"/>
          <w:sz w:val="33"/>
        </w:rPr>
        <w:t>参与建设湖北省珞珈实验室、湖北省水利北斗时空信息技术中心工程研究中心和湖北省新一代移动通信</w:t>
      </w:r>
      <w:r>
        <w:rPr>
          <w:rFonts w:ascii="宋体" w:hAnsi="Times New Roman" w:eastAsia="宋体"/>
          <w:b w:val="false"/>
          <w:i w:val="false"/>
          <w:color w:val="000000"/>
          <w:sz w:val="33"/>
        </w:rPr>
        <w:t>6G/B6G</w:t>
      </w:r>
      <w:r>
        <w:rPr>
          <w:rFonts w:ascii="宋体" w:hAnsi="Times New Roman" w:eastAsia="宋体"/>
          <w:b w:val="false"/>
          <w:i w:val="false"/>
          <w:color w:val="000000"/>
          <w:sz w:val="33"/>
        </w:rPr>
        <w:t>省工程研究中心、武汉市智能网联汽车产业创新联合实验室等一批省级新型研发机构。</w:t>
      </w:r>
    </w:p>
    <w:bookmarkEnd w:id="130"/>
    <w:bookmarkStart w:name="u7e4aa4fc" w:id="131"/>
    <w:p>
      <w:pPr>
        <w:spacing w:after="50" w:line="360" w:lineRule="auto" w:beforeLines="100"/>
        <w:ind w:left="0"/>
        <w:jc w:val="both"/>
      </w:pPr>
      <w:r>
        <w:rPr>
          <w:rFonts w:ascii="宋体" w:hAnsi="Times New Roman" w:eastAsia="宋体"/>
          <w:b w:val="false"/>
          <w:i w:val="false"/>
          <w:color w:val="000000"/>
          <w:sz w:val="33"/>
        </w:rPr>
        <w:t>依托强大的智算能力及九天能力体系，打造</w:t>
      </w:r>
      <w:r>
        <w:rPr>
          <w:rFonts w:ascii="宋体" w:hAnsi="Times New Roman" w:eastAsia="宋体"/>
          <w:b w:val="false"/>
          <w:i w:val="false"/>
          <w:color w:val="000000"/>
          <w:sz w:val="33"/>
        </w:rPr>
        <w:t>“模数算台”一体化整合能力，为湖北产业发展提供全方位、深层次赋能支持。</w:t>
      </w:r>
    </w:p>
    <w:bookmarkEnd w:id="131"/>
    <w:bookmarkStart w:name="u10df7828" w:id="132"/>
    <w:p>
      <w:pPr>
        <w:spacing w:after="50" w:line="360" w:lineRule="auto" w:beforeLines="100"/>
        <w:ind w:left="0"/>
        <w:jc w:val="both"/>
      </w:pPr>
      <w:r>
        <w:rPr>
          <w:rFonts w:ascii="宋体" w:hAnsi="Times New Roman" w:eastAsia="宋体"/>
          <w:b/>
          <w:i w:val="false"/>
          <w:color w:val="000000"/>
          <w:sz w:val="33"/>
        </w:rPr>
        <w:t>“模数算台”AI全栈能力：</w:t>
      </w:r>
      <w:r>
        <w:rPr>
          <w:rFonts w:ascii="宋体" w:hAnsi="Times New Roman" w:eastAsia="宋体"/>
          <w:b w:val="false"/>
          <w:i w:val="false"/>
          <w:color w:val="000000"/>
          <w:sz w:val="33"/>
        </w:rPr>
        <w:t>湖北移动系统构建</w:t>
      </w:r>
      <w:r>
        <w:rPr>
          <w:rFonts w:ascii="宋体" w:hAnsi="Times New Roman" w:eastAsia="宋体"/>
          <w:b w:val="false"/>
          <w:i w:val="false"/>
          <w:color w:val="000000"/>
          <w:sz w:val="33"/>
        </w:rPr>
        <w:t>“模数算台”全栈能力，已积累标准模型29个，高质量数据集220G，形成50余项AI核心能力。打造IPMS（IaaS/PaaS/MaaS/SaaS）全栈AI产品体系，焕新39款、新增20款产品，满足战客9大行业、商客3类细分场景AI应用需求，推进AI产品规模化发展。</w:t>
      </w:r>
    </w:p>
    <w:bookmarkEnd w:id="132"/>
    <w:bookmarkStart w:name="u6dfd987f" w:id="133"/>
    <w:p>
      <w:pPr>
        <w:spacing w:after="50" w:line="360" w:lineRule="auto" w:beforeLines="100"/>
        <w:ind w:left="0"/>
        <w:jc w:val="both"/>
      </w:pPr>
      <w:r>
        <w:rPr>
          <w:rFonts w:ascii="宋体" w:hAnsi="Times New Roman" w:eastAsia="宋体"/>
          <w:b/>
          <w:i w:val="false"/>
          <w:color w:val="000000"/>
          <w:sz w:val="33"/>
        </w:rPr>
        <w:t>研发能力：</w:t>
      </w:r>
      <w:r>
        <w:rPr>
          <w:rFonts w:ascii="宋体" w:hAnsi="Times New Roman" w:eastAsia="宋体"/>
          <w:b w:val="false"/>
          <w:i w:val="false"/>
          <w:color w:val="000000"/>
          <w:sz w:val="33"/>
        </w:rPr>
        <w:t>长江研究院</w:t>
      </w:r>
      <w:r>
        <w:rPr>
          <w:rFonts w:ascii="宋体" w:hAnsi="Times New Roman" w:eastAsia="宋体"/>
          <w:b w:val="false"/>
          <w:i w:val="false"/>
          <w:color w:val="000000"/>
          <w:sz w:val="33"/>
        </w:rPr>
        <w:t>先后</w:t>
      </w:r>
      <w:r>
        <w:rPr>
          <w:rFonts w:ascii="宋体" w:hAnsi="Times New Roman" w:eastAsia="宋体"/>
          <w:b w:val="false"/>
          <w:i w:val="false"/>
          <w:color w:val="000000"/>
          <w:sz w:val="33"/>
        </w:rPr>
        <w:t>与</w:t>
      </w:r>
      <w:r>
        <w:rPr>
          <w:rFonts w:ascii="宋体" w:hAnsi="Times New Roman" w:eastAsia="宋体"/>
          <w:b w:val="false"/>
          <w:i w:val="false"/>
          <w:color w:val="000000"/>
          <w:sz w:val="33"/>
        </w:rPr>
        <w:t>三峡大学</w:t>
      </w:r>
      <w:r>
        <w:rPr>
          <w:rFonts w:ascii="宋体" w:hAnsi="Times New Roman" w:eastAsia="宋体"/>
          <w:b w:val="false"/>
          <w:i w:val="false"/>
          <w:color w:val="000000"/>
          <w:sz w:val="33"/>
        </w:rPr>
        <w:t>、</w:t>
      </w:r>
      <w:r>
        <w:rPr>
          <w:rFonts w:ascii="宋体" w:hAnsi="Times New Roman" w:eastAsia="宋体"/>
          <w:b w:val="false"/>
          <w:i w:val="false"/>
          <w:color w:val="000000"/>
          <w:sz w:val="33"/>
        </w:rPr>
        <w:t>北京大学等单位联合成立</w:t>
      </w:r>
      <w:r>
        <w:rPr>
          <w:rFonts w:ascii="宋体" w:hAnsi="Times New Roman" w:eastAsia="宋体"/>
          <w:b w:val="false"/>
          <w:i w:val="false"/>
          <w:color w:val="000000"/>
          <w:sz w:val="33"/>
        </w:rPr>
        <w:t>水利大模型实验室</w:t>
      </w:r>
      <w:r>
        <w:rPr>
          <w:rFonts w:ascii="宋体" w:hAnsi="Times New Roman" w:eastAsia="宋体"/>
          <w:b w:val="false"/>
          <w:i w:val="false"/>
          <w:color w:val="000000"/>
          <w:sz w:val="33"/>
        </w:rPr>
        <w:t>、</w:t>
      </w:r>
      <w:r>
        <w:rPr>
          <w:rFonts w:ascii="宋体" w:hAnsi="Times New Roman" w:eastAsia="宋体"/>
          <w:b w:val="false"/>
          <w:i w:val="false"/>
          <w:color w:val="000000"/>
          <w:sz w:val="33"/>
        </w:rPr>
        <w:t>大模型产业应用研究联合实验室，针对水利和教育行业大模型进行数据、模型、应用开发等能力和产品的联合研发，验证联合创新实验室载体运营和管理模式，已初步形成</w:t>
      </w:r>
      <w:r>
        <w:rPr>
          <w:rFonts w:ascii="宋体" w:hAnsi="Times New Roman" w:eastAsia="宋体"/>
          <w:b w:val="false"/>
          <w:i w:val="false"/>
          <w:color w:val="000000"/>
          <w:sz w:val="33"/>
        </w:rPr>
        <w:t>70P</w:t>
      </w:r>
      <w:r>
        <w:rPr>
          <w:rFonts w:ascii="宋体" w:hAnsi="Times New Roman" w:eastAsia="宋体"/>
          <w:b w:val="false"/>
          <w:i w:val="false"/>
          <w:color w:val="000000"/>
          <w:sz w:val="33"/>
        </w:rPr>
        <w:t>科创专用智算资源池、沉淀</w:t>
      </w:r>
      <w:r>
        <w:rPr>
          <w:rFonts w:ascii="宋体" w:hAnsi="Times New Roman" w:eastAsia="宋体"/>
          <w:b w:val="false"/>
          <w:i w:val="false"/>
          <w:color w:val="000000"/>
          <w:sz w:val="33"/>
        </w:rPr>
        <w:t>600TB</w:t>
      </w:r>
      <w:r>
        <w:rPr>
          <w:rFonts w:ascii="宋体" w:hAnsi="Times New Roman" w:eastAsia="宋体"/>
          <w:b w:val="false"/>
          <w:i w:val="false"/>
          <w:color w:val="000000"/>
          <w:sz w:val="33"/>
        </w:rPr>
        <w:t>高质量通识数据、</w:t>
      </w:r>
      <w:r>
        <w:rPr>
          <w:rFonts w:ascii="宋体" w:hAnsi="Times New Roman" w:eastAsia="宋体"/>
          <w:b w:val="false"/>
          <w:i w:val="false"/>
          <w:color w:val="000000"/>
          <w:sz w:val="33"/>
        </w:rPr>
        <w:t>15GB</w:t>
      </w:r>
      <w:r>
        <w:rPr>
          <w:rFonts w:ascii="宋体" w:hAnsi="Times New Roman" w:eastAsia="宋体"/>
          <w:b w:val="false"/>
          <w:i w:val="false"/>
          <w:color w:val="000000"/>
          <w:sz w:val="33"/>
        </w:rPr>
        <w:t>行业私域数据和</w:t>
      </w:r>
      <w:r>
        <w:rPr>
          <w:rFonts w:ascii="宋体" w:hAnsi="Times New Roman" w:eastAsia="宋体"/>
          <w:b w:val="false"/>
          <w:i w:val="false"/>
          <w:color w:val="000000"/>
          <w:sz w:val="33"/>
        </w:rPr>
        <w:t>30</w:t>
      </w:r>
      <w:r>
        <w:rPr>
          <w:rFonts w:ascii="宋体" w:hAnsi="Times New Roman" w:eastAsia="宋体"/>
          <w:b w:val="false"/>
          <w:i w:val="false"/>
          <w:color w:val="000000"/>
          <w:sz w:val="33"/>
        </w:rPr>
        <w:t>万对高质量思维链数据等高质量数据集，储备模型微调、强化学习、</w:t>
      </w:r>
      <w:r>
        <w:rPr>
          <w:rFonts w:ascii="宋体" w:hAnsi="Times New Roman" w:eastAsia="宋体"/>
          <w:b w:val="false"/>
          <w:i w:val="false"/>
          <w:color w:val="000000"/>
          <w:sz w:val="33"/>
        </w:rPr>
        <w:t>RAG</w:t>
      </w:r>
      <w:r>
        <w:rPr>
          <w:rFonts w:ascii="宋体" w:hAnsi="Times New Roman" w:eastAsia="宋体"/>
          <w:b w:val="false"/>
          <w:i w:val="false"/>
          <w:color w:val="000000"/>
          <w:sz w:val="33"/>
        </w:rPr>
        <w:t>开发和智能体开发基础工具</w:t>
      </w:r>
      <w:r>
        <w:rPr>
          <w:rFonts w:ascii="宋体" w:hAnsi="Times New Roman" w:eastAsia="宋体"/>
          <w:b w:val="false"/>
          <w:i w:val="false"/>
          <w:color w:val="000000"/>
          <w:sz w:val="33"/>
        </w:rPr>
        <w:t>4</w:t>
      </w:r>
      <w:r>
        <w:rPr>
          <w:rFonts w:ascii="宋体" w:hAnsi="Times New Roman" w:eastAsia="宋体"/>
          <w:b w:val="false"/>
          <w:i w:val="false"/>
          <w:color w:val="000000"/>
          <w:sz w:val="33"/>
        </w:rPr>
        <w:t>个，基本具备自然语言类</w:t>
      </w:r>
      <w:r>
        <w:rPr>
          <w:rFonts w:ascii="宋体" w:hAnsi="Times New Roman" w:eastAsia="宋体"/>
          <w:b w:val="false"/>
          <w:i w:val="false"/>
          <w:color w:val="000000"/>
          <w:sz w:val="33"/>
        </w:rPr>
        <w:t>AI</w:t>
      </w:r>
      <w:r>
        <w:rPr>
          <w:rFonts w:ascii="宋体" w:hAnsi="Times New Roman" w:eastAsia="宋体"/>
          <w:b w:val="false"/>
          <w:i w:val="false"/>
          <w:color w:val="000000"/>
          <w:sz w:val="33"/>
        </w:rPr>
        <w:t>需求研发能力。</w:t>
      </w:r>
    </w:p>
    <w:bookmarkEnd w:id="133"/>
    <w:bookmarkStart w:name="ubc478622" w:id="134"/>
    <w:p>
      <w:pPr>
        <w:spacing w:after="50" w:line="360" w:lineRule="auto" w:beforeLines="100"/>
        <w:ind w:left="0"/>
        <w:jc w:val="both"/>
      </w:pPr>
      <w:r>
        <w:rPr>
          <w:rFonts w:ascii="宋体" w:hAnsi="Times New Roman" w:eastAsia="宋体"/>
          <w:b/>
          <w:i w:val="false"/>
          <w:color w:val="000000"/>
          <w:sz w:val="33"/>
        </w:rPr>
        <w:t>（五）服务对象及内容</w:t>
      </w:r>
    </w:p>
    <w:bookmarkEnd w:id="134"/>
    <w:bookmarkStart w:name="u9ed6f97d" w:id="135"/>
    <w:p>
      <w:pPr>
        <w:spacing w:after="50" w:line="360" w:lineRule="auto" w:beforeLines="100"/>
        <w:ind w:left="0"/>
        <w:jc w:val="both"/>
      </w:pPr>
      <w:r>
        <w:rPr>
          <w:rFonts w:ascii="宋体" w:hAnsi="Times New Roman" w:eastAsia="宋体"/>
          <w:b w:val="false"/>
          <w:i w:val="false"/>
          <w:color w:val="000000"/>
          <w:sz w:val="33"/>
        </w:rPr>
        <w:t>中国移动智算中心（武汉）已吸引腾讯、百度、网宿科技、爱奇艺等超</w:t>
      </w:r>
      <w:r>
        <w:rPr>
          <w:rFonts w:ascii="宋体" w:hAnsi="Times New Roman" w:eastAsia="宋体"/>
          <w:b w:val="false"/>
          <w:i w:val="false"/>
          <w:color w:val="000000"/>
          <w:sz w:val="33"/>
        </w:rPr>
        <w:t>100家企业，以及本地政府、公安、银行等行业客户入驻，客户群体广泛，在客户资源积累和行业应用方面具有显著优势。</w:t>
      </w:r>
    </w:p>
    <w:bookmarkEnd w:id="135"/>
    <w:bookmarkStart w:name="YX7rE" w:id="13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127"/>
        <w:gridCol w:w="3158"/>
        <w:gridCol w:w="9349"/>
      </w:tblGrid>
      <w:tr>
        <w:trPr>
          <w:trHeight w:val="495" w:hRule="atLeast"/>
        </w:trPr>
        <w:tc>
          <w:tcPr>
            <w:tcW w:w="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9bd5b3b" w:id="137"/>
          <w:p>
            <w:pPr>
              <w:spacing w:after="50" w:line="360" w:lineRule="auto" w:beforeLines="100"/>
              <w:ind w:left="0"/>
              <w:jc w:val="center"/>
            </w:pPr>
            <w:r>
              <w:rPr>
                <w:rFonts w:ascii="宋体" w:hAnsi="Times New Roman" w:eastAsia="宋体"/>
                <w:b/>
                <w:i w:val="false"/>
                <w:color w:val="000000"/>
                <w:sz w:val="24"/>
              </w:rPr>
              <w:t>序号</w:t>
            </w:r>
          </w:p>
          <w:bookmarkEnd w:id="137"/>
        </w:tc>
        <w:tc>
          <w:tcPr>
            <w:tcW w:w="31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6efb0a2" w:id="138"/>
          <w:p>
            <w:pPr>
              <w:spacing w:after="50" w:line="360" w:lineRule="auto" w:beforeLines="100"/>
              <w:ind w:left="0"/>
              <w:jc w:val="center"/>
            </w:pPr>
            <w:r>
              <w:rPr>
                <w:rFonts w:ascii="宋体" w:hAnsi="Times New Roman" w:eastAsia="宋体"/>
                <w:b/>
                <w:i w:val="false"/>
                <w:color w:val="000000"/>
                <w:sz w:val="24"/>
              </w:rPr>
              <w:t>项目名称</w:t>
            </w:r>
          </w:p>
          <w:bookmarkEnd w:id="138"/>
        </w:tc>
        <w:tc>
          <w:tcPr>
            <w:tcW w:w="93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7ecfa3" w:id="139"/>
          <w:p>
            <w:pPr>
              <w:spacing w:after="50" w:line="360" w:lineRule="auto" w:beforeLines="100"/>
              <w:ind w:left="0"/>
              <w:jc w:val="center"/>
            </w:pPr>
            <w:r>
              <w:rPr>
                <w:rFonts w:ascii="宋体" w:hAnsi="Times New Roman" w:eastAsia="宋体"/>
                <w:b/>
                <w:i w:val="false"/>
                <w:color w:val="000000"/>
                <w:sz w:val="24"/>
              </w:rPr>
              <w:t>项目情况</w:t>
            </w:r>
          </w:p>
          <w:bookmarkEnd w:id="139"/>
        </w:tc>
      </w:tr>
      <w:tr>
        <w:trPr>
          <w:trHeight w:val="495" w:hRule="atLeast"/>
        </w:trPr>
        <w:tc>
          <w:tcPr>
            <w:tcW w:w="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51b2b1" w:id="140"/>
          <w:p>
            <w:pPr>
              <w:spacing w:after="50" w:line="360" w:lineRule="auto" w:beforeLines="100"/>
              <w:ind w:left="0"/>
              <w:jc w:val="center"/>
            </w:pPr>
            <w:r>
              <w:rPr>
                <w:rFonts w:ascii="宋体" w:hAnsi="Times New Roman" w:eastAsia="宋体"/>
                <w:b w:val="false"/>
                <w:i w:val="false"/>
                <w:color w:val="000000"/>
                <w:sz w:val="24"/>
              </w:rPr>
              <w:t>1</w:t>
            </w:r>
          </w:p>
          <w:bookmarkEnd w:id="140"/>
        </w:tc>
        <w:tc>
          <w:tcPr>
            <w:tcW w:w="31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c06190" w:id="141"/>
          <w:p>
            <w:pPr>
              <w:spacing w:after="50" w:line="360" w:lineRule="auto" w:beforeLines="100"/>
              <w:ind w:left="0"/>
              <w:jc w:val="left"/>
            </w:pPr>
            <w:r>
              <w:rPr>
                <w:rFonts w:ascii="宋体" w:hAnsi="Times New Roman" w:eastAsia="宋体"/>
                <w:b w:val="false"/>
                <w:i w:val="false"/>
                <w:color w:val="000000"/>
                <w:sz w:val="24"/>
              </w:rPr>
              <w:t>九天</w:t>
            </w:r>
            <w:r>
              <w:rPr>
                <w:rFonts w:ascii="宋体" w:hAnsi="Times New Roman" w:eastAsia="宋体"/>
                <w:b w:val="false"/>
                <w:i w:val="false"/>
                <w:color w:val="000000"/>
                <w:sz w:val="24"/>
              </w:rPr>
              <w:t>57B大模型训练项目</w:t>
            </w:r>
          </w:p>
          <w:bookmarkEnd w:id="141"/>
        </w:tc>
        <w:tc>
          <w:tcPr>
            <w:tcW w:w="93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e3e654a" w:id="142"/>
          <w:p>
            <w:pPr>
              <w:spacing w:after="50" w:line="360" w:lineRule="auto" w:beforeLines="100"/>
              <w:ind w:left="0"/>
              <w:jc w:val="left"/>
            </w:pPr>
            <w:r>
              <w:rPr>
                <w:rFonts w:ascii="宋体" w:hAnsi="Times New Roman" w:eastAsia="宋体"/>
                <w:b w:val="false"/>
                <w:i w:val="false"/>
                <w:color w:val="000000"/>
                <w:sz w:val="24"/>
              </w:rPr>
              <w:t>通过</w:t>
            </w:r>
            <w:r>
              <w:rPr>
                <w:rFonts w:ascii="宋体" w:hAnsi="Times New Roman" w:eastAsia="宋体"/>
                <w:b w:val="false"/>
                <w:i w:val="false"/>
                <w:color w:val="000000"/>
                <w:sz w:val="24"/>
              </w:rPr>
              <w:t>214台A800英伟达GPU服务器组建K8S集群，提供108天超长稳训服务，集群性能业界领先</w:t>
            </w:r>
          </w:p>
          <w:bookmarkEnd w:id="142"/>
        </w:tc>
      </w:tr>
      <w:tr>
        <w:trPr>
          <w:trHeight w:val="495" w:hRule="atLeast"/>
        </w:trPr>
        <w:tc>
          <w:tcPr>
            <w:tcW w:w="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9fe9464" w:id="143"/>
          <w:p>
            <w:pPr>
              <w:spacing w:after="50" w:line="360" w:lineRule="auto" w:beforeLines="100"/>
              <w:ind w:left="0"/>
              <w:jc w:val="center"/>
            </w:pPr>
            <w:r>
              <w:rPr>
                <w:rFonts w:ascii="宋体" w:hAnsi="Times New Roman" w:eastAsia="宋体"/>
                <w:b w:val="false"/>
                <w:i w:val="false"/>
                <w:color w:val="000000"/>
                <w:sz w:val="24"/>
              </w:rPr>
              <w:t>2</w:t>
            </w:r>
          </w:p>
          <w:bookmarkEnd w:id="143"/>
        </w:tc>
        <w:tc>
          <w:tcPr>
            <w:tcW w:w="31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9c3621" w:id="144"/>
          <w:p>
            <w:pPr>
              <w:spacing w:after="50" w:line="360" w:lineRule="auto" w:beforeLines="100"/>
              <w:ind w:left="0"/>
              <w:jc w:val="left"/>
            </w:pPr>
            <w:r>
              <w:rPr>
                <w:rFonts w:ascii="宋体" w:hAnsi="Times New Roman" w:eastAsia="宋体"/>
                <w:b w:val="false"/>
                <w:i w:val="false"/>
                <w:color w:val="000000"/>
                <w:sz w:val="24"/>
              </w:rPr>
              <w:t>硅基流动大模型训练项目</w:t>
            </w:r>
          </w:p>
          <w:bookmarkEnd w:id="144"/>
        </w:tc>
        <w:tc>
          <w:tcPr>
            <w:tcW w:w="93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090197c" w:id="145"/>
          <w:p>
            <w:pPr>
              <w:spacing w:after="50" w:line="360" w:lineRule="auto" w:beforeLines="100"/>
              <w:ind w:left="0"/>
              <w:jc w:val="left"/>
            </w:pPr>
            <w:r>
              <w:rPr>
                <w:rFonts w:ascii="宋体" w:hAnsi="Times New Roman" w:eastAsia="宋体"/>
                <w:b w:val="false"/>
                <w:i w:val="false"/>
                <w:color w:val="000000"/>
                <w:sz w:val="24"/>
              </w:rPr>
              <w:t>首批算力需求</w:t>
            </w:r>
            <w:r>
              <w:rPr>
                <w:rFonts w:ascii="宋体" w:hAnsi="Times New Roman" w:eastAsia="宋体"/>
                <w:b w:val="false"/>
                <w:i w:val="false"/>
                <w:color w:val="000000"/>
                <w:sz w:val="24"/>
              </w:rPr>
              <w:t>53台昇腾910B国产化NPU服务器组建K8S集群，创新采用“预部署+弹性扩容”模式，实现算力资源按需供给与动态优化</w:t>
            </w:r>
          </w:p>
          <w:bookmarkEnd w:id="145"/>
        </w:tc>
      </w:tr>
      <w:tr>
        <w:trPr>
          <w:trHeight w:val="495" w:hRule="atLeast"/>
        </w:trPr>
        <w:tc>
          <w:tcPr>
            <w:tcW w:w="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25fec7c" w:id="146"/>
          <w:p>
            <w:pPr>
              <w:spacing w:after="50" w:line="360" w:lineRule="auto" w:beforeLines="100"/>
              <w:ind w:left="0"/>
              <w:jc w:val="center"/>
            </w:pPr>
            <w:r>
              <w:rPr>
                <w:rFonts w:ascii="宋体" w:hAnsi="Times New Roman" w:eastAsia="宋体"/>
                <w:b w:val="false"/>
                <w:i w:val="false"/>
                <w:color w:val="000000"/>
                <w:sz w:val="24"/>
              </w:rPr>
              <w:t>3</w:t>
            </w:r>
          </w:p>
          <w:bookmarkEnd w:id="146"/>
        </w:tc>
        <w:tc>
          <w:tcPr>
            <w:tcW w:w="31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37f947d" w:id="147"/>
          <w:p>
            <w:pPr>
              <w:spacing w:after="50" w:line="360" w:lineRule="auto" w:beforeLines="100"/>
              <w:ind w:left="0"/>
              <w:jc w:val="left"/>
            </w:pPr>
            <w:r>
              <w:rPr>
                <w:rFonts w:ascii="宋体" w:hAnsi="Times New Roman" w:eastAsia="宋体"/>
                <w:b w:val="false"/>
                <w:i w:val="false"/>
                <w:color w:val="000000"/>
                <w:sz w:val="24"/>
              </w:rPr>
              <w:t>金山办公</w:t>
            </w:r>
            <w:r>
              <w:rPr>
                <w:rFonts w:ascii="宋体" w:hAnsi="Times New Roman" w:eastAsia="宋体"/>
                <w:b w:val="false"/>
                <w:i w:val="false"/>
                <w:color w:val="000000"/>
                <w:sz w:val="24"/>
              </w:rPr>
              <w:t>WPS大模型训练项目</w:t>
            </w:r>
          </w:p>
          <w:bookmarkEnd w:id="147"/>
        </w:tc>
        <w:tc>
          <w:tcPr>
            <w:tcW w:w="93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8900f8" w:id="148"/>
          <w:p>
            <w:pPr>
              <w:spacing w:after="50" w:line="360" w:lineRule="auto" w:beforeLines="100"/>
              <w:ind w:left="0"/>
              <w:jc w:val="left"/>
            </w:pPr>
            <w:r>
              <w:rPr>
                <w:rFonts w:ascii="宋体" w:hAnsi="Times New Roman" w:eastAsia="宋体"/>
                <w:b w:val="false"/>
                <w:i w:val="false"/>
                <w:color w:val="000000"/>
                <w:sz w:val="24"/>
              </w:rPr>
              <w:t>东新区管委会筹划将金山</w:t>
            </w:r>
            <w:r>
              <w:rPr>
                <w:rFonts w:ascii="宋体" w:hAnsi="Times New Roman" w:eastAsia="宋体"/>
                <w:b w:val="false"/>
                <w:i w:val="false"/>
                <w:color w:val="000000"/>
                <w:sz w:val="24"/>
              </w:rPr>
              <w:t>WPS政务大模型引入武汉，为金山提供128台昇腾910B算力及容器服务、对象存储、共享带宽等算网服务</w:t>
            </w:r>
          </w:p>
          <w:bookmarkEnd w:id="148"/>
        </w:tc>
      </w:tr>
      <w:tr>
        <w:trPr>
          <w:trHeight w:val="495" w:hRule="atLeast"/>
        </w:trPr>
        <w:tc>
          <w:tcPr>
            <w:tcW w:w="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5d56e46" w:id="149"/>
          <w:p>
            <w:pPr>
              <w:spacing w:after="50" w:line="360" w:lineRule="auto" w:beforeLines="100"/>
              <w:ind w:left="0"/>
              <w:jc w:val="center"/>
            </w:pPr>
            <w:r>
              <w:rPr>
                <w:rFonts w:ascii="宋体" w:hAnsi="Times New Roman" w:eastAsia="宋体"/>
                <w:b w:val="false"/>
                <w:i w:val="false"/>
                <w:color w:val="000000"/>
                <w:sz w:val="24"/>
              </w:rPr>
              <w:t>4</w:t>
            </w:r>
          </w:p>
          <w:bookmarkEnd w:id="149"/>
        </w:tc>
        <w:tc>
          <w:tcPr>
            <w:tcW w:w="31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574f136" w:id="150"/>
          <w:p>
            <w:pPr>
              <w:spacing w:after="50" w:line="360" w:lineRule="auto" w:beforeLines="100"/>
              <w:ind w:left="0"/>
              <w:jc w:val="left"/>
            </w:pPr>
            <w:r>
              <w:rPr>
                <w:rFonts w:ascii="宋体" w:hAnsi="Times New Roman" w:eastAsia="宋体"/>
                <w:b w:val="false"/>
                <w:i w:val="false"/>
                <w:color w:val="000000"/>
                <w:sz w:val="24"/>
              </w:rPr>
              <w:t>东风集团大模型训练项目</w:t>
            </w:r>
          </w:p>
          <w:bookmarkEnd w:id="150"/>
        </w:tc>
        <w:tc>
          <w:tcPr>
            <w:tcW w:w="934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f30a9b" w:id="151"/>
          <w:p>
            <w:pPr>
              <w:spacing w:after="50" w:line="360" w:lineRule="auto" w:beforeLines="100"/>
              <w:ind w:left="0"/>
              <w:jc w:val="left"/>
            </w:pPr>
            <w:r>
              <w:rPr>
                <w:rFonts w:ascii="宋体" w:hAnsi="Times New Roman" w:eastAsia="宋体"/>
                <w:b w:val="false"/>
                <w:i w:val="false"/>
                <w:color w:val="000000"/>
                <w:sz w:val="24"/>
              </w:rPr>
              <w:t>湖北公司与东风集团深化合作，为东风集团提供自动驾驶模型训练算力租用服务，算力需求约</w:t>
            </w:r>
            <w:r>
              <w:rPr>
                <w:rFonts w:ascii="宋体" w:hAnsi="Times New Roman" w:eastAsia="宋体"/>
                <w:b w:val="false"/>
                <w:i w:val="false"/>
                <w:color w:val="000000"/>
                <w:sz w:val="24"/>
              </w:rPr>
              <w:t>65P</w:t>
            </w:r>
          </w:p>
          <w:bookmarkEnd w:id="151"/>
        </w:tc>
      </w:tr>
    </w:tbl>
    <w:bookmarkEnd w:id="136"/>
    <w:bookmarkStart w:name="uc40438fb" w:id="152"/>
    <w:bookmarkEnd w:id="152"/>
    <w:bookmarkStart w:name="u58239780" w:id="153"/>
    <w:p>
      <w:pPr>
        <w:spacing w:after="50" w:line="360" w:lineRule="auto" w:beforeLines="100"/>
        <w:ind w:left="0"/>
        <w:jc w:val="both"/>
      </w:pPr>
      <w:r>
        <w:rPr>
          <w:rFonts w:ascii="宋体" w:hAnsi="Times New Roman" w:eastAsia="宋体"/>
          <w:b/>
          <w:i w:val="false"/>
          <w:color w:val="000000"/>
          <w:sz w:val="33"/>
        </w:rPr>
        <w:t>四、湖北移动打造</w:t>
      </w:r>
      <w:r>
        <w:rPr>
          <w:rFonts w:ascii="宋体" w:hAnsi="Times New Roman" w:eastAsia="宋体"/>
          <w:b/>
          <w:i w:val="false"/>
          <w:color w:val="000000"/>
          <w:sz w:val="33"/>
        </w:rPr>
        <w:t>“六算融通”新质生产力创新体系</w:t>
      </w:r>
    </w:p>
    <w:bookmarkEnd w:id="153"/>
    <w:bookmarkStart w:name="uaabe600d" w:id="154"/>
    <w:p>
      <w:pPr>
        <w:spacing w:after="50" w:line="360" w:lineRule="auto" w:beforeLines="100"/>
        <w:ind w:left="0"/>
        <w:jc w:val="both"/>
      </w:pPr>
      <w:r>
        <w:rPr>
          <w:rFonts w:ascii="宋体" w:hAnsi="Times New Roman" w:eastAsia="宋体"/>
          <w:b w:val="false"/>
          <w:i w:val="false"/>
          <w:color w:val="000000"/>
          <w:sz w:val="33"/>
        </w:rPr>
        <w:t>湖北移动打造通算、智算、超算、量算、天基计算、类脑计算六算融通，</w:t>
      </w:r>
      <w:r>
        <w:rPr>
          <w:rFonts w:ascii="宋体" w:hAnsi="Times New Roman" w:eastAsia="宋体"/>
          <w:b w:val="false"/>
          <w:i w:val="false"/>
          <w:color w:val="000000"/>
          <w:sz w:val="33"/>
        </w:rPr>
        <w:t>“六算融通”、“数据融汇”、“模型融合”，算网存用一体化服务矩阵的“631新质生产力创新体系”。</w:t>
      </w:r>
    </w:p>
    <w:bookmarkEnd w:id="154"/>
    <w:bookmarkStart w:name="ue6e71f58" w:id="155"/>
    <w:p>
      <w:pPr>
        <w:spacing w:after="50" w:line="360" w:lineRule="auto" w:beforeLines="100"/>
        <w:ind w:left="0"/>
        <w:jc w:val="both"/>
      </w:pPr>
      <w:r>
        <w:rPr>
          <w:rFonts w:ascii="宋体" w:hAnsi="Times New Roman" w:eastAsia="宋体"/>
          <w:b/>
          <w:i w:val="false"/>
          <w:color w:val="000000"/>
          <w:sz w:val="33"/>
        </w:rPr>
        <w:t>（一）</w:t>
      </w:r>
      <w:r>
        <w:rPr>
          <w:rFonts w:ascii="宋体" w:hAnsi="Times New Roman" w:eastAsia="宋体"/>
          <w:b/>
          <w:i w:val="false"/>
          <w:color w:val="000000"/>
          <w:sz w:val="33"/>
        </w:rPr>
        <w:t>“通、智、超、量、天基、类脑”六算</w:t>
      </w:r>
    </w:p>
    <w:bookmarkEnd w:id="155"/>
    <w:bookmarkStart w:name="u6d54bdba" w:id="156"/>
    <w:p>
      <w:pPr>
        <w:spacing w:after="50" w:line="360" w:lineRule="auto" w:beforeLines="100"/>
        <w:ind w:left="0"/>
        <w:jc w:val="both"/>
      </w:pPr>
      <w:r>
        <w:rPr>
          <w:rFonts w:ascii="宋体" w:hAnsi="Times New Roman" w:eastAsia="宋体"/>
          <w:b/>
          <w:i w:val="false"/>
          <w:color w:val="000000"/>
          <w:sz w:val="33"/>
        </w:rPr>
        <w:t>通算：</w:t>
      </w:r>
      <w:r>
        <w:rPr>
          <w:rFonts w:ascii="宋体" w:hAnsi="Times New Roman" w:eastAsia="宋体"/>
          <w:b w:val="false"/>
          <w:i w:val="false"/>
          <w:color w:val="000000"/>
          <w:sz w:val="33"/>
        </w:rPr>
        <w:t>基于中国移动</w:t>
      </w:r>
      <w:r>
        <w:rPr>
          <w:rFonts w:ascii="宋体" w:hAnsi="Times New Roman" w:eastAsia="宋体"/>
          <w:b w:val="false"/>
          <w:i w:val="false"/>
          <w:color w:val="000000"/>
          <w:sz w:val="33"/>
        </w:rPr>
        <w:t>“4+N+31+X”算力基础设施体系（4大核心热点区域中心、跨省中心节点、31个省级核心节点及边缘节点），提供公有云、私有云、混合云等弹性安全服务。</w:t>
      </w:r>
    </w:p>
    <w:bookmarkEnd w:id="156"/>
    <w:bookmarkStart w:name="u1c54658e" w:id="157"/>
    <w:p>
      <w:pPr>
        <w:spacing w:after="50" w:line="360" w:lineRule="auto" w:beforeLines="100"/>
        <w:ind w:left="0"/>
        <w:jc w:val="both"/>
      </w:pPr>
      <w:r>
        <w:rPr>
          <w:rFonts w:ascii="宋体" w:hAnsi="Times New Roman" w:eastAsia="宋体"/>
          <w:b/>
          <w:i w:val="false"/>
          <w:color w:val="000000"/>
          <w:sz w:val="33"/>
        </w:rPr>
        <w:t>智算：</w:t>
      </w:r>
      <w:r>
        <w:rPr>
          <w:rFonts w:ascii="宋体" w:hAnsi="Times New Roman" w:eastAsia="宋体"/>
          <w:b w:val="false"/>
          <w:i w:val="false"/>
          <w:color w:val="000000"/>
          <w:sz w:val="33"/>
        </w:rPr>
        <w:t>打造</w:t>
      </w:r>
      <w:r>
        <w:rPr>
          <w:rFonts w:ascii="宋体" w:hAnsi="Times New Roman" w:eastAsia="宋体"/>
          <w:b w:val="false"/>
          <w:i w:val="false"/>
          <w:color w:val="000000"/>
          <w:sz w:val="33"/>
        </w:rPr>
        <w:t>“集中训练、分布推理、统一调度”智算网络，在枢纽节点建设超万卡级智算中心支撑模型训练，在热点区域部署普惠智算资源；发布“九天”AI平台提供全栈能力，依托算网大脑实现通算与智算协同调度，大幅降低AI算力使用门槛。</w:t>
      </w:r>
    </w:p>
    <w:bookmarkEnd w:id="157"/>
    <w:bookmarkStart w:name="uf73a2245" w:id="158"/>
    <w:p>
      <w:pPr>
        <w:spacing w:after="50" w:line="360" w:lineRule="auto" w:beforeLines="100"/>
        <w:ind w:left="0"/>
        <w:jc w:val="both"/>
      </w:pPr>
      <w:r>
        <w:rPr>
          <w:rFonts w:ascii="宋体" w:hAnsi="Times New Roman" w:eastAsia="宋体"/>
          <w:b/>
          <w:i w:val="false"/>
          <w:color w:val="000000"/>
          <w:sz w:val="33"/>
        </w:rPr>
        <w:t>超算</w:t>
      </w:r>
      <w:r>
        <w:rPr>
          <w:rFonts w:ascii="宋体" w:hAnsi="Times New Roman" w:eastAsia="宋体"/>
          <w:b w:val="false"/>
          <w:i w:val="false"/>
          <w:color w:val="000000"/>
          <w:sz w:val="33"/>
        </w:rPr>
        <w:t>：通过</w:t>
      </w:r>
      <w:r>
        <w:rPr>
          <w:rFonts w:ascii="宋体" w:hAnsi="Times New Roman" w:eastAsia="宋体"/>
          <w:b w:val="false"/>
          <w:i w:val="false"/>
          <w:color w:val="000000"/>
          <w:sz w:val="33"/>
        </w:rPr>
        <w:t>“网络-算力”双向感知，构建“超算+网络”一体化定制方案，重点服务科研、高端制造等领域，支撑重大科研项目与产业创新突破。</w:t>
      </w:r>
    </w:p>
    <w:bookmarkEnd w:id="158"/>
    <w:bookmarkStart w:name="u7c137f35" w:id="159"/>
    <w:p>
      <w:pPr>
        <w:spacing w:after="50" w:line="360" w:lineRule="auto" w:beforeLines="100"/>
        <w:ind w:left="0"/>
        <w:jc w:val="both"/>
      </w:pPr>
      <w:r>
        <w:rPr>
          <w:rFonts w:ascii="宋体" w:hAnsi="Times New Roman" w:eastAsia="宋体"/>
          <w:b/>
          <w:i w:val="false"/>
          <w:color w:val="000000"/>
          <w:sz w:val="33"/>
        </w:rPr>
        <w:t>量算：</w:t>
      </w:r>
      <w:r>
        <w:rPr>
          <w:rFonts w:ascii="宋体" w:hAnsi="Times New Roman" w:eastAsia="宋体"/>
          <w:b w:val="false"/>
          <w:i w:val="false"/>
          <w:color w:val="000000"/>
          <w:sz w:val="33"/>
        </w:rPr>
        <w:t>中国移动云能中心未来研究院</w:t>
      </w:r>
      <w:r>
        <w:rPr>
          <w:rFonts w:ascii="宋体" w:hAnsi="Times New Roman" w:eastAsia="宋体"/>
          <w:b w:val="false"/>
          <w:i w:val="false"/>
          <w:color w:val="000000"/>
          <w:sz w:val="33"/>
        </w:rPr>
        <w:t>“五岳纪元”量子计算平台融合传统与量子算力，支持5类制式量子计算机（光量子、超导、离子阱、金刚石色心、中性原子），提供约2001比特量子算力，量子真机算力年调用量超4200万次，类型和规模均居国内第一。</w:t>
      </w:r>
    </w:p>
    <w:bookmarkEnd w:id="159"/>
    <w:bookmarkStart w:name="u2ba5c9f2" w:id="160"/>
    <w:p>
      <w:pPr>
        <w:spacing w:after="50" w:line="360" w:lineRule="auto" w:beforeLines="100"/>
        <w:ind w:left="0"/>
        <w:jc w:val="both"/>
      </w:pPr>
      <w:r>
        <w:rPr>
          <w:rFonts w:ascii="宋体" w:hAnsi="Times New Roman" w:eastAsia="宋体"/>
          <w:b w:val="false"/>
          <w:i w:val="false"/>
          <w:color w:val="000000"/>
          <w:sz w:val="33"/>
        </w:rPr>
        <w:t>中国移动已首批入驻国家科技部超算互联网平台，以及长三角枢纽芜湖集群、内蒙古算网融合调度平台</w:t>
      </w:r>
      <w:r>
        <w:rPr>
          <w:rFonts w:ascii="宋体" w:hAnsi="Times New Roman" w:eastAsia="宋体"/>
          <w:b w:val="false"/>
          <w:i w:val="false"/>
          <w:color w:val="000000"/>
          <w:sz w:val="33"/>
        </w:rPr>
        <w:t>2个区域算力枢纽。已入驻湖北省算力互联互通调度平台，提供5类16台量子计算机，助力湖北省算力互联互通调度平台成为国内首个“六算合一”平台和首个省级跨域算力统筹平台。</w:t>
      </w:r>
    </w:p>
    <w:bookmarkEnd w:id="160"/>
    <w:bookmarkStart w:name="u110630fd" w:id="161"/>
    <w:p>
      <w:pPr>
        <w:spacing w:after="50" w:line="360" w:lineRule="auto" w:beforeLines="100"/>
        <w:ind w:left="0"/>
        <w:jc w:val="both"/>
      </w:pPr>
      <w:r>
        <w:rPr>
          <w:rFonts w:ascii="宋体" w:hAnsi="Times New Roman" w:eastAsia="宋体"/>
          <w:b w:val="false"/>
          <w:i w:val="false"/>
          <w:color w:val="000000"/>
          <w:sz w:val="33"/>
        </w:rPr>
        <w:t>2026年1月，中国移动链长基金完成对中科酷原科技（武汉）有限公司的近亿元战略投资。中科酷原科技自主研发了国内首台原子量子计算机“汉原1号”。该系统采用激光冷却和囚禁的单原子作为量子比特，可在普通室内环境下运行，无需低温系统，具备易于本地化部署、适应性强、稳定性高和集成度高等优势。</w:t>
      </w:r>
    </w:p>
    <w:bookmarkEnd w:id="161"/>
    <w:bookmarkStart w:name="ua934dea2" w:id="162"/>
    <w:p>
      <w:pPr>
        <w:spacing w:after="50" w:line="360" w:lineRule="auto" w:beforeLines="100"/>
        <w:ind w:left="0"/>
        <w:jc w:val="both"/>
      </w:pPr>
      <w:r>
        <w:rPr>
          <w:rFonts w:ascii="宋体" w:hAnsi="Times New Roman" w:eastAsia="宋体"/>
          <w:b w:val="false"/>
          <w:i w:val="false"/>
          <w:color w:val="000000"/>
          <w:sz w:val="33"/>
        </w:rPr>
        <w:t>主要应用场景包括：量子计算基于其特性，更适合科研、生物医药、金融、安全等高并发算法可极大提高效率的产业场景。</w:t>
      </w:r>
    </w:p>
    <w:bookmarkEnd w:id="162"/>
    <w:bookmarkStart w:name="ucba546b8" w:id="163"/>
    <w:p>
      <w:pPr>
        <w:spacing w:after="50" w:line="360" w:lineRule="auto" w:beforeLines="100"/>
        <w:ind w:left="0"/>
        <w:jc w:val="both"/>
      </w:pPr>
      <w:r>
        <w:rPr>
          <w:rFonts w:ascii="宋体" w:hAnsi="Times New Roman" w:eastAsia="宋体"/>
          <w:b w:val="false"/>
          <w:i w:val="false"/>
          <w:color w:val="000000"/>
          <w:sz w:val="33"/>
          <w:u w:val="single"/>
        </w:rPr>
        <w:t>【通智超量算力相对成熟，提供算力即服务；天基计算、类脑计算采取任务式推进，应用于教学、科研等场景】</w:t>
      </w:r>
    </w:p>
    <w:bookmarkEnd w:id="163"/>
    <w:bookmarkStart w:name="u5fbb204c" w:id="164"/>
    <w:p>
      <w:pPr>
        <w:spacing w:after="50" w:line="360" w:lineRule="auto" w:beforeLines="100"/>
        <w:ind w:left="0"/>
        <w:jc w:val="both"/>
      </w:pPr>
      <w:r>
        <w:rPr>
          <w:rFonts w:ascii="宋体" w:hAnsi="Times New Roman" w:eastAsia="宋体"/>
          <w:b/>
          <w:i w:val="false"/>
          <w:color w:val="000000"/>
          <w:sz w:val="33"/>
        </w:rPr>
        <w:t>天基计算：</w:t>
      </w:r>
      <w:r>
        <w:rPr>
          <w:rFonts w:ascii="宋体" w:hAnsi="Times New Roman" w:eastAsia="宋体"/>
          <w:b w:val="false"/>
          <w:i w:val="false"/>
          <w:color w:val="000000"/>
          <w:sz w:val="33"/>
        </w:rPr>
        <w:t>传统</w:t>
      </w:r>
      <w:r>
        <w:rPr>
          <w:rFonts w:ascii="宋体" w:hAnsi="Times New Roman" w:eastAsia="宋体"/>
          <w:b w:val="false"/>
          <w:i w:val="false"/>
          <w:color w:val="000000"/>
          <w:sz w:val="33"/>
        </w:rPr>
        <w:t>“天数地算”模式受限于星地带宽、传输时延、地面站资源等因素，大量太空遥感数据因下行瓶颈被浪费。天基计算通过将计算载荷下沉至天基卫星节点，同时通过连接层网络汇聚邻近卫星、地面云计算资源，对各类算力进行统一管理和调度，为上层业务提供算力服务。</w:t>
      </w:r>
    </w:p>
    <w:bookmarkEnd w:id="164"/>
    <w:bookmarkStart w:name="u083aac08" w:id="165"/>
    <w:p>
      <w:pPr>
        <w:spacing w:after="50" w:line="360" w:lineRule="auto" w:beforeLines="100"/>
        <w:ind w:left="0"/>
        <w:jc w:val="both"/>
      </w:pPr>
      <w:r>
        <w:rPr>
          <w:rFonts w:ascii="宋体" w:hAnsi="Times New Roman" w:eastAsia="宋体"/>
          <w:b w:val="false"/>
          <w:i w:val="false"/>
          <w:color w:val="000000"/>
          <w:sz w:val="33"/>
        </w:rPr>
        <w:t>中国移动布局</w:t>
      </w:r>
      <w:r>
        <w:rPr>
          <w:rFonts w:ascii="宋体" w:hAnsi="Times New Roman" w:eastAsia="宋体"/>
          <w:b w:val="false"/>
          <w:i w:val="false"/>
          <w:color w:val="000000"/>
          <w:sz w:val="33"/>
        </w:rPr>
        <w:t>2664颗通算一体天基算力网络，由2520颗低轨卫星CHINAMOBILE-L1和144颗中轨卫星CHINAMOBILE-M1组成，建立天基连接层、基准层、感知层、算力层等多层架构，构建“一网五层”的天地一体化通信网络。</w:t>
      </w:r>
    </w:p>
    <w:bookmarkEnd w:id="165"/>
    <w:bookmarkStart w:name="u6102a2b2" w:id="166"/>
    <w:p>
      <w:pPr>
        <w:spacing w:after="50" w:line="360" w:lineRule="auto" w:beforeLines="100"/>
        <w:ind w:left="0"/>
        <w:jc w:val="both"/>
      </w:pPr>
      <w:r>
        <w:rPr>
          <w:rFonts w:ascii="宋体" w:hAnsi="Times New Roman" w:eastAsia="宋体"/>
          <w:b w:val="false"/>
          <w:i w:val="false"/>
          <w:color w:val="000000"/>
          <w:sz w:val="33"/>
        </w:rPr>
        <w:t>中国移动构建可同时兼容多架构、多类型算力系统的</w:t>
      </w:r>
      <w:r>
        <w:rPr>
          <w:rFonts w:ascii="宋体" w:hAnsi="Times New Roman" w:eastAsia="宋体"/>
          <w:b w:val="false"/>
          <w:i w:val="false"/>
          <w:color w:val="000000"/>
          <w:sz w:val="33"/>
        </w:rPr>
        <w:t>“芯合”异构超融合系统，实现“CPU+XPU”一体融通，助力实现通、智、超、量及天基算力资源一体纳管、调度及协同运用。已上线国家信创综试中心、接入全国一体化算力网监测调度试验平台，配合国家数据据牵头构建全国一体化算力网《算力网智算算力池化技术要求》，提出通、智、超、量子一体池化调度的国家标准。同时，该系统已部署于国家枢纽及湖北算力互联互通平台，实现地面算力跨架构一体池化调度。通过插件拓展，可便捷接入天基算力资源。目前已具备与湖北楚天星座、北京算力星座首星、航天五院、星网等多个卫星平台系统的适配能力。</w:t>
      </w:r>
    </w:p>
    <w:bookmarkEnd w:id="166"/>
    <w:bookmarkStart w:name="uc37136f9" w:id="167"/>
    <w:p>
      <w:pPr>
        <w:spacing w:after="50" w:line="360" w:lineRule="auto" w:beforeLines="100"/>
        <w:ind w:left="0"/>
        <w:jc w:val="both"/>
      </w:pPr>
      <w:r>
        <w:rPr>
          <w:rFonts w:ascii="宋体" w:hAnsi="Times New Roman" w:eastAsia="宋体"/>
          <w:b w:val="false"/>
          <w:i w:val="false"/>
          <w:color w:val="000000"/>
          <w:sz w:val="33"/>
        </w:rPr>
        <w:t>主要应用场景包括：</w:t>
      </w:r>
      <w:r>
        <w:rPr>
          <w:rFonts w:ascii="宋体" w:hAnsi="Times New Roman" w:eastAsia="宋体"/>
          <w:b w:val="false"/>
          <w:i w:val="false"/>
          <w:color w:val="000000"/>
          <w:sz w:val="33"/>
        </w:rPr>
        <w:t>实时全域遥感与智能防灾</w:t>
      </w:r>
      <w:r>
        <w:rPr>
          <w:rFonts w:ascii="宋体" w:hAnsi="Times New Roman" w:eastAsia="宋体"/>
          <w:b w:val="false"/>
          <w:i w:val="false"/>
          <w:color w:val="000000"/>
          <w:sz w:val="33"/>
        </w:rPr>
        <w:t>、</w:t>
      </w:r>
      <w:r>
        <w:rPr>
          <w:rFonts w:ascii="宋体" w:hAnsi="Times New Roman" w:eastAsia="宋体"/>
          <w:b w:val="false"/>
          <w:i w:val="false"/>
          <w:color w:val="000000"/>
          <w:sz w:val="33"/>
        </w:rPr>
        <w:t>远海与极地边缘计算</w:t>
      </w:r>
      <w:r>
        <w:rPr>
          <w:rFonts w:ascii="宋体" w:hAnsi="Times New Roman" w:eastAsia="宋体"/>
          <w:b w:val="false"/>
          <w:i w:val="false"/>
          <w:color w:val="000000"/>
          <w:sz w:val="33"/>
        </w:rPr>
        <w:t>、</w:t>
      </w:r>
      <w:r>
        <w:rPr>
          <w:rFonts w:ascii="宋体" w:hAnsi="Times New Roman" w:eastAsia="宋体"/>
          <w:b w:val="false"/>
          <w:i w:val="false"/>
          <w:color w:val="000000"/>
          <w:sz w:val="33"/>
        </w:rPr>
        <w:t>全球广域物联网与时空协同</w:t>
      </w:r>
      <w:r>
        <w:rPr>
          <w:rFonts w:ascii="宋体" w:hAnsi="Times New Roman" w:eastAsia="宋体"/>
          <w:b w:val="false"/>
          <w:i w:val="false"/>
          <w:color w:val="000000"/>
          <w:sz w:val="33"/>
        </w:rPr>
        <w:t>、</w:t>
      </w:r>
      <w:r>
        <w:rPr>
          <w:rFonts w:ascii="宋体" w:hAnsi="Times New Roman" w:eastAsia="宋体"/>
          <w:b w:val="false"/>
          <w:i w:val="false"/>
          <w:color w:val="000000"/>
          <w:sz w:val="33"/>
        </w:rPr>
        <w:t>极端环境下的大规模科学仿真</w:t>
      </w:r>
      <w:r>
        <w:rPr>
          <w:rFonts w:ascii="宋体" w:hAnsi="Times New Roman" w:eastAsia="宋体"/>
          <w:b w:val="false"/>
          <w:i w:val="false"/>
          <w:color w:val="000000"/>
          <w:sz w:val="33"/>
        </w:rPr>
        <w:t>等。</w:t>
      </w:r>
    </w:p>
    <w:bookmarkEnd w:id="167"/>
    <w:bookmarkStart w:name="ub778b4a7" w:id="168"/>
    <w:p>
      <w:pPr>
        <w:spacing w:after="50" w:line="360" w:lineRule="auto" w:beforeLines="100"/>
        <w:ind w:left="0"/>
        <w:jc w:val="both"/>
      </w:pPr>
      <w:r>
        <w:rPr>
          <w:rFonts w:ascii="宋体" w:hAnsi="Times New Roman" w:eastAsia="宋体"/>
          <w:b/>
          <w:i w:val="false"/>
          <w:color w:val="0070c0"/>
          <w:sz w:val="33"/>
        </w:rPr>
        <w:t>【北斗】</w:t>
      </w:r>
      <w:r>
        <w:rPr>
          <w:rFonts w:ascii="宋体" w:hAnsi="Times New Roman" w:eastAsia="宋体"/>
          <w:b w:val="false"/>
          <w:i w:val="false"/>
          <w:color w:val="000000"/>
          <w:sz w:val="33"/>
        </w:rPr>
        <w:t>中国移动目前是</w:t>
      </w:r>
      <w:r>
        <w:rPr>
          <w:rFonts w:ascii="宋体" w:hAnsi="Times New Roman" w:eastAsia="宋体"/>
          <w:b w:val="false"/>
          <w:i w:val="false"/>
          <w:color w:val="000000"/>
          <w:sz w:val="33"/>
        </w:rPr>
        <w:t>‌全国唯一获得卫星移动通信业务经营许可的电信运营商‌，已建成的</w:t>
      </w:r>
      <w:r>
        <w:rPr>
          <w:rFonts w:ascii="宋体" w:hAnsi="Times New Roman" w:eastAsia="宋体"/>
          <w:b w:val="false"/>
          <w:i w:val="false"/>
          <w:color w:val="000000"/>
          <w:sz w:val="33"/>
          <w:u w:val="single"/>
        </w:rPr>
        <w:t>全球最大</w:t>
      </w:r>
      <w:r>
        <w:rPr>
          <w:rFonts w:ascii="宋体" w:hAnsi="Times New Roman" w:eastAsia="宋体"/>
          <w:b w:val="false"/>
          <w:i w:val="false"/>
          <w:color w:val="000000"/>
          <w:sz w:val="33"/>
          <w:u w:val="single"/>
        </w:rPr>
        <w:t>5G+北斗</w:t>
      </w:r>
      <w:r>
        <w:rPr>
          <w:rFonts w:ascii="宋体" w:hAnsi="Times New Roman" w:eastAsia="宋体"/>
          <w:b w:val="false"/>
          <w:i w:val="false"/>
          <w:color w:val="000000"/>
          <w:sz w:val="33"/>
          <w:u w:val="single"/>
        </w:rPr>
        <w:t>高精度</w:t>
      </w:r>
      <w:r>
        <w:rPr>
          <w:rFonts w:ascii="宋体" w:hAnsi="Times New Roman" w:eastAsia="宋体"/>
          <w:b w:val="false"/>
          <w:i w:val="false"/>
          <w:color w:val="000000"/>
          <w:sz w:val="33"/>
          <w:u w:val="single"/>
        </w:rPr>
        <w:t>定位网络</w:t>
      </w:r>
      <w:r>
        <w:rPr>
          <w:rFonts w:ascii="宋体" w:hAnsi="Times New Roman" w:eastAsia="宋体"/>
          <w:b w:val="false"/>
          <w:i w:val="false"/>
          <w:color w:val="000000"/>
          <w:sz w:val="33"/>
          <w:u w:val="single"/>
        </w:rPr>
        <w:t>（全国</w:t>
      </w:r>
      <w:r>
        <w:rPr>
          <w:rFonts w:ascii="宋体" w:hAnsi="Times New Roman" w:eastAsia="宋体"/>
          <w:b w:val="false"/>
          <w:i w:val="false"/>
          <w:color w:val="000000"/>
          <w:sz w:val="33"/>
          <w:u w:val="single"/>
        </w:rPr>
        <w:t>4530个</w:t>
      </w:r>
      <w:r>
        <w:rPr>
          <w:rFonts w:ascii="宋体" w:hAnsi="Times New Roman" w:eastAsia="宋体"/>
          <w:b w:val="false"/>
          <w:i w:val="false"/>
          <w:color w:val="000000"/>
          <w:sz w:val="33"/>
          <w:u w:val="single"/>
        </w:rPr>
        <w:t>RTK</w:t>
      </w:r>
      <w:r>
        <w:rPr>
          <w:rFonts w:ascii="宋体" w:hAnsi="Times New Roman" w:eastAsia="宋体"/>
          <w:b w:val="false"/>
          <w:i w:val="false"/>
          <w:color w:val="000000"/>
          <w:sz w:val="33"/>
          <w:u w:val="single"/>
        </w:rPr>
        <w:t>基准站</w:t>
      </w:r>
      <w:r>
        <w:rPr>
          <w:rFonts w:ascii="宋体" w:hAnsi="Times New Roman" w:eastAsia="宋体"/>
          <w:b w:val="false"/>
          <w:i w:val="false"/>
          <w:color w:val="000000"/>
          <w:sz w:val="33"/>
          <w:u w:val="single"/>
        </w:rPr>
        <w:t>，</w:t>
      </w:r>
      <w:r>
        <w:rPr>
          <w:rFonts w:ascii="宋体" w:hAnsi="Times New Roman" w:eastAsia="宋体"/>
          <w:b w:val="false"/>
          <w:i w:val="false"/>
          <w:color w:val="000000"/>
          <w:sz w:val="33"/>
          <w:u w:val="single"/>
        </w:rPr>
        <w:t>其中湖北省省内</w:t>
      </w:r>
      <w:r>
        <w:rPr>
          <w:rFonts w:ascii="宋体" w:hAnsi="Times New Roman" w:eastAsia="宋体"/>
          <w:b w:val="false"/>
          <w:i w:val="false"/>
          <w:color w:val="000000"/>
          <w:sz w:val="33"/>
          <w:u w:val="single"/>
        </w:rPr>
        <w:t>185</w:t>
      </w:r>
      <w:r>
        <w:rPr>
          <w:rFonts w:ascii="宋体" w:hAnsi="Times New Roman" w:eastAsia="宋体"/>
          <w:b w:val="false"/>
          <w:i w:val="false"/>
          <w:color w:val="000000"/>
          <w:sz w:val="33"/>
          <w:u w:val="single"/>
        </w:rPr>
        <w:t>个</w:t>
      </w:r>
      <w:r>
        <w:rPr>
          <w:rFonts w:ascii="宋体" w:hAnsi="Times New Roman" w:eastAsia="宋体"/>
          <w:b w:val="false"/>
          <w:i w:val="false"/>
          <w:color w:val="000000"/>
          <w:sz w:val="33"/>
          <w:u w:val="single"/>
        </w:rPr>
        <w:t>）</w:t>
      </w:r>
      <w:r>
        <w:rPr>
          <w:rFonts w:ascii="宋体" w:hAnsi="Times New Roman" w:eastAsia="宋体"/>
          <w:b w:val="false"/>
          <w:i w:val="false"/>
          <w:color w:val="000000"/>
          <w:sz w:val="33"/>
        </w:rPr>
        <w:t>，全面支持北斗</w:t>
      </w:r>
      <w:r>
        <w:rPr>
          <w:rFonts w:ascii="宋体" w:hAnsi="Times New Roman" w:eastAsia="宋体"/>
          <w:b w:val="false"/>
          <w:i w:val="false"/>
          <w:color w:val="000000"/>
          <w:sz w:val="33"/>
        </w:rPr>
        <w:t>3号，支持单北斗独立运行。面向下一代北斗，以打造“1个实验装置、3大基础设施、N个典型应用”，力争北斗四代导航系统全国首发。</w:t>
      </w:r>
    </w:p>
    <w:bookmarkEnd w:id="168"/>
    <w:bookmarkStart w:name="uc9c310de" w:id="169"/>
    <w:p>
      <w:pPr>
        <w:spacing w:after="50" w:line="360" w:lineRule="auto" w:beforeLines="100"/>
        <w:ind w:left="0"/>
        <w:jc w:val="both"/>
      </w:pPr>
      <w:r>
        <w:rPr>
          <w:rFonts w:ascii="宋体" w:hAnsi="Times New Roman" w:eastAsia="宋体"/>
          <w:b/>
          <w:i w:val="false"/>
          <w:color w:val="0070c0"/>
          <w:sz w:val="33"/>
        </w:rPr>
        <w:t>【</w:t>
      </w:r>
      <w:r>
        <w:rPr>
          <w:rFonts w:ascii="宋体" w:hAnsi="Times New Roman" w:eastAsia="宋体"/>
          <w:b/>
          <w:i w:val="false"/>
          <w:color w:val="0070c0"/>
          <w:sz w:val="33"/>
        </w:rPr>
        <w:t>6G】</w:t>
      </w:r>
      <w:r>
        <w:rPr>
          <w:rFonts w:ascii="宋体" w:hAnsi="Times New Roman" w:eastAsia="宋体"/>
          <w:b w:val="false"/>
          <w:i w:val="false"/>
          <w:color w:val="000000"/>
          <w:sz w:val="33"/>
        </w:rPr>
        <w:t>湖北移动</w:t>
      </w:r>
      <w:r>
        <w:rPr>
          <w:rFonts w:ascii="宋体" w:hAnsi="Times New Roman" w:eastAsia="宋体"/>
          <w:b w:val="false"/>
          <w:i w:val="false"/>
          <w:color w:val="000000"/>
          <w:sz w:val="33"/>
          <w:u w:val="single"/>
        </w:rPr>
        <w:t>率先建设</w:t>
      </w:r>
      <w:r>
        <w:rPr>
          <w:rFonts w:ascii="宋体" w:hAnsi="Times New Roman" w:eastAsia="宋体"/>
          <w:b w:val="false"/>
          <w:i w:val="false"/>
          <w:color w:val="000000"/>
          <w:sz w:val="33"/>
          <w:u w:val="single"/>
        </w:rPr>
        <w:t>6G综合试验网（全国仅2个）</w:t>
      </w:r>
      <w:r>
        <w:rPr>
          <w:rFonts w:ascii="宋体" w:hAnsi="Times New Roman" w:eastAsia="宋体"/>
          <w:b w:val="false"/>
          <w:i w:val="false"/>
          <w:color w:val="000000"/>
          <w:sz w:val="33"/>
        </w:rPr>
        <w:t>（湖北省</w:t>
      </w:r>
      <w:r>
        <w:rPr>
          <w:rFonts w:ascii="宋体" w:hAnsi="Times New Roman" w:eastAsia="宋体"/>
          <w:b w:val="false"/>
          <w:i w:val="false"/>
          <w:color w:val="000000"/>
          <w:sz w:val="33"/>
        </w:rPr>
        <w:t>6G课题共5项，总金额近1亿元。其中湖北移动承担课题5：6G试验网搭建，总投资1024万元，其中省厅444万元，自筹资金580万元）</w:t>
      </w:r>
      <w:r>
        <w:rPr>
          <w:rFonts w:ascii="宋体" w:hAnsi="Times New Roman" w:eastAsia="宋体"/>
          <w:b w:val="false"/>
          <w:i w:val="false"/>
          <w:color w:val="000000"/>
          <w:sz w:val="33"/>
        </w:rPr>
        <w:t>，实现下载速率较</w:t>
      </w:r>
      <w:r>
        <w:rPr>
          <w:rFonts w:ascii="宋体" w:hAnsi="Times New Roman" w:eastAsia="宋体"/>
          <w:b w:val="false"/>
          <w:i w:val="false"/>
          <w:color w:val="000000"/>
          <w:sz w:val="33"/>
        </w:rPr>
        <w:t>5G提升100倍，时延从20ms缩短至1ms，可靠性提升至1-10</w:t>
      </w:r>
      <w:r>
        <w:rPr>
          <w:rFonts w:ascii="宋体" w:hAnsi="Times New Roman" w:eastAsia="宋体"/>
          <w:b w:val="false"/>
          <w:i w:val="false"/>
          <w:color w:val="000000"/>
          <w:sz w:val="33"/>
        </w:rPr>
        <w:t>-7</w:t>
      </w:r>
      <w:r>
        <w:rPr>
          <w:rFonts w:ascii="宋体" w:hAnsi="Times New Roman" w:eastAsia="宋体"/>
          <w:b w:val="false"/>
          <w:i w:val="false"/>
          <w:color w:val="000000"/>
          <w:sz w:val="33"/>
        </w:rPr>
        <w:t>(7个9)，并开展6G沉浸式通信、泛在连接、通智算一体3个应用场景测试，推动空天地一体化、通感算一体化、通信AI智能一体化发展。湖北移动联合中信科移动，在光谷未来科技城建设全球最大6G试验网。</w:t>
      </w:r>
      <w:r>
        <w:rPr>
          <w:rFonts w:ascii="宋体" w:hAnsi="Times New Roman" w:eastAsia="宋体"/>
          <w:b w:val="false"/>
          <w:i w:val="false"/>
          <w:color w:val="000000"/>
          <w:sz w:val="33"/>
          <w:u w:val="single"/>
        </w:rPr>
        <w:t>到</w:t>
      </w:r>
      <w:r>
        <w:rPr>
          <w:rFonts w:ascii="宋体" w:hAnsi="Times New Roman" w:eastAsia="宋体"/>
          <w:b w:val="false"/>
          <w:i w:val="false"/>
          <w:color w:val="000000"/>
          <w:sz w:val="33"/>
          <w:u w:val="single"/>
        </w:rPr>
        <w:t>2027年，将完成20个6G室外基站建设</w:t>
      </w:r>
      <w:r>
        <w:rPr>
          <w:rFonts w:ascii="宋体" w:hAnsi="Times New Roman" w:eastAsia="宋体"/>
          <w:b w:val="false"/>
          <w:i w:val="false"/>
          <w:color w:val="000000"/>
          <w:sz w:val="33"/>
        </w:rPr>
        <w:t>，实现</w:t>
      </w:r>
      <w:r>
        <w:rPr>
          <w:rFonts w:ascii="宋体" w:hAnsi="Times New Roman" w:eastAsia="宋体"/>
          <w:b w:val="false"/>
          <w:i w:val="false"/>
          <w:color w:val="000000"/>
          <w:sz w:val="33"/>
        </w:rPr>
        <w:t>5G/6G协同，完成6G网络技术验证。</w:t>
      </w:r>
    </w:p>
    <w:bookmarkEnd w:id="169"/>
    <w:bookmarkStart w:name="ucf3fb009" w:id="170"/>
    <w:p>
      <w:pPr>
        <w:spacing w:after="50" w:line="360" w:lineRule="auto" w:beforeLines="100"/>
        <w:ind w:left="0"/>
        <w:jc w:val="both"/>
      </w:pPr>
      <w:r>
        <w:rPr>
          <w:rFonts w:ascii="宋体" w:hAnsi="Times New Roman" w:eastAsia="宋体"/>
          <w:b/>
          <w:i w:val="false"/>
          <w:color w:val="000000"/>
          <w:sz w:val="33"/>
        </w:rPr>
        <w:t>类脑计算：</w:t>
      </w:r>
      <w:r>
        <w:rPr>
          <w:rFonts w:ascii="宋体" w:hAnsi="Times New Roman" w:eastAsia="宋体"/>
          <w:b w:val="false"/>
          <w:i w:val="false"/>
          <w:color w:val="000000"/>
          <w:sz w:val="33"/>
        </w:rPr>
        <w:t>中国移动推进高能效的存算一体架构，着力缓解冯</w:t>
      </w:r>
      <w:r>
        <w:rPr>
          <w:rFonts w:ascii="宋体" w:hAnsi="Times New Roman" w:eastAsia="宋体"/>
          <w:b w:val="false"/>
          <w:i w:val="false"/>
          <w:color w:val="000000"/>
          <w:sz w:val="33"/>
        </w:rPr>
        <w:t>·诺依曼结构带来的功耗与带宽瓶颈。牵头承担千亿级神经元规模类脑计算系统国家专项，打造“芯片+基础软件+模型+应用”全栈类脑技术实验室，构建面向云侧与边缘侧的大算力类脑芯片及异构融合系统，提升混合神经网络的推理效率与可扩展性，加快神经形态计算系统的规模化与工程验证。加快推动类脑+人工智能、GPU+类脑、类脑+交通、类脑+云电脑等类多种场景应用落地。</w:t>
      </w:r>
    </w:p>
    <w:bookmarkEnd w:id="170"/>
    <w:bookmarkStart w:name="u82af94b9" w:id="171"/>
    <w:p>
      <w:pPr>
        <w:spacing w:after="50" w:line="360" w:lineRule="auto" w:beforeLines="100"/>
        <w:ind w:left="0"/>
        <w:jc w:val="both"/>
      </w:pPr>
      <w:r>
        <w:rPr>
          <w:rFonts w:ascii="宋体" w:hAnsi="Times New Roman" w:eastAsia="宋体"/>
          <w:b/>
          <w:i w:val="false"/>
          <w:color w:val="000000"/>
          <w:sz w:val="33"/>
        </w:rPr>
        <w:t>（二）</w:t>
      </w:r>
      <w:r>
        <w:rPr>
          <w:rFonts w:ascii="宋体" w:hAnsi="Times New Roman" w:eastAsia="宋体"/>
          <w:b/>
          <w:i w:val="false"/>
          <w:color w:val="000000"/>
          <w:sz w:val="33"/>
        </w:rPr>
        <w:t>六算融通</w:t>
      </w:r>
    </w:p>
    <w:bookmarkEnd w:id="171"/>
    <w:bookmarkStart w:name="u184ea8ab" w:id="172"/>
    <w:p>
      <w:pPr>
        <w:spacing w:after="50" w:line="360" w:lineRule="auto" w:beforeLines="100"/>
        <w:ind w:left="0"/>
        <w:jc w:val="both"/>
      </w:pPr>
      <w:r>
        <w:rPr>
          <w:rFonts w:ascii="宋体" w:hAnsi="Times New Roman" w:eastAsia="宋体"/>
          <w:b w:val="false"/>
          <w:i w:val="false"/>
          <w:color w:val="000000"/>
          <w:sz w:val="33"/>
        </w:rPr>
        <w:t>湖北移动紧扣国家战略，率先在全省构建</w:t>
      </w:r>
      <w:r>
        <w:rPr>
          <w:rFonts w:ascii="宋体" w:hAnsi="Times New Roman" w:eastAsia="宋体"/>
          <w:b w:val="false"/>
          <w:i w:val="false"/>
          <w:color w:val="000000"/>
          <w:sz w:val="33"/>
        </w:rPr>
        <w:t>“通、智、超、量、天基、类脑”六算融通的算网存用一体化服务矩阵。依托自研”算网大脑“，实现异域、异属、异构算力融通共享与智能调度。推动多元异构算力业务互通，使算力成为如水电般即取即用的新质生产力，为湖北抢占数字经济高地提供强力支撑。</w:t>
      </w:r>
    </w:p>
    <w:bookmarkEnd w:id="172"/>
    <w:bookmarkStart w:name="u7fecc4c2" w:id="173"/>
    <w:p>
      <w:pPr>
        <w:spacing w:after="50" w:line="360" w:lineRule="auto" w:beforeLines="100"/>
        <w:ind w:left="0"/>
        <w:jc w:val="both"/>
      </w:pPr>
      <w:r>
        <w:rPr>
          <w:rFonts w:ascii="宋体" w:hAnsi="Times New Roman" w:eastAsia="宋体"/>
          <w:b/>
          <w:i w:val="false"/>
          <w:color w:val="000000"/>
          <w:sz w:val="33"/>
        </w:rPr>
        <w:t>（三）</w:t>
      </w:r>
      <w:r>
        <w:rPr>
          <w:rFonts w:ascii="宋体" w:hAnsi="Times New Roman" w:eastAsia="宋体"/>
          <w:b/>
          <w:i w:val="false"/>
          <w:color w:val="000000"/>
          <w:sz w:val="33"/>
        </w:rPr>
        <w:t>数据融汇</w:t>
      </w:r>
    </w:p>
    <w:bookmarkEnd w:id="173"/>
    <w:bookmarkStart w:name="uda8c471f" w:id="174"/>
    <w:p>
      <w:pPr>
        <w:spacing w:after="50" w:line="360" w:lineRule="auto" w:beforeLines="100"/>
        <w:ind w:left="0"/>
        <w:jc w:val="both"/>
      </w:pPr>
      <w:r>
        <w:rPr>
          <w:rFonts w:ascii="宋体" w:hAnsi="Times New Roman" w:eastAsia="宋体"/>
          <w:b w:val="false"/>
          <w:i w:val="false"/>
          <w:color w:val="000000"/>
          <w:sz w:val="33"/>
        </w:rPr>
        <w:t>发挥</w:t>
      </w:r>
      <w:r>
        <w:rPr>
          <w:rFonts w:ascii="宋体" w:hAnsi="Times New Roman" w:eastAsia="宋体"/>
          <w:b w:val="false"/>
          <w:i w:val="false"/>
          <w:color w:val="000000"/>
          <w:sz w:val="33"/>
        </w:rPr>
        <w:t>“连接+算力+能力”信息服务优势，打造数据流通基础设施—数联网（DSSN）。提供包括可信数据交付、公共数据授权运营、专业化数商服务，中国移动已与国内7家数据交易所达成战略合作，在武汉等8地落地，让数据供得出、流得动、用得好、保安全。</w:t>
      </w:r>
    </w:p>
    <w:bookmarkEnd w:id="174"/>
    <w:bookmarkStart w:name="ue74da5ef" w:id="175"/>
    <w:p>
      <w:pPr>
        <w:spacing w:after="50" w:line="360" w:lineRule="auto" w:beforeLines="100"/>
        <w:ind w:left="0"/>
        <w:jc w:val="both"/>
      </w:pPr>
      <w:r>
        <w:rPr>
          <w:rFonts w:ascii="宋体" w:hAnsi="Times New Roman" w:eastAsia="宋体"/>
          <w:b w:val="false"/>
          <w:i w:val="false"/>
          <w:color w:val="000000"/>
          <w:sz w:val="33"/>
        </w:rPr>
        <w:t>中国移动提供超大体量数据（日采集</w:t>
      </w:r>
      <w:r>
        <w:rPr>
          <w:rFonts w:ascii="宋体" w:hAnsi="Times New Roman" w:eastAsia="宋体"/>
          <w:b w:val="false"/>
          <w:i w:val="false"/>
          <w:color w:val="000000"/>
          <w:sz w:val="33"/>
        </w:rPr>
        <w:t>5.5PB，累计650+PB高价值数据，形成14万个标准数据资产、7600亿条数据...）、数据质量高、数据维度全、数据触点多，有效支撑湖北一体化数据市场、保障数据安全自由流动，形成协同联动、规模流通、高效利用、规范可信的数据流通利用公共服务体系，建成“汉数通”等代表性项目。</w:t>
      </w:r>
    </w:p>
    <w:bookmarkEnd w:id="175"/>
    <w:bookmarkStart w:name="ua6cac728" w:id="176"/>
    <w:p>
      <w:pPr>
        <w:spacing w:after="50" w:line="360" w:lineRule="auto" w:beforeLines="100"/>
        <w:ind w:left="0"/>
        <w:jc w:val="both"/>
      </w:pPr>
      <w:r>
        <w:rPr>
          <w:rFonts w:ascii="宋体" w:hAnsi="Times New Roman" w:eastAsia="宋体"/>
          <w:b w:val="false"/>
          <w:i w:val="false"/>
          <w:color w:val="000000"/>
          <w:sz w:val="33"/>
        </w:rPr>
        <w:t>梧桐系列大数据产品在各类场景中应用，文旅、反诈、应急等大大数据，实现数据要素的乘数效应，创造新产业新模式，培育发展新动能。</w:t>
      </w:r>
    </w:p>
    <w:bookmarkEnd w:id="176"/>
    <w:bookmarkStart w:name="u372b645c" w:id="177"/>
    <w:p>
      <w:pPr>
        <w:spacing w:after="50" w:line="360" w:lineRule="auto" w:beforeLines="100"/>
        <w:ind w:left="0"/>
        <w:jc w:val="both"/>
      </w:pPr>
      <w:r>
        <w:rPr>
          <w:rFonts w:ascii="宋体" w:hAnsi="Times New Roman" w:eastAsia="宋体"/>
          <w:b/>
          <w:i w:val="false"/>
          <w:color w:val="000000"/>
          <w:sz w:val="33"/>
        </w:rPr>
        <w:t>（三）模型融合</w:t>
      </w:r>
    </w:p>
    <w:bookmarkEnd w:id="177"/>
    <w:bookmarkStart w:name="u4ff7c879" w:id="178"/>
    <w:p>
      <w:pPr>
        <w:spacing w:after="50" w:line="360" w:lineRule="auto" w:beforeLines="100"/>
        <w:ind w:left="0"/>
        <w:jc w:val="both"/>
      </w:pPr>
      <w:r>
        <w:rPr>
          <w:rFonts w:ascii="宋体" w:hAnsi="Times New Roman" w:eastAsia="宋体"/>
          <w:b w:val="false"/>
          <w:i w:val="false"/>
          <w:color w:val="000000"/>
          <w:sz w:val="33"/>
        </w:rPr>
        <w:t>为破解大模型与产业智能体落地实践过程中的痛点，</w:t>
      </w:r>
      <w:r>
        <w:rPr>
          <w:rFonts w:ascii="宋体" w:hAnsi="Times New Roman" w:eastAsia="宋体"/>
          <w:b w:val="false"/>
          <w:i w:val="false"/>
          <w:color w:val="000000"/>
          <w:sz w:val="33"/>
        </w:rPr>
        <w:t>优化</w:t>
      </w:r>
      <w:r>
        <w:rPr>
          <w:rFonts w:ascii="宋体" w:hAnsi="Times New Roman" w:eastAsia="宋体"/>
          <w:b w:val="false"/>
          <w:i w:val="false"/>
          <w:color w:val="000000"/>
          <w:sz w:val="33"/>
        </w:rPr>
        <w:t>AI应用的实际成效，降低长期运营成本，中国移动于2025年7月正式发布MoMA白皮书， 定义领先的多模型及智能体体系化解决方案框架。实现生态能力汇聚、动态编排调度、API接口开放。</w:t>
      </w:r>
    </w:p>
    <w:bookmarkEnd w:id="178"/>
    <w:bookmarkStart w:name="u3570b814" w:id="179"/>
    <w:p>
      <w:pPr>
        <w:spacing w:after="50" w:line="360" w:lineRule="auto" w:beforeLines="100"/>
        <w:ind w:left="0"/>
        <w:jc w:val="both"/>
      </w:pPr>
      <w:r>
        <w:rPr>
          <w:rFonts w:ascii="宋体" w:hAnsi="Times New Roman" w:eastAsia="宋体"/>
          <w:b w:val="false"/>
          <w:i w:val="false"/>
          <w:color w:val="000000"/>
          <w:sz w:val="33"/>
        </w:rPr>
        <w:t>在水利行业，湖北移动联合长江水利委员会、三峡大学，依托九天</w:t>
      </w:r>
      <w:r>
        <w:rPr>
          <w:rFonts w:ascii="宋体" w:hAnsi="Times New Roman" w:eastAsia="宋体"/>
          <w:b w:val="false"/>
          <w:i w:val="false"/>
          <w:color w:val="000000"/>
          <w:sz w:val="33"/>
        </w:rPr>
        <w:t>+DeepSeeK基座大模型，结合湖北移动丰富的算网资源打造的水利大模型，涵盖水文情况、水质情况、防洪决策等多环节。目前已积累6万对问答对和4GB防洪调度专业数据集，防洪大模型形成CoT思维链，嵌入数字孪生水利平台协助防洪决策，并</w:t>
      </w:r>
      <w:r>
        <w:rPr>
          <w:rFonts w:ascii="宋体" w:hAnsi="Times New Roman" w:eastAsia="宋体"/>
          <w:b w:val="false"/>
          <w:i w:val="false"/>
          <w:color w:val="000000"/>
          <w:sz w:val="33"/>
        </w:rPr>
        <w:t>从长江流域逐步向全国六大流域委进行成果推广</w:t>
      </w:r>
      <w:r>
        <w:rPr>
          <w:rFonts w:ascii="宋体" w:hAnsi="Times New Roman" w:eastAsia="宋体"/>
          <w:b w:val="false"/>
          <w:i w:val="false"/>
          <w:color w:val="000000"/>
          <w:sz w:val="33"/>
        </w:rPr>
        <w:t>。</w:t>
      </w:r>
    </w:p>
    <w:bookmarkEnd w:id="179"/>
    <w:bookmarkStart w:name="uc5038be4" w:id="180"/>
    <w:p>
      <w:pPr>
        <w:spacing w:after="50" w:line="360" w:lineRule="auto" w:beforeLines="100"/>
        <w:ind w:left="0"/>
        <w:jc w:val="both"/>
      </w:pPr>
      <w:r>
        <w:rPr>
          <w:rFonts w:ascii="宋体" w:hAnsi="Times New Roman" w:eastAsia="宋体"/>
          <w:b w:val="false"/>
          <w:i w:val="false"/>
          <w:color w:val="000000"/>
          <w:sz w:val="33"/>
        </w:rPr>
        <w:t>在教育行业，湖北移动联合华中师范大学发布</w:t>
      </w:r>
      <w:r>
        <w:rPr>
          <w:rFonts w:ascii="宋体" w:hAnsi="Times New Roman" w:eastAsia="宋体"/>
          <w:b w:val="false"/>
          <w:i w:val="false"/>
          <w:color w:val="000000"/>
          <w:sz w:val="33"/>
        </w:rPr>
        <w:t>“盘龙”中小学数学教育智能体。依托多模态大语言模型技术，建设数学教学语料库，聚焦“教—学—练—测”关键环节，实现数学资源自动生成、学情智能诊断、个性化学习与教学辅助决策等功能，达到行业领先的数学解题水平。</w:t>
      </w:r>
    </w:p>
    <w:bookmarkEnd w:id="180"/>
    <w:bookmarkStart w:name="u6440419d" w:id="181"/>
    <w:p>
      <w:pPr>
        <w:spacing w:after="50" w:line="360" w:lineRule="auto" w:beforeLines="100"/>
        <w:ind w:left="0"/>
        <w:jc w:val="both"/>
      </w:pPr>
      <w:r>
        <w:rPr>
          <w:rFonts w:ascii="宋体" w:hAnsi="Times New Roman" w:eastAsia="宋体"/>
          <w:b w:val="false"/>
          <w:i w:val="false"/>
          <w:color w:val="000000"/>
          <w:sz w:val="33"/>
        </w:rPr>
        <w:t>在工业领域，中国移动携手华为等产业合作伙伴共同发布</w:t>
      </w:r>
      <w:r>
        <w:rPr>
          <w:rFonts w:ascii="宋体" w:hAnsi="Times New Roman" w:eastAsia="宋体"/>
          <w:b w:val="false"/>
          <w:i w:val="false"/>
          <w:color w:val="000000"/>
          <w:sz w:val="33"/>
        </w:rPr>
        <w:t>“工业专网智能体”，通过打造智能化的网络引擎，为工业制造、能源电力等行业提供算网智一体化能力，助力数字经济时代下智慧场景的高质量发展。</w:t>
      </w:r>
    </w:p>
    <w:bookmarkEnd w:id="181"/>
    <w:bookmarkStart w:name="u5d1f0869" w:id="182"/>
    <w:p>
      <w:pPr>
        <w:spacing w:after="50" w:line="360" w:lineRule="auto" w:beforeLines="100"/>
        <w:ind w:left="0"/>
        <w:jc w:val="both"/>
      </w:pPr>
      <w:r>
        <w:rPr>
          <w:rFonts w:ascii="宋体" w:hAnsi="Times New Roman" w:eastAsia="宋体"/>
          <w:b/>
          <w:i w:val="false"/>
          <w:color w:val="000000"/>
          <w:sz w:val="33"/>
        </w:rPr>
        <w:t>（四）算网存用一体化发展</w:t>
      </w:r>
    </w:p>
    <w:bookmarkEnd w:id="182"/>
    <w:bookmarkStart w:name="ua3fd4421" w:id="183"/>
    <w:p>
      <w:pPr>
        <w:spacing w:after="50" w:line="360" w:lineRule="auto" w:beforeLines="100"/>
        <w:ind w:left="0"/>
        <w:jc w:val="both"/>
      </w:pPr>
      <w:r>
        <w:rPr>
          <w:rFonts w:ascii="宋体" w:hAnsi="Times New Roman" w:eastAsia="宋体"/>
          <w:b/>
          <w:i w:val="false"/>
          <w:color w:val="000000"/>
          <w:sz w:val="33"/>
        </w:rPr>
        <w:t>算力互联互通：</w:t>
      </w:r>
      <w:r>
        <w:rPr>
          <w:rFonts w:ascii="宋体" w:hAnsi="Times New Roman" w:eastAsia="宋体"/>
          <w:b w:val="false"/>
          <w:i w:val="false"/>
          <w:color w:val="000000"/>
          <w:sz w:val="33"/>
        </w:rPr>
        <w:t>超前建设通算、智算、超算、量算、天基计算、类脑计算</w:t>
      </w:r>
      <w:r>
        <w:rPr>
          <w:rFonts w:ascii="宋体" w:hAnsi="Times New Roman" w:eastAsia="宋体"/>
          <w:b w:val="false"/>
          <w:i w:val="false"/>
          <w:color w:val="000000"/>
          <w:sz w:val="33"/>
        </w:rPr>
        <w:t>6类算力，一点接入，实现异构算力互联互通，毫秒入算，满足不同行业、不同场景的算力需求。</w:t>
      </w:r>
    </w:p>
    <w:bookmarkEnd w:id="183"/>
    <w:bookmarkStart w:name="ueed2a31b" w:id="184"/>
    <w:p>
      <w:pPr>
        <w:spacing w:after="50" w:line="360" w:lineRule="auto" w:beforeLines="100"/>
        <w:ind w:left="0"/>
        <w:jc w:val="both"/>
      </w:pPr>
      <w:r>
        <w:rPr>
          <w:rFonts w:ascii="宋体" w:hAnsi="Times New Roman" w:eastAsia="宋体"/>
          <w:b/>
          <w:i w:val="false"/>
          <w:color w:val="000000"/>
          <w:sz w:val="33"/>
        </w:rPr>
        <w:t>算网大脑调度：</w:t>
      </w:r>
      <w:r>
        <w:rPr>
          <w:rFonts w:ascii="宋体" w:hAnsi="Times New Roman" w:eastAsia="宋体"/>
          <w:b w:val="false"/>
          <w:i w:val="false"/>
          <w:color w:val="000000"/>
          <w:sz w:val="33"/>
        </w:rPr>
        <w:t>依托</w:t>
      </w:r>
      <w:r>
        <w:rPr>
          <w:rFonts w:ascii="宋体" w:hAnsi="Times New Roman" w:eastAsia="宋体"/>
          <w:b w:val="false"/>
          <w:i w:val="false"/>
          <w:color w:val="000000"/>
          <w:sz w:val="33"/>
        </w:rPr>
        <w:t>OTN全光网络等通信技术，建成省际骨干网400G OTN光传输承载网，全网部署OXC，全省算间业务全光交换一跳直达，构建高速、低时延的运力网络。依托自研“算网大脑”， 实现统一监测、智能调度，让算力“像水电一样”即取即用。</w:t>
      </w:r>
    </w:p>
    <w:bookmarkEnd w:id="184"/>
    <w:bookmarkStart w:name="u6db97b5a" w:id="185"/>
    <w:p>
      <w:pPr>
        <w:spacing w:after="50" w:line="360" w:lineRule="auto" w:beforeLines="100"/>
        <w:ind w:left="0"/>
        <w:jc w:val="both"/>
      </w:pPr>
      <w:r>
        <w:rPr>
          <w:rFonts w:ascii="宋体" w:hAnsi="Times New Roman" w:eastAsia="宋体"/>
          <w:b/>
          <w:i w:val="false"/>
          <w:color w:val="0070c0"/>
          <w:sz w:val="33"/>
        </w:rPr>
        <w:t>【湖北移动承担省级算力互联互通平台建设任务】</w:t>
      </w:r>
      <w:r>
        <w:rPr>
          <w:rFonts w:ascii="宋体" w:hAnsi="Times New Roman" w:eastAsia="宋体"/>
          <w:b w:val="false"/>
          <w:i w:val="false"/>
          <w:color w:val="000000"/>
          <w:sz w:val="33"/>
        </w:rPr>
        <w:t>：湖北算力互联互通平台通过对接全省算力中心，高质量整合全省算力资源，具有中立开放、智能高效的特点，旨在优化区域算力供需配置，提升省内算力应用水平。通过高水平建设全省算力资源</w:t>
      </w:r>
      <w:r>
        <w:rPr>
          <w:rFonts w:ascii="宋体" w:hAnsi="Times New Roman" w:eastAsia="宋体"/>
          <w:b w:val="false"/>
          <w:i w:val="false"/>
          <w:color w:val="000000"/>
          <w:sz w:val="33"/>
        </w:rPr>
        <w:t>“一张网”、算力调度“一盘棋”和算力服务“一枢纽”，着力打造一站式算力服务、加速培育算力产业链生态、全面融入全国算力统一大市场，盘活省内千亿级算力市场。平台建成后，以算力为抓手，通过构建算、数、产深度融合的服务体系，形成“以算育数、以数育产”的发展新格局，以“AI+”提升湖北产业发展能级，为湖北实现“51020”战略提供数智动能。</w:t>
      </w:r>
    </w:p>
    <w:bookmarkEnd w:id="185"/>
    <w:bookmarkStart w:name="u2449debd" w:id="186"/>
    <w:bookmarkEnd w:id="186"/>
    <w:bookmarkStart w:name="ua72ab0c7" w:id="187"/>
    <w:bookmarkEnd w:id="187"/>
    <w:bookmarkStart w:name="u3f3f9718" w:id="188"/>
    <w:p>
      <w:pPr>
        <w:spacing w:after="50" w:line="360" w:lineRule="auto" w:beforeLines="100"/>
        <w:ind w:left="0"/>
        <w:jc w:val="both"/>
      </w:pPr>
      <w:r>
        <w:rPr>
          <w:rFonts w:ascii="宋体" w:hAnsi="Times New Roman" w:eastAsia="宋体"/>
          <w:b w:val="false"/>
          <w:i w:val="false"/>
          <w:color w:val="000000"/>
          <w:sz w:val="33"/>
        </w:rPr>
        <w:t>通过打造六算融通、数据融汇、模型融合的算力、运力、存力一体化发展的新质生产力创新平台，湖北移动将为湖北省数智经济发展注入强劲动能，助力湖北加快建成中部地区崛起的重要战略支点。</w:t>
      </w:r>
    </w:p>
    <w:bookmarkEnd w:id="188"/>
    <w:bookmarkStart w:name="u230eb324" w:id="189"/>
    <w:bookmarkEnd w:id="189"/>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