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600" w:lineRule="exact"/>
        <w:ind w:firstLine="0" w:firstLineChars="0"/>
        <w:jc w:val="distribute"/>
        <w:rPr>
          <w:rFonts w:hint="eastAsia" w:ascii="方正小标宋简体" w:hAnsi="华文中宋" w:eastAsia="方正小标宋简体" w:cs="Times New Roman"/>
          <w:color w:val="FF0000"/>
          <w:spacing w:val="-24"/>
          <w:w w:val="70"/>
          <w:sz w:val="56"/>
          <w:szCs w:val="56"/>
          <w:highlight w:val="none"/>
          <w:u w:val="none"/>
        </w:rPr>
      </w:pPr>
      <w:r>
        <w:rPr>
          <w:rFonts w:hint="eastAsia" w:ascii="方正小标宋简体" w:hAnsi="华文中宋" w:eastAsia="方正小标宋简体" w:cs="Times New Roman"/>
          <w:color w:val="FF0000"/>
          <w:spacing w:val="-24"/>
          <w:w w:val="70"/>
          <w:sz w:val="56"/>
          <w:szCs w:val="56"/>
          <w:highlight w:val="none"/>
          <w:u w:val="none"/>
        </w:rPr>
        <w:t>中国移动通信集团湖北有限公司</w:t>
      </w:r>
    </w:p>
    <w:p>
      <w:pPr>
        <w:pageBreakBefore w:val="0"/>
        <w:kinsoku/>
        <w:wordWrap/>
        <w:overflowPunct/>
        <w:topLinePunct w:val="0"/>
        <w:autoSpaceDN/>
        <w:bidi w:val="0"/>
        <w:adjustRightInd/>
        <w:snapToGrid/>
        <w:spacing w:line="600" w:lineRule="exact"/>
        <w:jc w:val="left"/>
        <w:textAlignment w:val="auto"/>
        <w:rPr>
          <w:rFonts w:ascii="仿宋_GB2312" w:eastAsia="仿宋_GB2312"/>
          <w:sz w:val="32"/>
          <w:szCs w:val="32"/>
          <w:highlight w:val="none"/>
          <w:u w:val="none"/>
        </w:rPr>
      </w:pPr>
      <w:r>
        <w:rPr>
          <w:szCs w:val="24"/>
          <w:highlight w:val="none"/>
          <w:u w:val="none"/>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76200</wp:posOffset>
                </wp:positionV>
                <wp:extent cx="5615940" cy="0"/>
                <wp:effectExtent l="0" t="9525" r="10160" b="15875"/>
                <wp:wrapNone/>
                <wp:docPr id="1" name="直线 40"/>
                <wp:cNvGraphicFramePr/>
                <a:graphic xmlns:a="http://schemas.openxmlformats.org/drawingml/2006/main">
                  <a:graphicData uri="http://schemas.microsoft.com/office/word/2010/wordprocessingShape">
                    <wps:wsp>
                      <wps:cNvCnPr/>
                      <wps:spPr>
                        <a:xfrm>
                          <a:off x="0" y="0"/>
                          <a:ext cx="5615940" cy="0"/>
                        </a:xfrm>
                        <a:prstGeom prst="line">
                          <a:avLst/>
                        </a:prstGeom>
                        <a:ln w="19050" cap="flat" cmpd="sng">
                          <a:solidFill>
                            <a:srgbClr val="FF0000"/>
                          </a:solidFill>
                          <a:prstDash val="solid"/>
                          <a:headEnd type="none" w="med" len="med"/>
                          <a:tailEnd type="none" w="med" len="med"/>
                        </a:ln>
                      </wps:spPr>
                      <wps:bodyPr/>
                    </wps:wsp>
                  </a:graphicData>
                </a:graphic>
              </wp:anchor>
            </w:drawing>
          </mc:Choice>
          <mc:Fallback>
            <w:pict>
              <v:line id="直线 40" o:spid="_x0000_s1026" o:spt="20" style="position:absolute;left:0pt;margin-left:0pt;margin-top:6pt;height:0pt;width:442.2pt;z-index:251659264;mso-width-relative:page;mso-height-relative:page;" filled="f" stroked="t" coordsize="21600,21600" o:gfxdata="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h6THktUAAAAGAQAADwAA&#10;AAAAAAABACAAAAAiAAAAZHJzL2Rvd25yZXYueG1sUEsBAhQAFAAAAAgAh07iQNYP6urgAQAA0QMA&#10;AA4AAAAAAAAAAQAgAAAAJAEAAGRycy9lMm9Eb2MueG1sUEsFBgAAAAAGAAYAWQEAAHYFAAAAAA==&#10;">
                <v:fill on="f" focussize="0,0"/>
                <v:stroke weight="1.5pt" color="#FF0000" joinstyle="round"/>
                <v:imagedata o:title=""/>
                <o:lock v:ext="edit" aspectratio="f"/>
              </v:line>
            </w:pict>
          </mc:Fallback>
        </mc:AlternateContent>
      </w:r>
    </w:p>
    <w:p>
      <w:pPr>
        <w:keepNext w:val="0"/>
        <w:keepLines w:val="0"/>
        <w:pageBreakBefore w:val="0"/>
        <w:widowControl w:val="0"/>
        <w:kinsoku/>
        <w:wordWrap/>
        <w:overflowPunct/>
        <w:topLinePunct w:val="0"/>
        <w:autoSpaceDE/>
        <w:autoSpaceDN/>
        <w:bidi w:val="0"/>
        <w:adjustRightInd/>
        <w:snapToGrid/>
        <w:spacing w:line="600" w:lineRule="exact"/>
        <w:ind w:firstLine="0" w:firstLineChars="0"/>
        <w:jc w:val="center"/>
        <w:textAlignment w:val="auto"/>
        <w:rPr>
          <w:rFonts w:hint="default" w:ascii="方正小标宋简体" w:hAnsi="华文中宋" w:eastAsia="方正小标宋简体"/>
          <w:sz w:val="44"/>
          <w:szCs w:val="44"/>
          <w:highlight w:val="none"/>
          <w:u w:val="none"/>
          <w:lang w:val="en-US" w:eastAsia="zh-CN"/>
        </w:rPr>
      </w:pPr>
      <w:r>
        <w:rPr>
          <w:rFonts w:hint="eastAsia" w:ascii="方正小标宋简体" w:hAnsi="华文中宋" w:eastAsia="方正小标宋简体"/>
          <w:sz w:val="44"/>
          <w:szCs w:val="44"/>
          <w:highlight w:val="none"/>
          <w:u w:val="none"/>
          <w:lang w:val="en-US" w:eastAsia="zh-CN"/>
        </w:rPr>
        <w:t>湖北移动关于落实中国移动与省政府战略合作协议加快推进支点建设的报告</w:t>
      </w:r>
    </w:p>
    <w:p>
      <w:pPr>
        <w:pageBreakBefore w:val="0"/>
        <w:kinsoku/>
        <w:wordWrap/>
        <w:overflowPunct/>
        <w:topLinePunct w:val="0"/>
        <w:autoSpaceDN/>
        <w:bidi w:val="0"/>
        <w:adjustRightInd/>
        <w:snapToGrid/>
        <w:spacing w:line="600" w:lineRule="exact"/>
        <w:textAlignment w:val="auto"/>
        <w:rPr>
          <w:rFonts w:hint="default" w:ascii="Times New Roman" w:hAnsi="Times New Roman" w:eastAsia="仿宋_GB2312" w:cs="Times New Roman"/>
          <w:b/>
          <w:bCs/>
          <w:sz w:val="32"/>
          <w:szCs w:val="32"/>
          <w:highlight w:val="none"/>
          <w:u w:val="none"/>
        </w:rPr>
      </w:pPr>
    </w:p>
    <w:p>
      <w:pPr>
        <w:pageBreakBefore w:val="0"/>
        <w:kinsoku/>
        <w:wordWrap/>
        <w:overflowPunct/>
        <w:topLinePunct w:val="0"/>
        <w:autoSpaceDN/>
        <w:bidi w:val="0"/>
        <w:adjustRightInd/>
        <w:snapToGrid/>
        <w:spacing w:line="600" w:lineRule="exact"/>
        <w:ind w:left="0" w:leftChars="0" w:firstLine="0" w:firstLineChars="0"/>
        <w:textAlignment w:val="auto"/>
        <w:rPr>
          <w:rFonts w:hint="default" w:ascii="Times New Roman" w:hAnsi="Times New Roman" w:eastAsia="仿宋_GB2312" w:cs="Times New Roman"/>
          <w:b w:val="0"/>
          <w:bCs w:val="0"/>
          <w:sz w:val="32"/>
          <w:szCs w:val="32"/>
          <w:highlight w:val="none"/>
          <w:u w:val="none"/>
        </w:rPr>
      </w:pPr>
      <w:r>
        <w:rPr>
          <w:rFonts w:hint="default" w:ascii="Times New Roman" w:hAnsi="Times New Roman" w:eastAsia="仿宋_GB2312" w:cs="Times New Roman"/>
          <w:b w:val="0"/>
          <w:bCs w:val="0"/>
          <w:sz w:val="32"/>
          <w:szCs w:val="32"/>
          <w:highlight w:val="none"/>
          <w:u w:val="none"/>
        </w:rPr>
        <w:t>尊敬的</w:t>
      </w:r>
      <w:r>
        <w:rPr>
          <w:rFonts w:hint="eastAsia" w:eastAsia="仿宋_GB2312" w:cs="Times New Roman"/>
          <w:b w:val="0"/>
          <w:bCs w:val="0"/>
          <w:sz w:val="32"/>
          <w:szCs w:val="32"/>
          <w:highlight w:val="none"/>
          <w:u w:val="none"/>
          <w:lang w:val="en-US" w:eastAsia="zh-CN"/>
        </w:rPr>
        <w:t>张省长</w:t>
      </w:r>
      <w:r>
        <w:rPr>
          <w:rFonts w:hint="default" w:ascii="Times New Roman" w:hAnsi="Times New Roman" w:eastAsia="仿宋_GB2312" w:cs="Times New Roman"/>
          <w:b w:val="0"/>
          <w:bCs w:val="0"/>
          <w:sz w:val="32"/>
          <w:szCs w:val="32"/>
          <w:highlight w:val="none"/>
          <w:u w:val="none"/>
        </w:rPr>
        <w:t>：</w:t>
      </w:r>
    </w:p>
    <w:p>
      <w:pPr>
        <w:pageBreakBefore w:val="0"/>
        <w:kinsoku/>
        <w:wordWrap/>
        <w:overflowPunct/>
        <w:topLinePunct w:val="0"/>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highlight w:val="none"/>
          <w:u w:val="none"/>
          <w:lang w:val="en-US" w:eastAsia="zh-CN"/>
        </w:rPr>
      </w:pPr>
      <w:r>
        <w:rPr>
          <w:rFonts w:hint="eastAsia" w:eastAsia="仿宋_GB2312" w:cs="Times New Roman"/>
          <w:sz w:val="32"/>
          <w:szCs w:val="32"/>
          <w:highlight w:val="none"/>
          <w:u w:val="none"/>
          <w:lang w:val="en-US" w:eastAsia="zh-CN"/>
        </w:rPr>
        <w:t>感谢您长期以来对</w:t>
      </w:r>
      <w:bookmarkStart w:id="0" w:name="_GoBack"/>
      <w:bookmarkEnd w:id="0"/>
      <w:r>
        <w:rPr>
          <w:rFonts w:hint="eastAsia" w:eastAsia="仿宋_GB2312" w:cs="Times New Roman"/>
          <w:sz w:val="32"/>
          <w:szCs w:val="32"/>
          <w:highlight w:val="none"/>
          <w:u w:val="none"/>
          <w:lang w:val="en-US" w:eastAsia="zh-CN"/>
        </w:rPr>
        <w:t>湖北移动的关心和支持！</w:t>
      </w:r>
    </w:p>
    <w:p>
      <w:pPr>
        <w:pageBreakBefore w:val="0"/>
        <w:kinsoku/>
        <w:wordWrap/>
        <w:overflowPunct/>
        <w:topLinePunct w:val="0"/>
        <w:autoSpaceDN/>
        <w:bidi w:val="0"/>
        <w:adjustRightInd/>
        <w:snapToGrid/>
        <w:spacing w:line="600" w:lineRule="exact"/>
        <w:ind w:firstLine="640" w:firstLineChars="200"/>
        <w:textAlignment w:val="auto"/>
        <w:rPr>
          <w:rFonts w:hint="eastAsia" w:ascii="Times New Roman" w:hAnsi="Times New Roman" w:eastAsia="仿宋_GB2312" w:cs="Times New Roman"/>
          <w:sz w:val="32"/>
          <w:szCs w:val="32"/>
          <w:highlight w:val="none"/>
          <w:u w:val="none"/>
          <w:lang w:val="en-US" w:eastAsia="zh-CN"/>
        </w:rPr>
      </w:pPr>
      <w:r>
        <w:rPr>
          <w:rFonts w:hint="eastAsia" w:ascii="Times New Roman" w:hAnsi="Times New Roman" w:eastAsia="仿宋_GB2312" w:cs="Times New Roman"/>
          <w:sz w:val="32"/>
          <w:szCs w:val="32"/>
          <w:highlight w:val="none"/>
          <w:u w:val="none"/>
          <w:lang w:val="en-US" w:eastAsia="zh-CN"/>
        </w:rPr>
        <w:t>2025年在</w:t>
      </w:r>
      <w:r>
        <w:rPr>
          <w:rFonts w:hint="eastAsia" w:eastAsia="仿宋_GB2312" w:cs="Times New Roman"/>
          <w:sz w:val="32"/>
          <w:szCs w:val="32"/>
          <w:highlight w:val="none"/>
          <w:u w:val="none"/>
          <w:lang w:val="en-US" w:eastAsia="zh-CN"/>
        </w:rPr>
        <w:t>省</w:t>
      </w:r>
      <w:r>
        <w:rPr>
          <w:rFonts w:hint="eastAsia" w:ascii="Times New Roman" w:hAnsi="Times New Roman" w:eastAsia="仿宋_GB2312" w:cs="Times New Roman"/>
          <w:sz w:val="32"/>
          <w:szCs w:val="32"/>
          <w:highlight w:val="none"/>
          <w:u w:val="none"/>
          <w:lang w:val="en-US" w:eastAsia="zh-CN"/>
        </w:rPr>
        <w:t>委、</w:t>
      </w:r>
      <w:r>
        <w:rPr>
          <w:rFonts w:hint="eastAsia" w:eastAsia="仿宋_GB2312" w:cs="Times New Roman"/>
          <w:sz w:val="32"/>
          <w:szCs w:val="32"/>
          <w:highlight w:val="none"/>
          <w:u w:val="none"/>
          <w:lang w:val="en-US" w:eastAsia="zh-CN"/>
        </w:rPr>
        <w:t>省</w:t>
      </w:r>
      <w:r>
        <w:rPr>
          <w:rFonts w:hint="eastAsia" w:ascii="Times New Roman" w:hAnsi="Times New Roman" w:eastAsia="仿宋_GB2312" w:cs="Times New Roman"/>
          <w:sz w:val="32"/>
          <w:szCs w:val="32"/>
          <w:highlight w:val="none"/>
          <w:u w:val="none"/>
          <w:lang w:val="en-US" w:eastAsia="zh-CN"/>
        </w:rPr>
        <w:t>政府的坚强领导下，</w:t>
      </w:r>
      <w:r>
        <w:rPr>
          <w:rFonts w:hint="eastAsia" w:eastAsia="仿宋_GB2312" w:cs="Times New Roman"/>
          <w:sz w:val="32"/>
          <w:szCs w:val="32"/>
          <w:highlight w:val="none"/>
          <w:u w:val="none"/>
          <w:lang w:val="en-US" w:eastAsia="zh-CN"/>
        </w:rPr>
        <w:t>湖北省</w:t>
      </w:r>
      <w:r>
        <w:rPr>
          <w:rFonts w:hint="eastAsia" w:ascii="Times New Roman" w:hAnsi="Times New Roman" w:eastAsia="仿宋_GB2312" w:cs="Times New Roman"/>
          <w:sz w:val="32"/>
          <w:szCs w:val="32"/>
          <w:highlight w:val="none"/>
          <w:u w:val="none"/>
          <w:lang w:val="en-US" w:eastAsia="zh-CN"/>
        </w:rPr>
        <w:t>经济发展蓬勃向上，GDP增速居经济大省和中部地区前列；科技创新聚势赋能，</w:t>
      </w:r>
      <w:r>
        <w:rPr>
          <w:rFonts w:hint="eastAsia" w:eastAsia="仿宋_GB2312" w:cs="Times New Roman"/>
          <w:sz w:val="32"/>
          <w:szCs w:val="32"/>
          <w:highlight w:val="none"/>
          <w:u w:val="none"/>
          <w:lang w:val="en-US" w:eastAsia="zh-CN"/>
        </w:rPr>
        <w:t>湖北省</w:t>
      </w:r>
      <w:r>
        <w:rPr>
          <w:rFonts w:hint="eastAsia" w:ascii="Times New Roman" w:hAnsi="Times New Roman" w:eastAsia="仿宋_GB2312" w:cs="Times New Roman"/>
          <w:sz w:val="32"/>
          <w:szCs w:val="32"/>
          <w:highlight w:val="none"/>
          <w:u w:val="none"/>
        </w:rPr>
        <w:t>区域综合科技创新水平指数排名全国前列、中部第一</w:t>
      </w:r>
      <w:r>
        <w:rPr>
          <w:rFonts w:hint="eastAsia" w:ascii="Times New Roman" w:hAnsi="Times New Roman" w:eastAsia="仿宋_GB2312" w:cs="Times New Roman"/>
          <w:sz w:val="32"/>
          <w:szCs w:val="32"/>
          <w:highlight w:val="none"/>
          <w:u w:val="none"/>
          <w:lang w:eastAsia="zh-CN"/>
        </w:rPr>
        <w:t>；</w:t>
      </w:r>
      <w:r>
        <w:rPr>
          <w:rFonts w:hint="eastAsia" w:ascii="Times New Roman" w:hAnsi="Times New Roman" w:eastAsia="仿宋_GB2312" w:cs="Times New Roman"/>
          <w:sz w:val="32"/>
          <w:szCs w:val="32"/>
          <w:highlight w:val="none"/>
          <w:u w:val="none"/>
        </w:rPr>
        <w:t>产业转型成势见效</w:t>
      </w:r>
      <w:r>
        <w:rPr>
          <w:rFonts w:hint="eastAsia" w:ascii="Times New Roman" w:hAnsi="Times New Roman" w:eastAsia="仿宋_GB2312" w:cs="Times New Roman"/>
          <w:sz w:val="32"/>
          <w:szCs w:val="32"/>
          <w:highlight w:val="none"/>
          <w:u w:val="none"/>
          <w:lang w:eastAsia="zh-CN"/>
        </w:rPr>
        <w:t>，全省高质量发展动能澎湃；</w:t>
      </w:r>
      <w:r>
        <w:rPr>
          <w:rFonts w:hint="eastAsia" w:ascii="Times New Roman" w:hAnsi="Times New Roman" w:cs="Times New Roman"/>
          <w:sz w:val="32"/>
          <w:szCs w:val="32"/>
          <w:highlight w:val="none"/>
          <w:u w:val="none"/>
          <w:lang w:val="en-US" w:eastAsia="zh-CN"/>
        </w:rPr>
        <w:t>城乡发展</w:t>
      </w:r>
      <w:r>
        <w:rPr>
          <w:rFonts w:hint="eastAsia" w:ascii="Times New Roman" w:hAnsi="Times New Roman" w:eastAsia="仿宋_GB2312" w:cs="Times New Roman"/>
          <w:sz w:val="32"/>
          <w:szCs w:val="32"/>
          <w:highlight w:val="none"/>
          <w:u w:val="none"/>
          <w:lang w:val="en-US" w:eastAsia="zh-CN"/>
        </w:rPr>
        <w:t>日新月异</w:t>
      </w:r>
      <w:r>
        <w:rPr>
          <w:rFonts w:hint="eastAsia" w:ascii="Times New Roman" w:hAnsi="Times New Roman" w:cs="Times New Roman"/>
          <w:sz w:val="32"/>
          <w:szCs w:val="32"/>
          <w:highlight w:val="none"/>
          <w:u w:val="none"/>
          <w:lang w:val="en-US" w:eastAsia="zh-CN"/>
        </w:rPr>
        <w:t>，城乡均衡发展和区域优势互补的发展格局加速形成</w:t>
      </w:r>
      <w:r>
        <w:rPr>
          <w:rFonts w:hint="eastAsia" w:ascii="Times New Roman" w:hAnsi="Times New Roman" w:eastAsia="仿宋_GB2312" w:cs="Times New Roman"/>
          <w:sz w:val="32"/>
          <w:szCs w:val="32"/>
          <w:highlight w:val="none"/>
          <w:u w:val="none"/>
          <w:lang w:val="en-US" w:eastAsia="zh-CN"/>
        </w:rPr>
        <w:t>。作为属地央企，有幸参与、助力</w:t>
      </w:r>
      <w:r>
        <w:rPr>
          <w:rFonts w:hint="eastAsia" w:cs="Times New Roman"/>
          <w:sz w:val="32"/>
          <w:szCs w:val="32"/>
          <w:highlight w:val="none"/>
          <w:u w:val="none"/>
          <w:lang w:val="en-US" w:eastAsia="zh-CN"/>
        </w:rPr>
        <w:t>并</w:t>
      </w:r>
      <w:r>
        <w:rPr>
          <w:rFonts w:hint="eastAsia" w:ascii="Times New Roman" w:hAnsi="Times New Roman" w:eastAsia="仿宋_GB2312" w:cs="Times New Roman"/>
          <w:sz w:val="32"/>
          <w:szCs w:val="32"/>
          <w:highlight w:val="none"/>
          <w:u w:val="none"/>
          <w:lang w:val="en-US" w:eastAsia="zh-CN"/>
        </w:rPr>
        <w:t>见证中国式现代化</w:t>
      </w:r>
      <w:r>
        <w:rPr>
          <w:rFonts w:hint="eastAsia" w:eastAsia="仿宋_GB2312" w:cs="Times New Roman"/>
          <w:sz w:val="32"/>
          <w:szCs w:val="32"/>
          <w:highlight w:val="none"/>
          <w:u w:val="none"/>
          <w:lang w:val="en-US" w:eastAsia="zh-CN"/>
        </w:rPr>
        <w:t>湖北</w:t>
      </w:r>
      <w:r>
        <w:rPr>
          <w:rFonts w:hint="eastAsia" w:ascii="Times New Roman" w:hAnsi="Times New Roman" w:eastAsia="仿宋_GB2312" w:cs="Times New Roman"/>
          <w:sz w:val="32"/>
          <w:szCs w:val="32"/>
          <w:highlight w:val="none"/>
          <w:u w:val="none"/>
          <w:lang w:val="en-US" w:eastAsia="zh-CN"/>
        </w:rPr>
        <w:t>篇章取得显著成效，我们备受鼓舞、无比振奋！</w:t>
      </w:r>
    </w:p>
    <w:p>
      <w:pPr>
        <w:pageBreakBefore w:val="0"/>
        <w:kinsoku/>
        <w:wordWrap/>
        <w:overflowPunct/>
        <w:topLinePunct w:val="0"/>
        <w:autoSpaceDN/>
        <w:bidi w:val="0"/>
        <w:adjustRightInd/>
        <w:snapToGrid/>
        <w:spacing w:line="600" w:lineRule="exact"/>
        <w:ind w:firstLine="640" w:firstLineChars="200"/>
        <w:textAlignment w:val="auto"/>
        <w:rPr>
          <w:rFonts w:hint="eastAsia" w:ascii="Times New Roman" w:hAnsi="Times New Roman" w:eastAsia="仿宋_GB2312" w:cs="Times New Roman"/>
          <w:sz w:val="32"/>
          <w:szCs w:val="32"/>
          <w:highlight w:val="none"/>
          <w:u w:val="none"/>
          <w:lang w:val="en-US" w:eastAsia="zh-CN"/>
        </w:rPr>
      </w:pPr>
      <w:r>
        <w:rPr>
          <w:rFonts w:hint="eastAsia" w:ascii="Times New Roman" w:hAnsi="Times New Roman" w:eastAsia="仿宋_GB2312" w:cs="Times New Roman"/>
          <w:sz w:val="32"/>
          <w:szCs w:val="32"/>
          <w:highlight w:val="none"/>
          <w:u w:val="none"/>
          <w:lang w:val="en-US" w:eastAsia="zh-CN"/>
        </w:rPr>
        <w:t>2024年湖北移动积极促成中国移动通信集团与省政府达成新一轮战略合作，大力推动战略协议落地做实。</w:t>
      </w:r>
      <w:r>
        <w:rPr>
          <w:rFonts w:hint="eastAsia" w:eastAsia="仿宋_GB2312" w:cs="Times New Roman"/>
          <w:sz w:val="32"/>
          <w:szCs w:val="32"/>
          <w:highlight w:val="none"/>
          <w:u w:val="none"/>
          <w:lang w:val="en-US" w:eastAsia="zh-CN"/>
        </w:rPr>
        <w:t>在省委</w:t>
      </w:r>
      <w:r>
        <w:rPr>
          <w:rFonts w:hint="eastAsia" w:cs="Times New Roman"/>
          <w:sz w:val="32"/>
          <w:szCs w:val="32"/>
          <w:highlight w:val="none"/>
          <w:u w:val="none"/>
          <w:lang w:val="en-US" w:eastAsia="zh-CN"/>
        </w:rPr>
        <w:t>省政府</w:t>
      </w:r>
      <w:r>
        <w:rPr>
          <w:rFonts w:hint="eastAsia" w:eastAsia="仿宋_GB2312" w:cs="Times New Roman"/>
          <w:sz w:val="32"/>
          <w:szCs w:val="32"/>
          <w:highlight w:val="none"/>
          <w:u w:val="none"/>
          <w:lang w:val="en-US" w:eastAsia="zh-CN"/>
        </w:rPr>
        <w:t>的指导与支持下，湖北移动</w:t>
      </w:r>
      <w:r>
        <w:rPr>
          <w:rFonts w:hint="eastAsia" w:ascii="Times New Roman" w:hAnsi="Times New Roman" w:eastAsia="仿宋_GB2312" w:cs="Times New Roman"/>
          <w:sz w:val="32"/>
          <w:szCs w:val="32"/>
          <w:highlight w:val="none"/>
          <w:u w:val="none"/>
          <w:lang w:val="en-US" w:eastAsia="zh-CN"/>
        </w:rPr>
        <w:t>聚焦新型基础设施建设、科技创新</w:t>
      </w:r>
      <w:r>
        <w:rPr>
          <w:rFonts w:hint="eastAsia" w:ascii="Times New Roman" w:hAnsi="Times New Roman" w:cs="Times New Roman"/>
          <w:sz w:val="32"/>
          <w:szCs w:val="32"/>
          <w:highlight w:val="none"/>
          <w:u w:val="none"/>
          <w:lang w:val="en-US" w:eastAsia="zh-CN"/>
        </w:rPr>
        <w:t>、产业升级</w:t>
      </w:r>
      <w:r>
        <w:rPr>
          <w:rFonts w:hint="eastAsia" w:ascii="Times New Roman" w:hAnsi="Times New Roman" w:eastAsia="仿宋_GB2312" w:cs="Times New Roman"/>
          <w:sz w:val="32"/>
          <w:szCs w:val="32"/>
          <w:highlight w:val="none"/>
          <w:u w:val="none"/>
          <w:lang w:val="en-US" w:eastAsia="zh-CN"/>
        </w:rPr>
        <w:t>等领域，不断打造新质生产力。现将近期重点工作完成情况和</w:t>
      </w:r>
      <w:r>
        <w:rPr>
          <w:rFonts w:hint="eastAsia" w:cs="Times New Roman"/>
          <w:sz w:val="32"/>
          <w:szCs w:val="32"/>
          <w:highlight w:val="none"/>
          <w:u w:val="none"/>
          <w:lang w:val="en-US" w:eastAsia="zh-CN"/>
        </w:rPr>
        <w:t>下一步</w:t>
      </w:r>
      <w:r>
        <w:rPr>
          <w:rFonts w:hint="eastAsia" w:ascii="Times New Roman" w:hAnsi="Times New Roman" w:eastAsia="仿宋_GB2312" w:cs="Times New Roman"/>
          <w:sz w:val="32"/>
          <w:szCs w:val="32"/>
          <w:highlight w:val="none"/>
          <w:u w:val="none"/>
          <w:lang w:val="en-US" w:eastAsia="zh-CN"/>
        </w:rPr>
        <w:t>重点工作汇报如下：</w:t>
      </w:r>
    </w:p>
    <w:p>
      <w:pPr>
        <w:keepNext w:val="0"/>
        <w:keepLines w:val="0"/>
        <w:pageBreakBefore w:val="0"/>
        <w:widowControl w:val="0"/>
        <w:kinsoku/>
        <w:wordWrap/>
        <w:overflowPunct/>
        <w:topLinePunct w:val="0"/>
        <w:autoSpaceDN/>
        <w:bidi w:val="0"/>
        <w:adjustRightInd/>
        <w:snapToGrid/>
        <w:spacing w:line="600" w:lineRule="exact"/>
        <w:ind w:firstLine="720" w:firstLineChars="200"/>
        <w:textAlignment w:val="auto"/>
        <w:rPr>
          <w:rFonts w:hint="eastAsia" w:ascii="Times New Roman" w:hAnsi="Times New Roman" w:eastAsia="黑体" w:cs="黑体"/>
          <w:sz w:val="36"/>
          <w:szCs w:val="36"/>
          <w:highlight w:val="none"/>
          <w:u w:val="none" w:color="E5B8B7"/>
          <w:lang w:val="en-US" w:eastAsia="zh-CN"/>
        </w:rPr>
      </w:pPr>
      <w:r>
        <w:rPr>
          <w:rFonts w:hint="eastAsia" w:ascii="Times New Roman" w:hAnsi="Times New Roman" w:eastAsia="黑体" w:cs="黑体"/>
          <w:sz w:val="36"/>
          <w:szCs w:val="36"/>
          <w:highlight w:val="none"/>
          <w:u w:val="none" w:color="E5B8B7"/>
          <w:lang w:val="en-US" w:eastAsia="zh-CN"/>
        </w:rPr>
        <w:t>一、近期重点工作完成情况</w:t>
      </w:r>
    </w:p>
    <w:p>
      <w:pPr>
        <w:pageBreakBefore w:val="0"/>
        <w:kinsoku/>
        <w:wordWrap/>
        <w:overflowPunct/>
        <w:topLinePunct w:val="0"/>
        <w:autoSpaceDN/>
        <w:bidi w:val="0"/>
        <w:adjustRightInd/>
        <w:snapToGrid/>
        <w:spacing w:line="600" w:lineRule="exact"/>
        <w:ind w:firstLine="640" w:firstLineChars="200"/>
        <w:textAlignment w:val="auto"/>
        <w:rPr>
          <w:rFonts w:hint="eastAsia" w:eastAsia="仿宋_GB2312" w:cs="Times New Roman"/>
          <w:sz w:val="32"/>
          <w:szCs w:val="32"/>
          <w:highlight w:val="none"/>
          <w:u w:val="none"/>
          <w:lang w:val="en-US" w:eastAsia="zh-CN"/>
        </w:rPr>
      </w:pPr>
      <w:r>
        <w:rPr>
          <w:rFonts w:hint="eastAsia" w:ascii="Times New Roman" w:hAnsi="Times New Roman" w:eastAsia="仿宋_GB2312" w:cs="Times New Roman"/>
          <w:sz w:val="32"/>
          <w:szCs w:val="32"/>
          <w:highlight w:val="none"/>
          <w:u w:val="none"/>
          <w:lang w:val="en-US" w:eastAsia="zh-CN"/>
        </w:rPr>
        <w:t>2025年</w:t>
      </w:r>
      <w:r>
        <w:rPr>
          <w:rFonts w:hint="eastAsia" w:eastAsia="仿宋_GB2312" w:cs="Times New Roman"/>
          <w:sz w:val="32"/>
          <w:szCs w:val="32"/>
          <w:highlight w:val="none"/>
          <w:u w:val="none"/>
          <w:lang w:val="en-US" w:eastAsia="zh-CN"/>
        </w:rPr>
        <w:t>，湖北移动坚定贯彻中央部署，</w:t>
      </w:r>
      <w:r>
        <w:rPr>
          <w:rFonts w:hint="eastAsia" w:cs="Times New Roman"/>
          <w:sz w:val="32"/>
          <w:szCs w:val="32"/>
          <w:highlight w:val="none"/>
          <w:u w:val="none"/>
          <w:lang w:val="en-US" w:eastAsia="zh-CN"/>
        </w:rPr>
        <w:t>落实省委省政府要求</w:t>
      </w:r>
      <w:r>
        <w:rPr>
          <w:rFonts w:hint="eastAsia" w:eastAsia="仿宋_GB2312" w:cs="Times New Roman"/>
          <w:sz w:val="32"/>
          <w:szCs w:val="32"/>
          <w:highlight w:val="none"/>
          <w:u w:val="none"/>
          <w:lang w:val="en-US" w:eastAsia="zh-CN"/>
        </w:rPr>
        <w:t>，勇担网络强国、数字中国建设“主力军”，当好服务区域发展“子弟兵”，经营发展态势</w:t>
      </w:r>
      <w:r>
        <w:rPr>
          <w:rFonts w:hint="eastAsia" w:cs="Times New Roman"/>
          <w:sz w:val="32"/>
          <w:szCs w:val="32"/>
          <w:highlight w:val="none"/>
          <w:u w:val="none"/>
          <w:lang w:val="en-US" w:eastAsia="zh-CN"/>
        </w:rPr>
        <w:t>持续向好</w:t>
      </w:r>
      <w:r>
        <w:rPr>
          <w:rFonts w:hint="eastAsia" w:eastAsia="仿宋_GB2312" w:cs="Times New Roman"/>
          <w:sz w:val="32"/>
          <w:szCs w:val="32"/>
          <w:highlight w:val="none"/>
          <w:u w:val="none"/>
          <w:lang w:val="en-US" w:eastAsia="zh-CN"/>
        </w:rPr>
        <w:t>。</w:t>
      </w:r>
      <w:r>
        <w:rPr>
          <w:rFonts w:hint="default" w:ascii="Times New Roman" w:hAnsi="Times New Roman" w:eastAsia="仿宋_GB2312" w:cs="Times New Roman"/>
          <w:sz w:val="32"/>
          <w:szCs w:val="32"/>
          <w:highlight w:val="none"/>
          <w:u w:val="none"/>
        </w:rPr>
        <w:t>全年营收超273亿元，</w:t>
      </w:r>
      <w:r>
        <w:rPr>
          <w:rFonts w:hint="eastAsia" w:eastAsia="仿宋_GB2312" w:cs="Times New Roman"/>
          <w:sz w:val="32"/>
          <w:szCs w:val="32"/>
          <w:highlight w:val="none"/>
          <w:u w:val="none"/>
          <w:lang w:val="en-US" w:eastAsia="zh-CN"/>
        </w:rPr>
        <w:t>收入、用户、投资、网络、先进算力等五个方面规模</w:t>
      </w:r>
      <w:r>
        <w:rPr>
          <w:rFonts w:hint="eastAsia" w:cs="Times New Roman"/>
          <w:sz w:val="32"/>
          <w:szCs w:val="32"/>
          <w:highlight w:val="none"/>
          <w:u w:val="none"/>
          <w:lang w:val="en-US" w:eastAsia="zh-CN"/>
        </w:rPr>
        <w:t>均居</w:t>
      </w:r>
      <w:r>
        <w:rPr>
          <w:rFonts w:hint="eastAsia" w:eastAsia="仿宋_GB2312" w:cs="Times New Roman"/>
          <w:sz w:val="32"/>
          <w:szCs w:val="32"/>
          <w:highlight w:val="none"/>
          <w:u w:val="none"/>
          <w:lang w:val="en-US" w:eastAsia="zh-CN"/>
        </w:rPr>
        <w:t>行业领先。</w:t>
      </w:r>
    </w:p>
    <w:p>
      <w:pPr>
        <w:pageBreakBefore w:val="0"/>
        <w:kinsoku/>
        <w:wordWrap/>
        <w:overflowPunct/>
        <w:topLinePunct w:val="0"/>
        <w:autoSpaceDN/>
        <w:bidi w:val="0"/>
        <w:adjustRightInd/>
        <w:snapToGrid/>
        <w:spacing w:line="600" w:lineRule="exact"/>
        <w:ind w:firstLine="643" w:firstLineChars="200"/>
        <w:textAlignment w:val="auto"/>
        <w:rPr>
          <w:rFonts w:hint="eastAsia" w:eastAsia="仿宋_GB2312" w:cs="Times New Roman"/>
          <w:sz w:val="32"/>
          <w:szCs w:val="32"/>
          <w:highlight w:val="none"/>
          <w:u w:val="none"/>
          <w:lang w:val="en-US" w:eastAsia="zh-CN"/>
        </w:rPr>
      </w:pPr>
      <w:r>
        <w:rPr>
          <w:rFonts w:hint="eastAsia" w:eastAsia="仿宋_GB2312" w:cs="Times New Roman"/>
          <w:b/>
          <w:bCs/>
          <w:sz w:val="32"/>
          <w:szCs w:val="32"/>
          <w:highlight w:val="none"/>
          <w:u w:val="none"/>
          <w:lang w:val="en-US" w:eastAsia="zh-CN"/>
        </w:rPr>
        <w:t>一是加强投资硬支撑。</w:t>
      </w:r>
      <w:r>
        <w:rPr>
          <w:rFonts w:hint="eastAsia" w:eastAsia="仿宋_GB2312" w:cs="Times New Roman"/>
          <w:sz w:val="32"/>
          <w:szCs w:val="32"/>
          <w:highlight w:val="none"/>
          <w:u w:val="none"/>
          <w:lang w:val="en-US" w:eastAsia="zh-CN"/>
        </w:rPr>
        <w:t>“十</w:t>
      </w:r>
      <w:r>
        <w:rPr>
          <w:rFonts w:hint="eastAsia" w:cs="Times New Roman"/>
          <w:sz w:val="32"/>
          <w:szCs w:val="32"/>
          <w:highlight w:val="none"/>
          <w:u w:val="none"/>
          <w:lang w:val="en-US" w:eastAsia="zh-CN"/>
        </w:rPr>
        <w:t>四</w:t>
      </w:r>
      <w:r>
        <w:rPr>
          <w:rFonts w:hint="eastAsia" w:eastAsia="仿宋_GB2312" w:cs="Times New Roman"/>
          <w:sz w:val="32"/>
          <w:szCs w:val="32"/>
          <w:highlight w:val="none"/>
          <w:u w:val="none"/>
          <w:lang w:val="en-US" w:eastAsia="zh-CN"/>
        </w:rPr>
        <w:t>五”期间累计在</w:t>
      </w:r>
      <w:r>
        <w:rPr>
          <w:rFonts w:hint="eastAsia" w:cs="Times New Roman"/>
          <w:sz w:val="32"/>
          <w:szCs w:val="32"/>
          <w:highlight w:val="none"/>
          <w:u w:val="none"/>
          <w:lang w:val="en-US" w:eastAsia="zh-CN"/>
        </w:rPr>
        <w:t>鄂</w:t>
      </w:r>
      <w:r>
        <w:rPr>
          <w:rFonts w:hint="eastAsia" w:eastAsia="仿宋_GB2312" w:cs="Times New Roman"/>
          <w:sz w:val="32"/>
          <w:szCs w:val="32"/>
          <w:highlight w:val="none"/>
          <w:u w:val="none"/>
          <w:lang w:val="en-US" w:eastAsia="zh-CN"/>
        </w:rPr>
        <w:t>投资</w:t>
      </w:r>
      <w:r>
        <w:rPr>
          <w:rFonts w:hint="eastAsia" w:cs="Times New Roman"/>
          <w:sz w:val="32"/>
          <w:szCs w:val="32"/>
          <w:highlight w:val="none"/>
          <w:u w:val="none"/>
          <w:lang w:val="en-US" w:eastAsia="zh-CN"/>
        </w:rPr>
        <w:t>297亿</w:t>
      </w:r>
      <w:r>
        <w:rPr>
          <w:rFonts w:hint="eastAsia" w:eastAsia="仿宋_GB2312" w:cs="Times New Roman"/>
          <w:sz w:val="32"/>
          <w:szCs w:val="32"/>
          <w:highlight w:val="none"/>
          <w:u w:val="none"/>
          <w:lang w:val="en-US" w:eastAsia="zh-CN"/>
        </w:rPr>
        <w:t>元，税收贡献超</w:t>
      </w:r>
      <w:r>
        <w:rPr>
          <w:rFonts w:hint="eastAsia" w:cs="Times New Roman"/>
          <w:sz w:val="32"/>
          <w:szCs w:val="32"/>
          <w:highlight w:val="none"/>
          <w:u w:val="none"/>
          <w:lang w:val="en-US" w:eastAsia="zh-CN"/>
        </w:rPr>
        <w:t>85</w:t>
      </w:r>
      <w:r>
        <w:rPr>
          <w:rFonts w:hint="eastAsia" w:eastAsia="仿宋_GB2312" w:cs="Times New Roman"/>
          <w:sz w:val="32"/>
          <w:szCs w:val="32"/>
          <w:highlight w:val="none"/>
          <w:u w:val="none"/>
          <w:lang w:val="en-US" w:eastAsia="zh-CN"/>
        </w:rPr>
        <w:t>亿元。2025年新基建投资50亿元（投资规模、网络规模行业占比超50%）。</w:t>
      </w:r>
      <w:r>
        <w:rPr>
          <w:rFonts w:hint="eastAsia" w:eastAsia="仿宋_GB2312" w:cs="Times New Roman"/>
          <w:b w:val="0"/>
          <w:bCs w:val="0"/>
          <w:sz w:val="32"/>
          <w:szCs w:val="32"/>
          <w:highlight w:val="none"/>
          <w:u w:val="none"/>
          <w:lang w:val="en-US" w:eastAsia="zh-CN"/>
        </w:rPr>
        <w:t>全力推进算网一体，服务人工智能创新应用先导区建设。</w:t>
      </w:r>
      <w:r>
        <w:rPr>
          <w:rFonts w:hint="eastAsia" w:eastAsia="仿宋_GB2312" w:cs="Times New Roman"/>
          <w:sz w:val="32"/>
          <w:szCs w:val="32"/>
          <w:highlight w:val="none"/>
          <w:u w:val="none"/>
          <w:lang w:val="en-US" w:eastAsia="zh-CN"/>
        </w:rPr>
        <w:t>投资近16亿元建设中国移动智算中心（武汉），物理机架1.1万架，通算能力20.7万vCPU，投产智能算力2588P，完成2.7万</w:t>
      </w:r>
      <w:r>
        <w:rPr>
          <w:rFonts w:hint="eastAsia" w:cs="Times New Roman"/>
          <w:sz w:val="32"/>
          <w:szCs w:val="32"/>
          <w:highlight w:val="none"/>
          <w:u w:val="none"/>
          <w:lang w:val="en-US" w:eastAsia="zh-CN"/>
        </w:rPr>
        <w:t>张</w:t>
      </w:r>
      <w:r>
        <w:rPr>
          <w:rFonts w:hint="eastAsia" w:eastAsia="仿宋_GB2312" w:cs="Times New Roman"/>
          <w:sz w:val="32"/>
          <w:szCs w:val="32"/>
          <w:highlight w:val="none"/>
          <w:u w:val="none"/>
          <w:lang w:val="en-US" w:eastAsia="zh-CN"/>
        </w:rPr>
        <w:t>GPU卡液冷机房改造。在全国率先完成400G全光网建设。“云枢”算力调度平台落地应用，助力东风汽车集团实现超1000公里跨省算力调度，双向时延仅20毫秒。大力提升网络质量，服务打造一流营商环境。累计在</w:t>
      </w:r>
      <w:r>
        <w:rPr>
          <w:rFonts w:hint="eastAsia" w:cs="Times New Roman"/>
          <w:sz w:val="32"/>
          <w:szCs w:val="32"/>
          <w:highlight w:val="none"/>
          <w:u w:val="none"/>
          <w:lang w:val="en-US" w:eastAsia="zh-CN"/>
        </w:rPr>
        <w:t>鄂</w:t>
      </w:r>
      <w:r>
        <w:rPr>
          <w:rFonts w:hint="eastAsia" w:eastAsia="仿宋_GB2312" w:cs="Times New Roman"/>
          <w:sz w:val="32"/>
          <w:szCs w:val="32"/>
          <w:highlight w:val="none"/>
          <w:u w:val="none"/>
          <w:lang w:val="en-US" w:eastAsia="zh-CN"/>
        </w:rPr>
        <w:t>建成5G基站</w:t>
      </w:r>
      <w:r>
        <w:rPr>
          <w:rFonts w:hint="eastAsia" w:cs="Times New Roman"/>
          <w:sz w:val="32"/>
          <w:szCs w:val="32"/>
          <w:highlight w:val="none"/>
          <w:u w:val="none"/>
          <w:lang w:val="en-US" w:eastAsia="zh-CN"/>
        </w:rPr>
        <w:t>10.2</w:t>
      </w:r>
      <w:r>
        <w:rPr>
          <w:rFonts w:hint="eastAsia" w:eastAsia="仿宋_GB2312" w:cs="Times New Roman"/>
          <w:sz w:val="32"/>
          <w:szCs w:val="32"/>
          <w:highlight w:val="none"/>
          <w:u w:val="none"/>
          <w:lang w:val="en-US" w:eastAsia="zh-CN"/>
        </w:rPr>
        <w:t>万个、5G-A基站超8000个，基站规模行业占比超</w:t>
      </w:r>
      <w:r>
        <w:rPr>
          <w:rFonts w:hint="eastAsia" w:cs="Times New Roman"/>
          <w:sz w:val="32"/>
          <w:szCs w:val="32"/>
          <w:highlight w:val="none"/>
          <w:u w:val="none"/>
          <w:lang w:val="en-US" w:eastAsia="zh-CN"/>
        </w:rPr>
        <w:t>5</w:t>
      </w:r>
      <w:r>
        <w:rPr>
          <w:rFonts w:hint="eastAsia" w:eastAsia="仿宋_GB2312" w:cs="Times New Roman"/>
          <w:sz w:val="32"/>
          <w:szCs w:val="32"/>
          <w:highlight w:val="none"/>
          <w:u w:val="none"/>
          <w:lang w:val="en-US" w:eastAsia="zh-CN"/>
        </w:rPr>
        <w:t>0%</w:t>
      </w:r>
      <w:r>
        <w:rPr>
          <w:rFonts w:hint="eastAsia" w:cs="Times New Roman"/>
          <w:sz w:val="32"/>
          <w:szCs w:val="32"/>
          <w:highlight w:val="none"/>
          <w:u w:val="none"/>
          <w:lang w:val="en-US" w:eastAsia="zh-CN"/>
        </w:rPr>
        <w:t>，</w:t>
      </w:r>
      <w:r>
        <w:rPr>
          <w:rFonts w:hint="eastAsia"/>
          <w:sz w:val="32"/>
          <w:szCs w:val="32"/>
          <w:lang w:val="en-US" w:eastAsia="zh-CN"/>
        </w:rPr>
        <w:t>高速、高铁、机场4/5G综合覆盖率100%，</w:t>
      </w:r>
      <w:r>
        <w:rPr>
          <w:rFonts w:hint="eastAsia" w:cs="Times New Roman"/>
          <w:sz w:val="32"/>
          <w:szCs w:val="32"/>
          <w:highlight w:val="none"/>
          <w:u w:val="none"/>
          <w:lang w:val="en-US" w:eastAsia="zh-CN"/>
        </w:rPr>
        <w:t>牵头6省2市建设“长江新链”，长江干线航道2838公里沿线5G全覆盖</w:t>
      </w:r>
      <w:r>
        <w:rPr>
          <w:rFonts w:hint="eastAsia" w:eastAsia="仿宋_GB2312" w:cs="Times New Roman"/>
          <w:sz w:val="32"/>
          <w:szCs w:val="32"/>
          <w:highlight w:val="none"/>
          <w:u w:val="none"/>
          <w:lang w:val="en-US" w:eastAsia="zh-CN"/>
        </w:rPr>
        <w:t>。筹措专项资金5亿元，</w:t>
      </w:r>
      <w:r>
        <w:rPr>
          <w:rFonts w:hint="eastAsia"/>
          <w:sz w:val="32"/>
          <w:szCs w:val="32"/>
        </w:rPr>
        <w:t>大力推进双A（5G-A×AI）建设</w:t>
      </w:r>
      <w:r>
        <w:rPr>
          <w:rFonts w:hint="eastAsia" w:eastAsia="仿宋_GB2312" w:cs="Times New Roman"/>
          <w:sz w:val="32"/>
          <w:szCs w:val="32"/>
          <w:highlight w:val="none"/>
          <w:u w:val="none"/>
          <w:lang w:val="en-US" w:eastAsia="zh-CN"/>
        </w:rPr>
        <w:t>。武汉移动在2025年工信部重点区域移动网络质量专项测评中排名第五（22个超大特大城市共66个运营商），物联网专项评测第七。率先完成全国首个超大规模RedCap商用部署，完成全国首批最大规模5G-A智能基站试商用验证，荣获GTI全球年度“创新技术突破奖”。</w:t>
      </w:r>
    </w:p>
    <w:p>
      <w:pPr>
        <w:pageBreakBefore w:val="0"/>
        <w:kinsoku/>
        <w:wordWrap/>
        <w:overflowPunct/>
        <w:topLinePunct w:val="0"/>
        <w:autoSpaceDN/>
        <w:bidi w:val="0"/>
        <w:adjustRightInd/>
        <w:snapToGrid/>
        <w:spacing w:line="600" w:lineRule="exact"/>
        <w:ind w:firstLine="643" w:firstLineChars="200"/>
        <w:textAlignment w:val="auto"/>
        <w:rPr>
          <w:rFonts w:hint="default" w:eastAsia="仿宋_GB2312" w:cs="Times New Roman"/>
          <w:sz w:val="32"/>
          <w:szCs w:val="32"/>
          <w:highlight w:val="none"/>
          <w:u w:val="none"/>
          <w:lang w:val="en-US" w:eastAsia="zh-CN"/>
        </w:rPr>
      </w:pPr>
      <w:r>
        <w:rPr>
          <w:rFonts w:hint="default" w:eastAsia="仿宋_GB2312" w:cs="Times New Roman"/>
          <w:b/>
          <w:bCs/>
          <w:sz w:val="32"/>
          <w:szCs w:val="32"/>
          <w:highlight w:val="none"/>
          <w:u w:val="none"/>
          <w:lang w:val="en-US" w:eastAsia="zh-CN"/>
        </w:rPr>
        <w:t>二是激发消费强引擎。</w:t>
      </w:r>
      <w:r>
        <w:rPr>
          <w:rFonts w:hint="default" w:eastAsia="仿宋_GB2312" w:cs="Times New Roman"/>
          <w:sz w:val="32"/>
          <w:szCs w:val="32"/>
          <w:highlight w:val="none"/>
          <w:u w:val="none"/>
          <w:lang w:val="en-US" w:eastAsia="zh-CN"/>
        </w:rPr>
        <w:t>助力</w:t>
      </w:r>
      <w:r>
        <w:rPr>
          <w:rFonts w:hint="eastAsia" w:cs="Times New Roman"/>
          <w:sz w:val="32"/>
          <w:szCs w:val="32"/>
          <w:highlight w:val="none"/>
          <w:u w:val="none"/>
          <w:lang w:val="en-US" w:eastAsia="zh-CN"/>
        </w:rPr>
        <w:t>“</w:t>
      </w:r>
      <w:r>
        <w:rPr>
          <w:rFonts w:hint="default" w:eastAsia="仿宋_GB2312" w:cs="Times New Roman"/>
          <w:sz w:val="32"/>
          <w:szCs w:val="32"/>
          <w:highlight w:val="none"/>
          <w:u w:val="none"/>
          <w:lang w:val="en-US" w:eastAsia="zh-CN"/>
        </w:rPr>
        <w:t>两重</w:t>
      </w:r>
      <w:r>
        <w:rPr>
          <w:rFonts w:hint="eastAsia" w:cs="Times New Roman"/>
          <w:sz w:val="32"/>
          <w:szCs w:val="32"/>
          <w:highlight w:val="none"/>
          <w:u w:val="none"/>
          <w:lang w:val="en-US" w:eastAsia="zh-CN"/>
        </w:rPr>
        <w:t>”“</w:t>
      </w:r>
      <w:r>
        <w:rPr>
          <w:rFonts w:hint="default" w:eastAsia="仿宋_GB2312" w:cs="Times New Roman"/>
          <w:sz w:val="32"/>
          <w:szCs w:val="32"/>
          <w:highlight w:val="none"/>
          <w:u w:val="none"/>
          <w:lang w:val="en-US" w:eastAsia="zh-CN"/>
        </w:rPr>
        <w:t>两新</w:t>
      </w:r>
      <w:r>
        <w:rPr>
          <w:rFonts w:hint="eastAsia" w:cs="Times New Roman"/>
          <w:sz w:val="32"/>
          <w:szCs w:val="32"/>
          <w:highlight w:val="none"/>
          <w:u w:val="none"/>
          <w:lang w:val="en-US" w:eastAsia="zh-CN"/>
        </w:rPr>
        <w:t>”</w:t>
      </w:r>
      <w:r>
        <w:rPr>
          <w:rFonts w:hint="default" w:eastAsia="仿宋_GB2312" w:cs="Times New Roman"/>
          <w:sz w:val="32"/>
          <w:szCs w:val="32"/>
          <w:highlight w:val="none"/>
          <w:u w:val="none"/>
          <w:lang w:val="en-US" w:eastAsia="zh-CN"/>
        </w:rPr>
        <w:t>政策落地。在汉投放专项营销资源5000万元，带动5G终端销量超15.5万台。加强AI手机、云电脑和全屋智能解决方案供给，带动千兆+智能组网新增31.3万户，拉动消费超亿元。助力培育消费新场景、新业态。通过推广5G新通话、云手机等创新产品，落地</w:t>
      </w:r>
      <w:r>
        <w:rPr>
          <w:rFonts w:hint="eastAsia" w:cs="Times New Roman"/>
          <w:sz w:val="32"/>
          <w:szCs w:val="32"/>
          <w:highlight w:val="none"/>
          <w:u w:val="none"/>
          <w:lang w:val="en-US" w:eastAsia="zh-CN"/>
        </w:rPr>
        <w:t>“</w:t>
      </w:r>
      <w:r>
        <w:rPr>
          <w:rFonts w:hint="default" w:eastAsia="仿宋_GB2312" w:cs="Times New Roman"/>
          <w:sz w:val="32"/>
          <w:szCs w:val="32"/>
          <w:highlight w:val="none"/>
          <w:u w:val="none"/>
          <w:lang w:val="en-US" w:eastAsia="zh-CN"/>
        </w:rPr>
        <w:t>5G+</w:t>
      </w:r>
      <w:r>
        <w:rPr>
          <w:rFonts w:hint="eastAsia" w:cs="Times New Roman"/>
          <w:sz w:val="32"/>
          <w:szCs w:val="32"/>
          <w:highlight w:val="none"/>
          <w:u w:val="none"/>
          <w:lang w:val="en-US" w:eastAsia="zh-CN"/>
        </w:rPr>
        <w:t>”“</w:t>
      </w:r>
      <w:r>
        <w:rPr>
          <w:rFonts w:hint="default" w:eastAsia="仿宋_GB2312" w:cs="Times New Roman"/>
          <w:sz w:val="32"/>
          <w:szCs w:val="32"/>
          <w:highlight w:val="none"/>
          <w:u w:val="none"/>
          <w:lang w:val="en-US" w:eastAsia="zh-CN"/>
        </w:rPr>
        <w:t>AI+</w:t>
      </w:r>
      <w:r>
        <w:rPr>
          <w:rFonts w:hint="eastAsia" w:cs="Times New Roman"/>
          <w:sz w:val="32"/>
          <w:szCs w:val="32"/>
          <w:highlight w:val="none"/>
          <w:u w:val="none"/>
          <w:lang w:val="en-US" w:eastAsia="zh-CN"/>
        </w:rPr>
        <w:t>”</w:t>
      </w:r>
      <w:r>
        <w:rPr>
          <w:rFonts w:hint="default" w:eastAsia="仿宋_GB2312" w:cs="Times New Roman"/>
          <w:sz w:val="32"/>
          <w:szCs w:val="32"/>
          <w:highlight w:val="none"/>
          <w:u w:val="none"/>
          <w:lang w:val="en-US" w:eastAsia="zh-CN"/>
        </w:rPr>
        <w:t>项目超过186个，拓展人形机器人、视联网等新兴业态。围绕银发经济、文旅经济、赛事经济等新业态，创新打造</w:t>
      </w:r>
      <w:r>
        <w:rPr>
          <w:rFonts w:hint="eastAsia" w:cs="Times New Roman"/>
          <w:sz w:val="32"/>
          <w:szCs w:val="32"/>
          <w:highlight w:val="none"/>
          <w:u w:val="none"/>
          <w:lang w:val="en-US" w:eastAsia="zh-CN"/>
        </w:rPr>
        <w:t>“</w:t>
      </w:r>
      <w:r>
        <w:rPr>
          <w:rFonts w:hint="default" w:eastAsia="仿宋_GB2312" w:cs="Times New Roman"/>
          <w:sz w:val="32"/>
          <w:szCs w:val="32"/>
          <w:highlight w:val="none"/>
          <w:u w:val="none"/>
          <w:lang w:val="en-US" w:eastAsia="zh-CN"/>
        </w:rPr>
        <w:t>娱乐+消费</w:t>
      </w:r>
      <w:r>
        <w:rPr>
          <w:rFonts w:hint="eastAsia" w:cs="Times New Roman"/>
          <w:sz w:val="32"/>
          <w:szCs w:val="32"/>
          <w:highlight w:val="none"/>
          <w:u w:val="none"/>
          <w:lang w:val="en-US" w:eastAsia="zh-CN"/>
        </w:rPr>
        <w:t>”“</w:t>
      </w:r>
      <w:r>
        <w:rPr>
          <w:rFonts w:hint="default" w:eastAsia="仿宋_GB2312" w:cs="Times New Roman"/>
          <w:sz w:val="32"/>
          <w:szCs w:val="32"/>
          <w:highlight w:val="none"/>
          <w:u w:val="none"/>
          <w:lang w:val="en-US" w:eastAsia="zh-CN"/>
        </w:rPr>
        <w:t>旅游+消费</w:t>
      </w:r>
      <w:r>
        <w:rPr>
          <w:rFonts w:hint="eastAsia" w:cs="Times New Roman"/>
          <w:sz w:val="32"/>
          <w:szCs w:val="32"/>
          <w:highlight w:val="none"/>
          <w:u w:val="none"/>
          <w:lang w:val="en-US" w:eastAsia="zh-CN"/>
        </w:rPr>
        <w:t>”</w:t>
      </w:r>
      <w:r>
        <w:rPr>
          <w:rFonts w:hint="default" w:eastAsia="仿宋_GB2312" w:cs="Times New Roman"/>
          <w:sz w:val="32"/>
          <w:szCs w:val="32"/>
          <w:highlight w:val="none"/>
          <w:u w:val="none"/>
          <w:lang w:val="en-US" w:eastAsia="zh-CN"/>
        </w:rPr>
        <w:t>等数十个融合场景：基于智慧社区、数字乡村平台打造康养村及社区1000余个，在农村地区集中配备的20万台智慧康养设备</w:t>
      </w:r>
      <w:r>
        <w:rPr>
          <w:rFonts w:hint="eastAsia" w:cs="Times New Roman"/>
          <w:sz w:val="32"/>
          <w:szCs w:val="32"/>
          <w:highlight w:val="none"/>
          <w:u w:val="none"/>
          <w:lang w:val="en-US" w:eastAsia="zh-CN"/>
        </w:rPr>
        <w:t>，已服务老人超35万户；</w:t>
      </w:r>
      <w:r>
        <w:rPr>
          <w:rFonts w:hint="default" w:eastAsia="仿宋_GB2312" w:cs="Times New Roman"/>
          <w:sz w:val="32"/>
          <w:szCs w:val="32"/>
          <w:highlight w:val="none"/>
          <w:u w:val="none"/>
          <w:lang w:val="en-US" w:eastAsia="zh-CN"/>
        </w:rPr>
        <w:t>在十堰武当山部署5G-A基站支撑无人机VR观光；将武汉国际博览中心打造为全省首个具备5G-A端到端能力的智慧场馆。强化5G-A+AI双擎保障，为2025年城市足球超级联赛打造观赛新体验。</w:t>
      </w:r>
    </w:p>
    <w:p>
      <w:pPr>
        <w:pageBreakBefore w:val="0"/>
        <w:kinsoku/>
        <w:wordWrap/>
        <w:overflowPunct/>
        <w:topLinePunct w:val="0"/>
        <w:autoSpaceDN/>
        <w:bidi w:val="0"/>
        <w:adjustRightInd/>
        <w:snapToGrid/>
        <w:spacing w:line="600" w:lineRule="exact"/>
        <w:ind w:firstLine="643" w:firstLineChars="200"/>
        <w:textAlignment w:val="auto"/>
        <w:rPr>
          <w:rFonts w:hint="default" w:eastAsia="仿宋_GB2312" w:cs="Times New Roman"/>
          <w:sz w:val="32"/>
          <w:szCs w:val="32"/>
          <w:highlight w:val="none"/>
          <w:u w:val="none"/>
          <w:lang w:val="en-US" w:eastAsia="zh-CN"/>
        </w:rPr>
      </w:pPr>
      <w:r>
        <w:rPr>
          <w:rFonts w:hint="default" w:eastAsia="仿宋_GB2312" w:cs="Times New Roman"/>
          <w:b/>
          <w:bCs/>
          <w:sz w:val="32"/>
          <w:szCs w:val="32"/>
          <w:highlight w:val="none"/>
          <w:u w:val="none"/>
          <w:lang w:val="en-US" w:eastAsia="zh-CN"/>
        </w:rPr>
        <w:t>三是科技创新增动能。</w:t>
      </w:r>
      <w:r>
        <w:rPr>
          <w:rFonts w:hint="default" w:eastAsia="仿宋_GB2312" w:cs="Times New Roman"/>
          <w:sz w:val="32"/>
          <w:szCs w:val="32"/>
          <w:highlight w:val="none"/>
          <w:u w:val="none"/>
          <w:lang w:val="en-US" w:eastAsia="zh-CN"/>
        </w:rPr>
        <w:t>全年投入研发资金4.4亿元。积极响应科技招商，助力国家科技创新中心建设。牵引集团在鄂投资人工智能、量子计算等四大类11家企业。中国移动大模型产业创新基地（集团4个）、工业和水利大模型研发基地（集团唯一）、5G-A创新示范基地（集团7个）、低空经济创新基地（集团10个）落地武汉。汇聚创新链。建设省级新一代移动通信（6G/B6G）湖北工程研究中心、水利水电工程研究中心、武汉市智能网联汽车产业联合创新实验室等研发载体，牵引中国移动参股企业来</w:t>
      </w:r>
      <w:r>
        <w:rPr>
          <w:rFonts w:hint="eastAsia" w:cs="Times New Roman"/>
          <w:sz w:val="32"/>
          <w:szCs w:val="32"/>
          <w:highlight w:val="none"/>
          <w:u w:val="none"/>
          <w:lang w:val="en-US" w:eastAsia="zh-CN"/>
        </w:rPr>
        <w:t>鄂</w:t>
      </w:r>
      <w:r>
        <w:rPr>
          <w:rFonts w:hint="default" w:eastAsia="仿宋_GB2312" w:cs="Times New Roman"/>
          <w:sz w:val="32"/>
          <w:szCs w:val="32"/>
          <w:highlight w:val="none"/>
          <w:u w:val="none"/>
          <w:lang w:val="en-US" w:eastAsia="zh-CN"/>
        </w:rPr>
        <w:t>、投</w:t>
      </w:r>
      <w:r>
        <w:rPr>
          <w:rFonts w:hint="eastAsia" w:cs="Times New Roman"/>
          <w:sz w:val="32"/>
          <w:szCs w:val="32"/>
          <w:highlight w:val="none"/>
          <w:u w:val="none"/>
          <w:lang w:val="en-US" w:eastAsia="zh-CN"/>
        </w:rPr>
        <w:t>鄂</w:t>
      </w:r>
      <w:r>
        <w:rPr>
          <w:rFonts w:hint="default" w:eastAsia="仿宋_GB2312" w:cs="Times New Roman"/>
          <w:sz w:val="32"/>
          <w:szCs w:val="32"/>
          <w:highlight w:val="none"/>
          <w:u w:val="none"/>
          <w:lang w:val="en-US" w:eastAsia="zh-CN"/>
        </w:rPr>
        <w:t>、兴</w:t>
      </w:r>
      <w:r>
        <w:rPr>
          <w:rFonts w:hint="eastAsia" w:cs="Times New Roman"/>
          <w:sz w:val="32"/>
          <w:szCs w:val="32"/>
          <w:highlight w:val="none"/>
          <w:u w:val="none"/>
          <w:lang w:val="en-US" w:eastAsia="zh-CN"/>
        </w:rPr>
        <w:t>鄂</w:t>
      </w:r>
      <w:r>
        <w:rPr>
          <w:rFonts w:hint="default" w:eastAsia="仿宋_GB2312" w:cs="Times New Roman"/>
          <w:sz w:val="32"/>
          <w:szCs w:val="32"/>
          <w:highlight w:val="none"/>
          <w:u w:val="none"/>
          <w:lang w:val="en-US" w:eastAsia="zh-CN"/>
        </w:rPr>
        <w:t>。带动产业链。推动中国移动集团独家投资湖北省量子技术产业链“链主”企业中科酷原，交付国内首台原子量子计算机。与武创院合作共建未来信息技术创新中心，为高校院所、科技企业提供资金、平台、成果引入支持，加速产业资源集聚。畅通价值链。依托在汉1400家线下触点、700家上下游合作伙伴，带动武汉造“光芯屏端网”等设备销售超10亿元</w:t>
      </w:r>
      <w:r>
        <w:rPr>
          <w:rFonts w:hint="eastAsia" w:cs="Times New Roman"/>
          <w:sz w:val="32"/>
          <w:szCs w:val="32"/>
          <w:highlight w:val="none"/>
          <w:u w:val="none"/>
          <w:lang w:val="en-US" w:eastAsia="zh-CN"/>
        </w:rPr>
        <w:t>，助力湖北数字产业集群发展</w:t>
      </w:r>
      <w:r>
        <w:rPr>
          <w:rFonts w:hint="default" w:eastAsia="仿宋_GB2312" w:cs="Times New Roman"/>
          <w:sz w:val="32"/>
          <w:szCs w:val="32"/>
          <w:highlight w:val="none"/>
          <w:u w:val="none"/>
          <w:lang w:val="en-US" w:eastAsia="zh-CN"/>
        </w:rPr>
        <w:t>。</w:t>
      </w:r>
    </w:p>
    <w:p>
      <w:pPr>
        <w:pageBreakBefore w:val="0"/>
        <w:kinsoku/>
        <w:wordWrap/>
        <w:overflowPunct/>
        <w:topLinePunct w:val="0"/>
        <w:autoSpaceDN/>
        <w:bidi w:val="0"/>
        <w:adjustRightInd/>
        <w:snapToGrid/>
        <w:spacing w:line="600" w:lineRule="exact"/>
        <w:ind w:firstLine="643" w:firstLineChars="200"/>
        <w:textAlignment w:val="auto"/>
        <w:rPr>
          <w:rFonts w:hint="default" w:eastAsia="仿宋_GB2312" w:cs="Times New Roman"/>
          <w:sz w:val="32"/>
          <w:szCs w:val="32"/>
          <w:highlight w:val="none"/>
          <w:u w:val="none"/>
          <w:lang w:val="en-US" w:eastAsia="zh-CN"/>
        </w:rPr>
      </w:pPr>
      <w:r>
        <w:rPr>
          <w:rFonts w:hint="default" w:eastAsia="仿宋_GB2312" w:cs="Times New Roman"/>
          <w:b/>
          <w:bCs/>
          <w:sz w:val="32"/>
          <w:szCs w:val="32"/>
          <w:highlight w:val="none"/>
          <w:u w:val="none"/>
          <w:lang w:val="en-US" w:eastAsia="zh-CN"/>
        </w:rPr>
        <w:t>四是数智赋能产业升级。</w:t>
      </w:r>
      <w:r>
        <w:rPr>
          <w:rFonts w:hint="default" w:eastAsia="仿宋_GB2312" w:cs="Times New Roman"/>
          <w:sz w:val="32"/>
          <w:szCs w:val="32"/>
          <w:highlight w:val="none"/>
          <w:u w:val="none"/>
          <w:lang w:val="en-US" w:eastAsia="zh-CN"/>
        </w:rPr>
        <w:t>推动全集团首个本地化“九天”MaaS平台在汉部署，引入九天MoMA（Mixture of Models and Agents：模型和智能体超市）框架，进一步降低AI应用门槛。</w:t>
      </w:r>
      <w:r>
        <w:rPr>
          <w:rFonts w:hint="default" w:eastAsia="仿宋_GB2312" w:cs="Times New Roman"/>
          <w:b/>
          <w:bCs/>
          <w:sz w:val="32"/>
          <w:szCs w:val="32"/>
          <w:highlight w:val="none"/>
          <w:u w:val="none"/>
          <w:lang w:val="en-US" w:eastAsia="zh-CN"/>
        </w:rPr>
        <w:t>助力制造业智改数转。</w:t>
      </w:r>
      <w:r>
        <w:rPr>
          <w:rFonts w:hint="default" w:eastAsia="仿宋_GB2312" w:cs="Times New Roman"/>
          <w:sz w:val="32"/>
          <w:szCs w:val="32"/>
          <w:highlight w:val="none"/>
          <w:u w:val="none"/>
          <w:lang w:val="en-US" w:eastAsia="zh-CN"/>
        </w:rPr>
        <w:t>协助</w:t>
      </w:r>
      <w:r>
        <w:rPr>
          <w:rFonts w:hint="eastAsia" w:cs="Times New Roman"/>
          <w:sz w:val="32"/>
          <w:szCs w:val="32"/>
          <w:highlight w:val="none"/>
          <w:u w:val="none"/>
          <w:lang w:val="en-US" w:eastAsia="zh-CN"/>
        </w:rPr>
        <w:t>省</w:t>
      </w:r>
      <w:r>
        <w:rPr>
          <w:rFonts w:hint="default" w:eastAsia="仿宋_GB2312" w:cs="Times New Roman"/>
          <w:sz w:val="32"/>
          <w:szCs w:val="32"/>
          <w:highlight w:val="none"/>
          <w:u w:val="none"/>
          <w:lang w:val="en-US" w:eastAsia="zh-CN"/>
        </w:rPr>
        <w:t>经信厅主导制定全国首个5G工厂企业标准</w:t>
      </w:r>
      <w:r>
        <w:rPr>
          <w:rFonts w:hint="eastAsia" w:cs="Times New Roman"/>
          <w:sz w:val="32"/>
          <w:szCs w:val="32"/>
          <w:highlight w:val="none"/>
          <w:u w:val="none"/>
          <w:lang w:val="en-US" w:eastAsia="zh-CN"/>
        </w:rPr>
        <w:t>，</w:t>
      </w:r>
      <w:r>
        <w:rPr>
          <w:rFonts w:hint="default" w:eastAsia="仿宋_GB2312" w:cs="Times New Roman"/>
          <w:sz w:val="32"/>
          <w:szCs w:val="32"/>
          <w:highlight w:val="none"/>
          <w:u w:val="none"/>
          <w:lang w:val="en-US" w:eastAsia="zh-CN"/>
        </w:rPr>
        <w:t>为3600余家规上企业进行数字化转型诊断服务，打造83个湖北省级5G工厂，其中34家入围工信部5G工厂名录。武汉京东方、长飞光纤入选全国首批15家领航级智能工厂（省内唯二）。“5G-A×AI赋能武汉小米智能家电工厂”获2026年世界移动通信大会“移动人工智能应用奖”。</w:t>
      </w:r>
      <w:r>
        <w:rPr>
          <w:rFonts w:hint="eastAsia" w:cs="Times New Roman"/>
          <w:b/>
          <w:bCs/>
          <w:sz w:val="32"/>
          <w:szCs w:val="32"/>
          <w:highlight w:val="none"/>
          <w:u w:val="none"/>
          <w:lang w:val="en-US" w:eastAsia="zh-CN"/>
        </w:rPr>
        <w:t>赋能教育高质量发展。</w:t>
      </w:r>
      <w:r>
        <w:rPr>
          <w:rFonts w:hint="eastAsia" w:cs="Times New Roman"/>
          <w:sz w:val="32"/>
          <w:szCs w:val="32"/>
          <w:highlight w:val="none"/>
          <w:u w:val="none"/>
          <w:lang w:val="en-US" w:eastAsia="zh-CN"/>
        </w:rPr>
        <w:t>与武汉大学携手打造全国首个AI万兆全光校园示范网，2025年高考期间，为湖北省教育考试院量身打造的AI智能巡考平台全程稳定运行，圆满支撑了湖北省高考历史上首次启用AI智能巡考工作。</w:t>
      </w:r>
      <w:r>
        <w:rPr>
          <w:rFonts w:hint="eastAsia" w:cs="Times New Roman"/>
          <w:b/>
          <w:bCs/>
          <w:sz w:val="32"/>
          <w:szCs w:val="32"/>
          <w:highlight w:val="none"/>
          <w:u w:val="none"/>
          <w:lang w:val="en-US" w:eastAsia="zh-CN"/>
        </w:rPr>
        <w:t>强化城市数字治理。</w:t>
      </w:r>
      <w:r>
        <w:rPr>
          <w:rFonts w:hint="eastAsia" w:cs="Times New Roman"/>
          <w:sz w:val="32"/>
          <w:szCs w:val="32"/>
          <w:highlight w:val="none"/>
          <w:u w:val="none"/>
          <w:lang w:val="en-US" w:eastAsia="zh-CN"/>
        </w:rPr>
        <w:t>深度参与湖北省城市生命线安全工程建设，在武汉市重点区域部署超5000个智能监测设备，实现燃气管网等关键基础设施实时监测与预警，预警准确率达95%以上；大力推进智慧灯联网系统建设，完成核心城区1200余盏智慧路灯改造升级，综合节能率超35%。</w:t>
      </w:r>
      <w:r>
        <w:rPr>
          <w:rFonts w:hint="eastAsia" w:cs="Times New Roman"/>
          <w:b/>
          <w:bCs/>
          <w:sz w:val="32"/>
          <w:szCs w:val="32"/>
          <w:highlight w:val="none"/>
          <w:u w:val="none"/>
          <w:lang w:val="en-US" w:eastAsia="zh-CN"/>
        </w:rPr>
        <w:t>激活数据要素新动能。</w:t>
      </w:r>
      <w:r>
        <w:rPr>
          <w:rFonts w:hint="eastAsia" w:cs="Times New Roman"/>
          <w:sz w:val="32"/>
          <w:szCs w:val="32"/>
          <w:highlight w:val="none"/>
          <w:u w:val="none"/>
          <w:lang w:val="en-US" w:eastAsia="zh-CN"/>
        </w:rPr>
        <w:t>连续承办两届湖北“数据要素×”大赛，与武汉市数据局、武汉数据集团等积极参与武汉市数据基础设施建设（先行先试）隐私保护计算方向的试点工作。</w:t>
      </w:r>
      <w:r>
        <w:rPr>
          <w:rFonts w:hint="default" w:eastAsia="仿宋_GB2312" w:cs="Times New Roman"/>
          <w:b/>
          <w:bCs/>
          <w:sz w:val="32"/>
          <w:szCs w:val="32"/>
          <w:highlight w:val="none"/>
          <w:u w:val="none"/>
          <w:lang w:val="en-US" w:eastAsia="zh-CN"/>
        </w:rPr>
        <w:t>推进车路云一体化。</w:t>
      </w:r>
      <w:r>
        <w:rPr>
          <w:rFonts w:hint="default" w:eastAsia="仿宋_GB2312" w:cs="Times New Roman"/>
          <w:sz w:val="32"/>
          <w:szCs w:val="32"/>
          <w:highlight w:val="none"/>
          <w:u w:val="none"/>
          <w:lang w:val="en-US" w:eastAsia="zh-CN"/>
        </w:rPr>
        <w:t>参与组建全国首个运营商、车企、政府三方车路云合资公司。建成国内最大5G自动驾驶测试区，建设176公里开放道路，完成3000余个重点路口智能化改造，路侧设备与信号灯100%直连通信，车联网规模累计达220万。</w:t>
      </w:r>
      <w:r>
        <w:rPr>
          <w:rFonts w:hint="default" w:eastAsia="仿宋_GB2312" w:cs="Times New Roman"/>
          <w:b/>
          <w:bCs/>
          <w:sz w:val="32"/>
          <w:szCs w:val="32"/>
          <w:highlight w:val="none"/>
          <w:u w:val="none"/>
          <w:lang w:val="en-US" w:eastAsia="zh-CN"/>
        </w:rPr>
        <w:t>激发低空经济新活力。</w:t>
      </w:r>
      <w:r>
        <w:rPr>
          <w:rFonts w:hint="default" w:eastAsia="仿宋_GB2312" w:cs="Times New Roman"/>
          <w:sz w:val="32"/>
          <w:szCs w:val="32"/>
          <w:highlight w:val="none"/>
          <w:u w:val="none"/>
          <w:lang w:val="en-US" w:eastAsia="zh-CN"/>
        </w:rPr>
        <w:t>率先完成5G-A智能基站商用验证，携手经开区打造“低空经济产业集聚区”，完成汉南机场全场5G-A感知能力验证。</w:t>
      </w:r>
      <w:r>
        <w:rPr>
          <w:rFonts w:hint="default" w:eastAsia="仿宋_GB2312" w:cs="Times New Roman"/>
          <w:b/>
          <w:bCs/>
          <w:sz w:val="32"/>
          <w:szCs w:val="32"/>
          <w:highlight w:val="none"/>
          <w:u w:val="none"/>
          <w:lang w:val="en-US" w:eastAsia="zh-CN"/>
        </w:rPr>
        <w:t>推进卫星物联网商用试点。</w:t>
      </w:r>
      <w:r>
        <w:rPr>
          <w:rFonts w:hint="default" w:eastAsia="仿宋_GB2312" w:cs="Times New Roman"/>
          <w:b w:val="0"/>
          <w:bCs w:val="0"/>
          <w:sz w:val="32"/>
          <w:szCs w:val="32"/>
          <w:highlight w:val="none"/>
          <w:u w:val="none"/>
          <w:lang w:val="en-US" w:eastAsia="zh-CN"/>
        </w:rPr>
        <w:t>牵头承担卫星物联网业务商用试验建设工作</w:t>
      </w:r>
      <w:r>
        <w:rPr>
          <w:rFonts w:hint="eastAsia" w:cs="Times New Roman"/>
          <w:b w:val="0"/>
          <w:bCs w:val="0"/>
          <w:sz w:val="32"/>
          <w:szCs w:val="32"/>
          <w:highlight w:val="none"/>
          <w:u w:val="none"/>
          <w:lang w:val="en-US" w:eastAsia="zh-CN"/>
        </w:rPr>
        <w:t>，</w:t>
      </w:r>
      <w:r>
        <w:rPr>
          <w:rFonts w:hint="default" w:eastAsia="仿宋_GB2312" w:cs="Times New Roman"/>
          <w:sz w:val="32"/>
          <w:szCs w:val="32"/>
          <w:highlight w:val="none"/>
          <w:u w:val="none"/>
          <w:lang w:val="en-US" w:eastAsia="zh-CN"/>
        </w:rPr>
        <w:t>积极参与国产低轨宽带通信卫星组网建设，建立北斗四代导航系统（全国唯一）。与中信科在湖北建设6G试验网（全国唯二），计划在汉落地6G开放试验装置，打造国家级6G大型综合性验证平台。</w:t>
      </w:r>
    </w:p>
    <w:p>
      <w:pPr>
        <w:pageBreakBefore w:val="0"/>
        <w:kinsoku/>
        <w:wordWrap/>
        <w:overflowPunct/>
        <w:topLinePunct w:val="0"/>
        <w:autoSpaceDN/>
        <w:bidi w:val="0"/>
        <w:adjustRightInd/>
        <w:snapToGrid/>
        <w:spacing w:line="600" w:lineRule="exact"/>
        <w:ind w:firstLine="640" w:firstLineChars="200"/>
        <w:textAlignment w:val="auto"/>
        <w:rPr>
          <w:rFonts w:hint="eastAsia" w:ascii="Times New Roman" w:hAnsi="Times New Roman" w:eastAsia="仿宋_GB2312" w:cs="Times New Roman"/>
          <w:sz w:val="32"/>
          <w:szCs w:val="32"/>
          <w:highlight w:val="none"/>
          <w:u w:val="none"/>
          <w:lang w:val="en-US" w:eastAsia="zh-CN"/>
        </w:rPr>
      </w:pPr>
      <w:r>
        <w:rPr>
          <w:rFonts w:hint="eastAsia" w:ascii="黑体" w:hAnsi="黑体" w:eastAsia="黑体" w:cs="黑体"/>
          <w:sz w:val="32"/>
          <w:szCs w:val="32"/>
          <w:highlight w:val="none"/>
          <w:u w:val="none"/>
          <w:lang w:val="en-US" w:eastAsia="zh-CN"/>
        </w:rPr>
        <w:t>二、下一步重点工作</w:t>
      </w:r>
    </w:p>
    <w:p>
      <w:pPr>
        <w:keepNext w:val="0"/>
        <w:keepLines w:val="0"/>
        <w:pageBreakBefore w:val="0"/>
        <w:widowControl w:val="0"/>
        <w:suppressLineNumbers w:val="0"/>
        <w:kinsoku/>
        <w:wordWrap/>
        <w:overflowPunct/>
        <w:topLinePunct w:val="0"/>
        <w:autoSpaceDE w:val="0"/>
        <w:autoSpaceDN/>
        <w:bidi w:val="0"/>
        <w:adjustRightInd/>
        <w:snapToGrid/>
        <w:spacing w:line="600" w:lineRule="exact"/>
        <w:ind w:firstLine="643" w:firstLineChars="200"/>
        <w:jc w:val="both"/>
        <w:textAlignment w:val="auto"/>
        <w:rPr>
          <w:rFonts w:hint="eastAsia" w:ascii="Times New Roman" w:hAnsi="Times New Roman" w:eastAsia="仿宋_GB2312" w:cs="Times New Roman"/>
          <w:i w:val="0"/>
          <w:kern w:val="2"/>
          <w:sz w:val="32"/>
          <w:szCs w:val="32"/>
          <w:highlight w:val="none"/>
          <w:u w:val="none"/>
          <w:lang w:val="en-US" w:eastAsia="zh-CN" w:bidi="ar-SA"/>
        </w:rPr>
      </w:pPr>
      <w:r>
        <w:rPr>
          <w:rFonts w:hint="eastAsia" w:ascii="Times New Roman" w:hAnsi="Times New Roman" w:eastAsia="仿宋_GB2312" w:cs="Times New Roman"/>
          <w:b/>
          <w:bCs/>
          <w:i w:val="0"/>
          <w:kern w:val="2"/>
          <w:sz w:val="32"/>
          <w:szCs w:val="32"/>
          <w:highlight w:val="none"/>
          <w:u w:val="none"/>
          <w:lang w:val="en-US" w:eastAsia="zh-CN" w:bidi="ar-SA"/>
        </w:rPr>
        <w:t>一是推动湖北省新型基础设施建设。</w:t>
      </w:r>
      <w:r>
        <w:rPr>
          <w:rFonts w:hint="eastAsia" w:ascii="Times New Roman" w:hAnsi="Times New Roman" w:eastAsia="仿宋_GB2312" w:cs="Times New Roman"/>
          <w:i w:val="0"/>
          <w:kern w:val="2"/>
          <w:sz w:val="32"/>
          <w:szCs w:val="32"/>
          <w:highlight w:val="none"/>
          <w:u w:val="none"/>
          <w:lang w:val="en-US" w:eastAsia="zh-CN" w:bidi="ar-SA"/>
        </w:rPr>
        <w:t>围绕“强核、壮圈、联群”的区域发展路径，推动湖北汉襄宜“金三角”高质量发展以及长江中游城市群联动发展，聚焦5G-A、卫星通信和量子通信等新技术，持续打造以“双万兆”武汉为核心，辐射周边城市群，规模领先、通智融合、边云一体、训推协同的智算集群，并积极探索“在宜训推、在汉研发”的远距离算电协同创新模式。</w:t>
      </w:r>
    </w:p>
    <w:p>
      <w:pPr>
        <w:keepNext w:val="0"/>
        <w:keepLines w:val="0"/>
        <w:pageBreakBefore w:val="0"/>
        <w:widowControl w:val="0"/>
        <w:suppressLineNumbers w:val="0"/>
        <w:kinsoku/>
        <w:wordWrap/>
        <w:overflowPunct/>
        <w:topLinePunct w:val="0"/>
        <w:autoSpaceDE w:val="0"/>
        <w:autoSpaceDN/>
        <w:bidi w:val="0"/>
        <w:adjustRightInd/>
        <w:snapToGrid/>
        <w:spacing w:line="600" w:lineRule="exact"/>
        <w:ind w:firstLine="643" w:firstLineChars="200"/>
        <w:jc w:val="both"/>
        <w:textAlignment w:val="auto"/>
        <w:rPr>
          <w:rFonts w:hint="default" w:ascii="Times New Roman" w:hAnsi="Times New Roman" w:eastAsia="仿宋_GB2312" w:cs="Times New Roman"/>
          <w:i w:val="0"/>
          <w:kern w:val="2"/>
          <w:sz w:val="32"/>
          <w:szCs w:val="32"/>
          <w:highlight w:val="none"/>
          <w:u w:val="none"/>
          <w:lang w:val="en-US" w:eastAsia="zh-CN" w:bidi="ar-SA"/>
        </w:rPr>
      </w:pPr>
      <w:r>
        <w:rPr>
          <w:rFonts w:hint="eastAsia" w:ascii="Times New Roman" w:hAnsi="Times New Roman" w:eastAsia="仿宋_GB2312" w:cs="Times New Roman"/>
          <w:b/>
          <w:bCs/>
          <w:i w:val="0"/>
          <w:kern w:val="2"/>
          <w:sz w:val="32"/>
          <w:szCs w:val="32"/>
          <w:highlight w:val="none"/>
          <w:u w:val="none"/>
          <w:lang w:val="en-US" w:eastAsia="zh-CN" w:bidi="ar-SA"/>
        </w:rPr>
        <w:t>二是推动科技创新和科技成果转化。</w:t>
      </w:r>
      <w:r>
        <w:rPr>
          <w:rFonts w:hint="eastAsia" w:ascii="Times New Roman" w:hAnsi="Times New Roman" w:eastAsia="仿宋_GB2312" w:cs="Times New Roman"/>
          <w:i w:val="0"/>
          <w:kern w:val="2"/>
          <w:sz w:val="32"/>
          <w:szCs w:val="32"/>
          <w:highlight w:val="none"/>
          <w:u w:val="none"/>
          <w:lang w:val="en-US" w:eastAsia="zh-CN" w:bidi="ar-SA"/>
        </w:rPr>
        <w:t>立足湖北省加快打造具有全国影响力的科技创新高地目标，依托中国移动“长江研究院”为载体的研发集群，整合</w:t>
      </w:r>
      <w:r>
        <w:rPr>
          <w:rFonts w:hint="eastAsia" w:cs="Times New Roman"/>
          <w:i w:val="0"/>
          <w:kern w:val="2"/>
          <w:sz w:val="32"/>
          <w:szCs w:val="32"/>
          <w:highlight w:val="none"/>
          <w:u w:val="none"/>
          <w:lang w:val="en-US" w:eastAsia="zh-CN" w:bidi="ar-SA"/>
        </w:rPr>
        <w:t>政企</w:t>
      </w:r>
      <w:r>
        <w:rPr>
          <w:rFonts w:hint="eastAsia" w:ascii="Times New Roman" w:hAnsi="Times New Roman" w:eastAsia="仿宋_GB2312" w:cs="Times New Roman"/>
          <w:i w:val="0"/>
          <w:kern w:val="2"/>
          <w:sz w:val="32"/>
          <w:szCs w:val="32"/>
          <w:highlight w:val="none"/>
          <w:u w:val="none"/>
          <w:lang w:val="en-US" w:eastAsia="zh-CN" w:bidi="ar-SA"/>
        </w:rPr>
        <w:t>科创资源，深化省内高校合作，</w:t>
      </w:r>
      <w:r>
        <w:rPr>
          <w:rFonts w:hint="eastAsia" w:cs="Times New Roman"/>
          <w:i w:val="0"/>
          <w:kern w:val="2"/>
          <w:sz w:val="32"/>
          <w:szCs w:val="32"/>
          <w:highlight w:val="none"/>
          <w:u w:val="none"/>
          <w:lang w:val="en-US" w:eastAsia="zh-CN" w:bidi="ar-SA"/>
        </w:rPr>
        <w:t>聚焦</w:t>
      </w:r>
      <w:r>
        <w:rPr>
          <w:rFonts w:hint="eastAsia" w:ascii="Times New Roman" w:hAnsi="Times New Roman" w:eastAsia="仿宋_GB2312" w:cs="Times New Roman"/>
          <w:i w:val="0"/>
          <w:kern w:val="2"/>
          <w:sz w:val="32"/>
          <w:szCs w:val="32"/>
          <w:highlight w:val="none"/>
          <w:u w:val="none"/>
          <w:lang w:val="en-US" w:eastAsia="zh-CN" w:bidi="ar-SA"/>
        </w:rPr>
        <w:t>教育、工业、水利、交通等行业大模型，数据要素、时空智能、量子科技、先进制造、低空经济等领域打造一批标杆项目、标志性产品和行业标准，加速推动人工智能、6G、量子科技</w:t>
      </w:r>
      <w:r>
        <w:rPr>
          <w:rFonts w:hint="eastAsia" w:cs="Times New Roman"/>
          <w:i w:val="0"/>
          <w:kern w:val="2"/>
          <w:sz w:val="32"/>
          <w:szCs w:val="32"/>
          <w:highlight w:val="none"/>
          <w:u w:val="none"/>
          <w:lang w:val="en-US" w:eastAsia="zh-CN" w:bidi="ar-SA"/>
        </w:rPr>
        <w:t>等领域</w:t>
      </w:r>
      <w:r>
        <w:rPr>
          <w:rFonts w:hint="eastAsia" w:ascii="Times New Roman" w:hAnsi="Times New Roman" w:eastAsia="仿宋_GB2312" w:cs="Times New Roman"/>
          <w:i w:val="0"/>
          <w:kern w:val="2"/>
          <w:sz w:val="32"/>
          <w:szCs w:val="32"/>
          <w:highlight w:val="none"/>
          <w:u w:val="none"/>
          <w:lang w:val="en-US" w:eastAsia="zh-CN" w:bidi="ar-SA"/>
        </w:rPr>
        <w:t>科技成果在鄂落地转化，共同推进科技人才联合培养，培育壮大新质生产力，赋能产业能级跃升。</w:t>
      </w:r>
    </w:p>
    <w:p>
      <w:pPr>
        <w:keepNext w:val="0"/>
        <w:keepLines w:val="0"/>
        <w:pageBreakBefore w:val="0"/>
        <w:widowControl w:val="0"/>
        <w:suppressLineNumbers w:val="0"/>
        <w:kinsoku/>
        <w:wordWrap/>
        <w:overflowPunct/>
        <w:topLinePunct w:val="0"/>
        <w:autoSpaceDE w:val="0"/>
        <w:autoSpaceDN/>
        <w:bidi w:val="0"/>
        <w:adjustRightInd/>
        <w:snapToGrid/>
        <w:spacing w:line="600" w:lineRule="exact"/>
        <w:ind w:firstLine="643" w:firstLineChars="200"/>
        <w:jc w:val="both"/>
        <w:textAlignment w:val="auto"/>
        <w:rPr>
          <w:rFonts w:hint="eastAsia" w:ascii="Times New Roman" w:hAnsi="Times New Roman" w:eastAsia="仿宋_GB2312" w:cs="Times New Roman"/>
          <w:i w:val="0"/>
          <w:kern w:val="2"/>
          <w:sz w:val="32"/>
          <w:szCs w:val="32"/>
          <w:highlight w:val="none"/>
          <w:u w:val="none"/>
          <w:lang w:val="en-US" w:eastAsia="zh-CN" w:bidi="ar-SA"/>
        </w:rPr>
      </w:pPr>
      <w:r>
        <w:rPr>
          <w:rFonts w:hint="eastAsia" w:ascii="Times New Roman" w:hAnsi="Times New Roman" w:eastAsia="仿宋_GB2312" w:cs="Times New Roman"/>
          <w:b/>
          <w:bCs/>
          <w:i w:val="0"/>
          <w:kern w:val="2"/>
          <w:sz w:val="32"/>
          <w:szCs w:val="32"/>
          <w:highlight w:val="none"/>
          <w:u w:val="none"/>
          <w:lang w:val="en-US" w:eastAsia="zh-CN" w:bidi="ar-SA"/>
        </w:rPr>
        <w:t>三是推动信息科技赋能湖北发展。</w:t>
      </w:r>
      <w:r>
        <w:rPr>
          <w:rFonts w:hint="eastAsia" w:ascii="Times New Roman" w:hAnsi="Times New Roman" w:eastAsia="仿宋_GB2312" w:cs="Times New Roman"/>
          <w:i w:val="0"/>
          <w:kern w:val="2"/>
          <w:sz w:val="32"/>
          <w:szCs w:val="32"/>
          <w:highlight w:val="none"/>
          <w:u w:val="none"/>
          <w:lang w:val="en-US" w:eastAsia="zh-CN" w:bidi="ar-SA"/>
        </w:rPr>
        <w:t>以加快构建湖北“51020”现代化产业体系为目标，依托中国移动大模型产业创新基地，推动武汉国家人工智能+中试示范基地建设，加快关键核心技术攻关；推进数字治理提质增效，依托“汉数通”数据要素试点合作，推动数据要素价值释放，赋能政务服务、应急管理、基层治理等领域数字化升级，提升全省数字治理效能；深化教育数字化转型，依托5G、算力网络等技术，助力教育强省建设；深化5G+工业互联网融合应用，打造智慧工厂集群，助推制造业智改数转；培育低空经济，构建通感一体试验网，开发“低空+”多元场景；探索车路云协同创新，建设智慧交通体系。共同推进全省加快全域数字化转型，以信息科技赋能湖北高质量发展。</w:t>
      </w:r>
    </w:p>
    <w:p>
      <w:pPr>
        <w:keepNext w:val="0"/>
        <w:keepLines w:val="0"/>
        <w:pageBreakBefore w:val="0"/>
        <w:widowControl w:val="0"/>
        <w:suppressLineNumbers w:val="0"/>
        <w:kinsoku/>
        <w:wordWrap/>
        <w:overflowPunct/>
        <w:topLinePunct w:val="0"/>
        <w:autoSpaceDE w:val="0"/>
        <w:autoSpaceDN/>
        <w:bidi w:val="0"/>
        <w:adjustRightInd/>
        <w:snapToGrid/>
        <w:spacing w:line="600" w:lineRule="exact"/>
        <w:jc w:val="both"/>
        <w:textAlignment w:val="auto"/>
        <w:rPr>
          <w:rFonts w:hint="eastAsia" w:ascii="Times New Roman" w:hAnsi="Times New Roman" w:eastAsia="仿宋_GB2312" w:cs="Times New Roman"/>
          <w:i w:val="0"/>
          <w:kern w:val="2"/>
          <w:sz w:val="32"/>
          <w:szCs w:val="32"/>
          <w:highlight w:val="none"/>
          <w:u w:val="none"/>
          <w:lang w:val="en-US" w:eastAsia="zh-CN" w:bidi="ar-SA"/>
        </w:rPr>
      </w:pPr>
    </w:p>
    <w:p>
      <w:pPr>
        <w:keepNext w:val="0"/>
        <w:keepLines w:val="0"/>
        <w:pageBreakBefore w:val="0"/>
        <w:widowControl w:val="0"/>
        <w:suppressLineNumbers w:val="0"/>
        <w:kinsoku/>
        <w:wordWrap/>
        <w:overflowPunct/>
        <w:topLinePunct w:val="0"/>
        <w:autoSpaceDE w:val="0"/>
        <w:autoSpaceDN/>
        <w:bidi w:val="0"/>
        <w:adjustRightInd/>
        <w:snapToGrid/>
        <w:spacing w:line="600" w:lineRule="exact"/>
        <w:jc w:val="right"/>
        <w:textAlignment w:val="auto"/>
        <w:rPr>
          <w:rFonts w:hint="eastAsia" w:ascii="Times New Roman" w:hAnsi="Times New Roman" w:eastAsia="仿宋_GB2312" w:cs="Times New Roman"/>
          <w:i w:val="0"/>
          <w:kern w:val="2"/>
          <w:sz w:val="32"/>
          <w:szCs w:val="32"/>
          <w:highlight w:val="none"/>
          <w:u w:val="none"/>
          <w:lang w:val="en-US" w:eastAsia="zh-CN" w:bidi="ar-SA"/>
        </w:rPr>
      </w:pPr>
      <w:r>
        <w:rPr>
          <w:rFonts w:hint="eastAsia" w:ascii="Times New Roman" w:hAnsi="Times New Roman" w:eastAsia="仿宋_GB2312" w:cs="Times New Roman"/>
          <w:i w:val="0"/>
          <w:kern w:val="2"/>
          <w:sz w:val="32"/>
          <w:szCs w:val="32"/>
          <w:highlight w:val="none"/>
          <w:u w:val="none"/>
          <w:lang w:val="en-US" w:eastAsia="zh-CN" w:bidi="ar-SA"/>
        </w:rPr>
        <w:t>中国移动通信集团湖北有限公司</w:t>
      </w:r>
    </w:p>
    <w:p>
      <w:pPr>
        <w:keepNext w:val="0"/>
        <w:keepLines w:val="0"/>
        <w:pageBreakBefore w:val="0"/>
        <w:widowControl w:val="0"/>
        <w:suppressLineNumbers w:val="0"/>
        <w:kinsoku/>
        <w:wordWrap/>
        <w:overflowPunct/>
        <w:topLinePunct w:val="0"/>
        <w:autoSpaceDE w:val="0"/>
        <w:autoSpaceDN/>
        <w:bidi w:val="0"/>
        <w:adjustRightInd/>
        <w:snapToGrid/>
        <w:spacing w:line="600" w:lineRule="exact"/>
        <w:jc w:val="right"/>
        <w:textAlignment w:val="auto"/>
        <w:rPr>
          <w:rFonts w:hint="eastAsia" w:ascii="Times New Roman" w:hAnsi="Times New Roman" w:eastAsia="仿宋_GB2312" w:cs="Times New Roman"/>
          <w:sz w:val="32"/>
          <w:szCs w:val="32"/>
          <w:highlight w:val="none"/>
          <w:u w:val="none"/>
          <w:lang w:val="en-US" w:eastAsia="zh-CN"/>
        </w:rPr>
      </w:pPr>
      <w:r>
        <w:rPr>
          <w:rFonts w:hint="eastAsia" w:ascii="Times New Roman" w:hAnsi="Times New Roman" w:eastAsia="仿宋_GB2312" w:cs="Times New Roman"/>
          <w:i w:val="0"/>
          <w:kern w:val="2"/>
          <w:sz w:val="32"/>
          <w:szCs w:val="32"/>
          <w:highlight w:val="none"/>
          <w:u w:val="none"/>
          <w:lang w:val="en-US" w:eastAsia="zh-CN" w:bidi="ar-SA"/>
        </w:rPr>
        <w:t>2026年X月X日</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720"/>
      </w:pPr>
      <w:r>
        <w:separator/>
      </w:r>
    </w:p>
  </w:endnote>
  <w:endnote w:type="continuationSeparator" w:id="1">
    <w:p>
      <w:pPr>
        <w:spacing w:line="240" w:lineRule="auto"/>
        <w:ind w:firstLine="7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楷体_GB2312">
    <w:panose1 w:val="02010609030101010101"/>
    <w:charset w:val="86"/>
    <w:family w:val="auto"/>
    <w:pitch w:val="default"/>
    <w:sig w:usb0="00000001" w:usb1="080E0000" w:usb2="00000000" w:usb3="00000000" w:csb0="00040000" w:csb1="00000000"/>
  </w:font>
  <w:font w:name="方正小标宋简体">
    <w:panose1 w:val="03000509000000000000"/>
    <w:charset w:val="86"/>
    <w:family w:val="auto"/>
    <w:pitch w:val="default"/>
    <w:sig w:usb0="00000001" w:usb1="080E0000" w:usb2="00000000" w:usb3="00000000" w:csb0="00040000" w:csb1="00000000"/>
  </w:font>
  <w:font w:name="华文中宋">
    <w:panose1 w:val="02010600040101010101"/>
    <w:charset w:val="86"/>
    <w:family w:val="auto"/>
    <w:pitch w:val="default"/>
    <w:sig w:usb0="00000287" w:usb1="080F0000" w:usb2="00000000" w:usb3="00000000" w:csb0="0004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720"/>
      </w:pPr>
      <w:r>
        <w:separator/>
      </w:r>
    </w:p>
  </w:footnote>
  <w:footnote w:type="continuationSeparator" w:id="1">
    <w:p>
      <w:pPr>
        <w:spacing w:line="240" w:lineRule="auto"/>
        <w:ind w:firstLine="72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6B4885"/>
    <w:multiLevelType w:val="multilevel"/>
    <w:tmpl w:val="B76B4885"/>
    <w:lvl w:ilvl="0" w:tentative="0">
      <w:start w:val="3"/>
      <w:numFmt w:val="decimal"/>
      <w:lvlText w:val="%1."/>
      <w:lvlJc w:val="left"/>
      <w:pPr>
        <w:ind w:left="432" w:hanging="432"/>
      </w:pPr>
      <w:rPr>
        <w:rFonts w:hint="default"/>
      </w:rPr>
    </w:lvl>
    <w:lvl w:ilvl="1" w:tentative="0">
      <w:start w:val="3"/>
      <w:numFmt w:val="decimal"/>
      <w:lvlText w:val="%1.%2."/>
      <w:lvlJc w:val="left"/>
      <w:pPr>
        <w:ind w:left="575" w:hanging="575"/>
      </w:pPr>
      <w:rPr>
        <w:rFonts w:hint="default"/>
      </w:rPr>
    </w:lvl>
    <w:lvl w:ilvl="2" w:tentative="0">
      <w:start w:val="1"/>
      <w:numFmt w:val="decimal"/>
      <w:pStyle w:val="5"/>
      <w:lvlText w:val="%1.%2.%3."/>
      <w:lvlJc w:val="left"/>
      <w:pPr>
        <w:ind w:left="720" w:hanging="720"/>
      </w:pPr>
      <w:rPr>
        <w:rFonts w:hint="default"/>
      </w:rPr>
    </w:lvl>
    <w:lvl w:ilvl="3" w:tentative="0">
      <w:start w:val="1"/>
      <w:numFmt w:val="decimal"/>
      <w:lvlText w:val="%1.%2.%3.%4."/>
      <w:lvlJc w:val="left"/>
      <w:pPr>
        <w:ind w:left="864" w:hanging="864"/>
      </w:pPr>
      <w:rPr>
        <w:rFonts w:hint="default"/>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1" w:hanging="1151"/>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A40207"/>
    <w:rsid w:val="06CE21A1"/>
    <w:rsid w:val="07127861"/>
    <w:rsid w:val="09573703"/>
    <w:rsid w:val="0AA84C3E"/>
    <w:rsid w:val="170E6162"/>
    <w:rsid w:val="17C7084D"/>
    <w:rsid w:val="185F2EE7"/>
    <w:rsid w:val="19274CEE"/>
    <w:rsid w:val="1F08079D"/>
    <w:rsid w:val="1F7F1222"/>
    <w:rsid w:val="222446A8"/>
    <w:rsid w:val="244851A8"/>
    <w:rsid w:val="251C0064"/>
    <w:rsid w:val="2C4A6E4E"/>
    <w:rsid w:val="2D010A03"/>
    <w:rsid w:val="2D153470"/>
    <w:rsid w:val="2FD375C3"/>
    <w:rsid w:val="303363C2"/>
    <w:rsid w:val="3356145B"/>
    <w:rsid w:val="34310F39"/>
    <w:rsid w:val="380B6AFF"/>
    <w:rsid w:val="3C512802"/>
    <w:rsid w:val="3EA011BB"/>
    <w:rsid w:val="41EF59DA"/>
    <w:rsid w:val="423473DA"/>
    <w:rsid w:val="44241C2E"/>
    <w:rsid w:val="47FC6C5E"/>
    <w:rsid w:val="4CE3387D"/>
    <w:rsid w:val="4F0E2C72"/>
    <w:rsid w:val="588E4653"/>
    <w:rsid w:val="6D3357EF"/>
    <w:rsid w:val="736F7930"/>
    <w:rsid w:val="7908404B"/>
    <w:rsid w:val="7DF23B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qFormat="1"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560" w:lineRule="exact"/>
      <w:ind w:firstLine="828" w:firstLineChars="200"/>
      <w:jc w:val="both"/>
    </w:pPr>
    <w:rPr>
      <w:rFonts w:ascii="Times New Roman" w:hAnsi="Times New Roman" w:eastAsia="仿宋_GB2312" w:cs="Times New Roman"/>
      <w:kern w:val="2"/>
      <w:sz w:val="36"/>
      <w:szCs w:val="22"/>
      <w:lang w:val="en-US" w:eastAsia="zh-CN" w:bidi="ar-SA"/>
    </w:rPr>
  </w:style>
  <w:style w:type="paragraph" w:styleId="3">
    <w:name w:val="heading 1"/>
    <w:basedOn w:val="1"/>
    <w:next w:val="1"/>
    <w:qFormat/>
    <w:uiPriority w:val="0"/>
    <w:pPr>
      <w:keepNext/>
      <w:keepLines/>
      <w:spacing w:beforeLines="0" w:beforeAutospacing="0" w:afterLines="0" w:afterAutospacing="0" w:line="560" w:lineRule="exact"/>
      <w:outlineLvl w:val="0"/>
    </w:pPr>
    <w:rPr>
      <w:rFonts w:eastAsia="黑体"/>
      <w:kern w:val="44"/>
    </w:rPr>
  </w:style>
  <w:style w:type="paragraph" w:styleId="4">
    <w:name w:val="heading 2"/>
    <w:basedOn w:val="1"/>
    <w:next w:val="1"/>
    <w:semiHidden/>
    <w:unhideWhenUsed/>
    <w:qFormat/>
    <w:uiPriority w:val="0"/>
    <w:pPr>
      <w:keepNext/>
      <w:keepLines/>
      <w:spacing w:beforeLines="0" w:beforeAutospacing="0" w:afterLines="0" w:afterAutospacing="0" w:line="560" w:lineRule="exact"/>
      <w:outlineLvl w:val="1"/>
    </w:pPr>
    <w:rPr>
      <w:rFonts w:ascii="Times New Roman" w:hAnsi="Times New Roman" w:eastAsia="楷体_GB2312"/>
    </w:rPr>
  </w:style>
  <w:style w:type="paragraph" w:styleId="5">
    <w:name w:val="heading 3"/>
    <w:basedOn w:val="1"/>
    <w:next w:val="1"/>
    <w:semiHidden/>
    <w:unhideWhenUsed/>
    <w:qFormat/>
    <w:uiPriority w:val="0"/>
    <w:pPr>
      <w:numPr>
        <w:ilvl w:val="2"/>
        <w:numId w:val="1"/>
      </w:numPr>
      <w:spacing w:before="0" w:beforeAutospacing="0" w:after="0" w:afterAutospacing="0"/>
      <w:ind w:left="0" w:firstLine="880" w:firstLineChars="200"/>
      <w:jc w:val="left"/>
      <w:outlineLvl w:val="2"/>
    </w:pPr>
    <w:rPr>
      <w:rFonts w:ascii="Times New Roman" w:hAnsi="Times New Roman" w:cs="宋体"/>
      <w:b/>
      <w:bCs/>
      <w:kern w:val="0"/>
      <w:szCs w:val="27"/>
      <w:lang w:bidi="ar"/>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2">
    <w:name w:val="HTML Address"/>
    <w:basedOn w:val="1"/>
    <w:qFormat/>
    <w:uiPriority w:val="0"/>
    <w:rPr>
      <w:i/>
    </w:rPr>
  </w:style>
  <w:style w:type="paragraph" w:styleId="6">
    <w:name w:val="Title"/>
    <w:basedOn w:val="1"/>
    <w:qFormat/>
    <w:uiPriority w:val="0"/>
    <w:pPr>
      <w:spacing w:beforeLines="0" w:beforeAutospacing="0" w:afterLines="0" w:afterAutospacing="0" w:line="700" w:lineRule="exact"/>
      <w:ind w:firstLine="0" w:firstLineChars="0"/>
      <w:jc w:val="center"/>
      <w:outlineLvl w:val="0"/>
    </w:pPr>
    <w:rPr>
      <w:rFonts w:ascii="Times New Roman" w:hAnsi="Times New Roman" w:eastAsia="方正小标宋简体"/>
      <w:sz w:val="4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8</TotalTime>
  <ScaleCrop>false</ScaleCrop>
  <LinksUpToDate>false</LinksUpToDate>
  <CharactersWithSpaces>0</CharactersWithSpaces>
  <Application>WPS Office_11.8.2.12309_F1E327BC-269C-435d-A152-05C5408002CA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2024-09-10T07:42:00Z</dcterms:created>
  <dc:creator>tangh</dc:creator>
  <cp:lastModifiedBy>唐虎</cp:lastModifiedBy>
  <dcterms:modified xsi:type="dcterms:W3CDTF">2026-03-16T08:42:29Z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2052-11.8.2.12309</vt:lpwstr>
  </property>
  <property fmtid="{D5CDD505-2E9C-101B-9397-08002B2CF9AE}" pid="3" name="ICV">
    <vt:lpwstr>832DBE6E8C9D4FA7AC76FE45ABA3B425</vt:lpwstr>
  </property>
</Properties>
</file>