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CDDE3E">
      <w:pPr>
        <w:keepNext w:val="0"/>
        <w:keepLines w:val="0"/>
        <w:pageBreakBefore w:val="0"/>
        <w:kinsoku/>
        <w:wordWrap/>
        <w:overflowPunct/>
        <w:topLinePunct w:val="0"/>
        <w:autoSpaceDE/>
        <w:autoSpaceDN/>
        <w:bidi w:val="0"/>
        <w:adjustRightInd/>
        <w:snapToGrid/>
        <w:spacing w:before="157" w:line="560" w:lineRule="exact"/>
        <w:ind w:firstLine="480" w:firstLineChars="200"/>
        <w:jc w:val="both"/>
        <w:rPr>
          <w:rFonts w:hint="default" w:ascii="仿宋_GB2312" w:hAnsi="仿宋_GB2312" w:eastAsia="仿宋_GB2312" w:cs="仿宋_GB2312"/>
          <w:b w:val="0"/>
          <w:bCs w:val="0"/>
          <w:color w:val="000000"/>
          <w:sz w:val="24"/>
          <w:lang w:val="en-US" w:eastAsia="zh-CN"/>
        </w:rPr>
      </w:pPr>
      <w:r>
        <w:rPr>
          <w:rFonts w:hint="default" w:ascii="仿宋_GB2312" w:hAnsi="仿宋_GB2312" w:eastAsia="仿宋_GB2312" w:cs="仿宋_GB2312"/>
          <w:b w:val="0"/>
          <w:bCs w:val="0"/>
          <w:color w:val="000000"/>
          <w:sz w:val="24"/>
          <w:lang w:val="en-US" w:eastAsia="zh-CN"/>
        </w:rPr>
        <w:t>当前全球算力产业正处于高速发展期前中期，“十四五”以来，“东数西算”工程带动社会投资超万亿元，30多个算力新城不断崛起，我国算力总规模年均增速近30%。2025年我国算力市场规模高达8351亿元，同比增长超30％，算力总规模与智能算力规模双双位居全球第二。</w:t>
      </w:r>
    </w:p>
    <w:p w14:paraId="2F2A02A7">
      <w:pPr>
        <w:keepNext w:val="0"/>
        <w:keepLines w:val="0"/>
        <w:pageBreakBefore w:val="0"/>
        <w:kinsoku/>
        <w:wordWrap/>
        <w:overflowPunct/>
        <w:topLinePunct w:val="0"/>
        <w:autoSpaceDE/>
        <w:autoSpaceDN/>
        <w:bidi w:val="0"/>
        <w:adjustRightInd/>
        <w:snapToGrid/>
        <w:spacing w:before="157" w:line="560" w:lineRule="exact"/>
        <w:ind w:firstLine="480" w:firstLineChars="200"/>
        <w:jc w:val="both"/>
        <w:rPr>
          <w:rFonts w:hint="default" w:ascii="仿宋_GB2312" w:hAnsi="仿宋_GB2312" w:eastAsia="仿宋_GB2312" w:cs="仿宋_GB2312"/>
          <w:b w:val="0"/>
          <w:bCs w:val="0"/>
          <w:color w:val="000000"/>
          <w:sz w:val="24"/>
          <w:lang w:val="en-US" w:eastAsia="zh-CN"/>
        </w:rPr>
      </w:pPr>
      <w:r>
        <w:rPr>
          <w:rFonts w:hint="default" w:ascii="仿宋_GB2312" w:hAnsi="仿宋_GB2312" w:eastAsia="仿宋_GB2312" w:cs="仿宋_GB2312"/>
          <w:b w:val="0"/>
          <w:bCs w:val="0"/>
          <w:color w:val="000000"/>
          <w:sz w:val="24"/>
          <w:lang w:val="en-US" w:eastAsia="zh-CN"/>
        </w:rPr>
        <w:t>全球范围内，算力发展呈现三大核心转变：</w:t>
      </w:r>
    </w:p>
    <w:p w14:paraId="7D2723F2">
      <w:pPr>
        <w:keepNext w:val="0"/>
        <w:keepLines w:val="0"/>
        <w:pageBreakBefore w:val="0"/>
        <w:kinsoku/>
        <w:wordWrap/>
        <w:overflowPunct/>
        <w:topLinePunct w:val="0"/>
        <w:autoSpaceDE/>
        <w:autoSpaceDN/>
        <w:bidi w:val="0"/>
        <w:adjustRightInd/>
        <w:snapToGrid/>
        <w:spacing w:before="157" w:line="560" w:lineRule="exact"/>
        <w:ind w:firstLine="482" w:firstLineChars="200"/>
        <w:jc w:val="both"/>
        <w:rPr>
          <w:rFonts w:hint="default" w:ascii="仿宋_GB2312" w:hAnsi="仿宋_GB2312" w:eastAsia="仿宋_GB2312" w:cs="仿宋_GB2312"/>
          <w:b/>
          <w:bCs/>
          <w:color w:val="000000"/>
          <w:sz w:val="24"/>
          <w:lang w:val="en-US" w:eastAsia="zh-CN"/>
        </w:rPr>
      </w:pPr>
      <w:r>
        <w:rPr>
          <w:rFonts w:hint="default" w:ascii="仿宋_GB2312" w:hAnsi="仿宋_GB2312" w:eastAsia="仿宋_GB2312" w:cs="仿宋_GB2312"/>
          <w:b/>
          <w:bCs/>
          <w:color w:val="000000"/>
          <w:sz w:val="24"/>
          <w:lang w:val="en-US" w:eastAsia="zh-CN"/>
        </w:rPr>
        <w:t>结构</w:t>
      </w:r>
      <w:r>
        <w:rPr>
          <w:rFonts w:hint="eastAsia" w:ascii="仿宋_GB2312" w:hAnsi="仿宋_GB2312" w:eastAsia="仿宋_GB2312" w:cs="仿宋_GB2312"/>
          <w:b/>
          <w:bCs/>
          <w:color w:val="000000"/>
          <w:sz w:val="24"/>
          <w:lang w:val="en-US" w:eastAsia="zh-CN"/>
        </w:rPr>
        <w:t>：</w:t>
      </w:r>
      <w:r>
        <w:rPr>
          <w:rFonts w:hint="default" w:ascii="仿宋_GB2312" w:hAnsi="仿宋_GB2312" w:eastAsia="仿宋_GB2312" w:cs="仿宋_GB2312"/>
          <w:b w:val="0"/>
          <w:bCs w:val="0"/>
          <w:color w:val="000000"/>
          <w:sz w:val="24"/>
          <w:lang w:val="en-US" w:eastAsia="zh-CN"/>
        </w:rPr>
        <w:t>由"训练为主"转向"推理为主、训推一体"</w:t>
      </w:r>
    </w:p>
    <w:p w14:paraId="6970C960">
      <w:pPr>
        <w:keepNext w:val="0"/>
        <w:keepLines w:val="0"/>
        <w:pageBreakBefore w:val="0"/>
        <w:kinsoku/>
        <w:wordWrap/>
        <w:overflowPunct/>
        <w:topLinePunct w:val="0"/>
        <w:autoSpaceDE/>
        <w:autoSpaceDN/>
        <w:bidi w:val="0"/>
        <w:adjustRightInd/>
        <w:snapToGrid/>
        <w:spacing w:before="157" w:line="560" w:lineRule="exact"/>
        <w:ind w:firstLine="482" w:firstLineChars="200"/>
        <w:jc w:val="both"/>
        <w:rPr>
          <w:rFonts w:hint="default" w:ascii="仿宋_GB2312" w:hAnsi="仿宋_GB2312" w:eastAsia="仿宋_GB2312" w:cs="仿宋_GB2312"/>
          <w:b/>
          <w:bCs/>
          <w:color w:val="000000"/>
          <w:sz w:val="24"/>
          <w:lang w:val="en-US" w:eastAsia="zh-CN"/>
        </w:rPr>
      </w:pPr>
      <w:r>
        <w:rPr>
          <w:rFonts w:hint="default" w:ascii="仿宋_GB2312" w:hAnsi="仿宋_GB2312" w:eastAsia="仿宋_GB2312" w:cs="仿宋_GB2312"/>
          <w:b/>
          <w:bCs/>
          <w:color w:val="000000"/>
          <w:sz w:val="24"/>
          <w:lang w:val="en-US" w:eastAsia="zh-CN"/>
        </w:rPr>
        <w:t>形态</w:t>
      </w:r>
      <w:r>
        <w:rPr>
          <w:rFonts w:hint="eastAsia" w:ascii="仿宋_GB2312" w:hAnsi="仿宋_GB2312" w:eastAsia="仿宋_GB2312" w:cs="仿宋_GB2312"/>
          <w:b/>
          <w:bCs/>
          <w:color w:val="000000"/>
          <w:sz w:val="24"/>
          <w:lang w:val="en-US" w:eastAsia="zh-CN"/>
        </w:rPr>
        <w:t>：</w:t>
      </w:r>
      <w:r>
        <w:rPr>
          <w:rFonts w:hint="default" w:ascii="仿宋_GB2312" w:hAnsi="仿宋_GB2312" w:eastAsia="仿宋_GB2312" w:cs="仿宋_GB2312"/>
          <w:b w:val="0"/>
          <w:bCs w:val="0"/>
          <w:color w:val="000000"/>
          <w:sz w:val="24"/>
          <w:lang w:val="en-US" w:eastAsia="zh-CN"/>
        </w:rPr>
        <w:t>由"集中化"转向"分布式"边缘计算</w:t>
      </w:r>
    </w:p>
    <w:p w14:paraId="524273C2">
      <w:pPr>
        <w:keepNext w:val="0"/>
        <w:keepLines w:val="0"/>
        <w:pageBreakBefore w:val="0"/>
        <w:kinsoku/>
        <w:wordWrap/>
        <w:overflowPunct/>
        <w:topLinePunct w:val="0"/>
        <w:autoSpaceDE/>
        <w:autoSpaceDN/>
        <w:bidi w:val="0"/>
        <w:adjustRightInd/>
        <w:snapToGrid/>
        <w:spacing w:before="157" w:line="560" w:lineRule="exact"/>
        <w:ind w:firstLine="482" w:firstLineChars="200"/>
        <w:jc w:val="both"/>
        <w:rPr>
          <w:rFonts w:hint="default" w:ascii="仿宋_GB2312" w:hAnsi="仿宋_GB2312" w:eastAsia="仿宋_GB2312" w:cs="仿宋_GB2312"/>
          <w:b w:val="0"/>
          <w:bCs w:val="0"/>
          <w:color w:val="000000"/>
          <w:sz w:val="24"/>
          <w:lang w:val="en-US" w:eastAsia="zh-CN"/>
        </w:rPr>
      </w:pPr>
      <w:r>
        <w:rPr>
          <w:rFonts w:hint="default" w:ascii="仿宋_GB2312" w:hAnsi="仿宋_GB2312" w:eastAsia="仿宋_GB2312" w:cs="仿宋_GB2312"/>
          <w:b/>
          <w:bCs/>
          <w:color w:val="000000"/>
          <w:sz w:val="24"/>
          <w:lang w:val="en-US" w:eastAsia="zh-CN"/>
        </w:rPr>
        <w:t>效能释放</w:t>
      </w:r>
      <w:r>
        <w:rPr>
          <w:rFonts w:hint="eastAsia" w:ascii="仿宋_GB2312" w:hAnsi="仿宋_GB2312" w:eastAsia="仿宋_GB2312" w:cs="仿宋_GB2312"/>
          <w:b/>
          <w:bCs/>
          <w:color w:val="000000"/>
          <w:sz w:val="24"/>
          <w:lang w:val="en-US" w:eastAsia="zh-CN"/>
        </w:rPr>
        <w:t>：</w:t>
      </w:r>
      <w:r>
        <w:rPr>
          <w:rFonts w:hint="default" w:ascii="仿宋_GB2312" w:hAnsi="仿宋_GB2312" w:eastAsia="仿宋_GB2312" w:cs="仿宋_GB2312"/>
          <w:b w:val="0"/>
          <w:bCs w:val="0"/>
          <w:color w:val="000000"/>
          <w:sz w:val="24"/>
          <w:lang w:val="en-US" w:eastAsia="zh-CN"/>
        </w:rPr>
        <w:t>从"硬件横向扩展"转向"软硬垂直优化"</w:t>
      </w:r>
      <w:r>
        <w:rPr>
          <w:rFonts w:hint="default" w:ascii="仿宋_GB2312" w:hAnsi="仿宋_GB2312" w:eastAsia="仿宋_GB2312" w:cs="仿宋_GB2312"/>
          <w:b w:val="0"/>
          <w:bCs w:val="0"/>
          <w:color w:val="000000"/>
          <w:sz w:val="24"/>
          <w:lang w:val="en-US" w:eastAsia="zh-CN"/>
        </w:rPr>
        <w:fldChar w:fldCharType="begin"/>
      </w:r>
      <w:r>
        <w:rPr>
          <w:rFonts w:hint="default" w:ascii="仿宋_GB2312" w:hAnsi="仿宋_GB2312" w:eastAsia="仿宋_GB2312" w:cs="仿宋_GB2312"/>
          <w:b w:val="0"/>
          <w:bCs w:val="0"/>
          <w:color w:val="000000"/>
          <w:sz w:val="24"/>
          <w:lang w:val="en-US" w:eastAsia="zh-CN"/>
        </w:rPr>
        <w:instrText xml:space="preserve"> HYPERLINK "https://www.10086.cn/aboutus/news/groupnews/index_detail_53442.html" \t "https://www.kimi.com/chat/_blank" </w:instrText>
      </w:r>
      <w:r>
        <w:rPr>
          <w:rFonts w:hint="default" w:ascii="仿宋_GB2312" w:hAnsi="仿宋_GB2312" w:eastAsia="仿宋_GB2312" w:cs="仿宋_GB2312"/>
          <w:b w:val="0"/>
          <w:bCs w:val="0"/>
          <w:color w:val="000000"/>
          <w:sz w:val="24"/>
          <w:lang w:val="en-US" w:eastAsia="zh-CN"/>
        </w:rPr>
        <w:fldChar w:fldCharType="separate"/>
      </w:r>
      <w:r>
        <w:rPr>
          <w:rFonts w:hint="default" w:ascii="仿宋_GB2312" w:hAnsi="仿宋_GB2312" w:eastAsia="仿宋_GB2312" w:cs="仿宋_GB2312"/>
          <w:b w:val="0"/>
          <w:bCs w:val="0"/>
          <w:color w:val="000000"/>
          <w:sz w:val="24"/>
          <w:lang w:val="en-US" w:eastAsia="zh-CN"/>
        </w:rPr>
        <w:fldChar w:fldCharType="end"/>
      </w:r>
    </w:p>
    <w:p w14:paraId="4AC30FA4">
      <w:pPr>
        <w:pStyle w:val="2"/>
        <w:rPr>
          <w:rFonts w:hint="default"/>
          <w:lang w:val="en-US" w:eastAsia="zh-CN"/>
        </w:rPr>
      </w:pPr>
    </w:p>
    <w:p w14:paraId="69DCCF3B">
      <w:pPr>
        <w:spacing w:before="157" w:line="580" w:lineRule="exact"/>
        <w:outlineLvl w:val="0"/>
        <w:rPr>
          <w:rFonts w:hint="default" w:ascii="仿宋_GB2312" w:hAnsi="仿宋_GB2312" w:eastAsia="仿宋_GB2312" w:cs="仿宋_GB2312"/>
          <w:b/>
          <w:bCs/>
          <w:color w:val="000000"/>
          <w:sz w:val="24"/>
        </w:rPr>
      </w:pPr>
      <w:r>
        <w:rPr>
          <w:rFonts w:hint="eastAsia" w:ascii="仿宋_GB2312" w:hAnsi="仿宋_GB2312" w:eastAsia="仿宋_GB2312" w:cs="仿宋_GB2312"/>
          <w:b/>
          <w:bCs/>
          <w:color w:val="000000"/>
          <w:sz w:val="24"/>
          <w:lang w:val="en-US" w:eastAsia="zh-CN"/>
        </w:rPr>
        <w:t>一</w:t>
      </w:r>
      <w:r>
        <w:rPr>
          <w:rFonts w:hint="default" w:ascii="仿宋_GB2312" w:hAnsi="仿宋_GB2312" w:eastAsia="仿宋_GB2312" w:cs="仿宋_GB2312"/>
          <w:b/>
          <w:bCs/>
          <w:color w:val="000000"/>
          <w:sz w:val="24"/>
        </w:rPr>
        <w:t>、技术演进方向：从英伟达架构看产业趋势</w:t>
      </w:r>
    </w:p>
    <w:p w14:paraId="6EF5C3BD">
      <w:pPr>
        <w:keepNext w:val="0"/>
        <w:keepLines w:val="0"/>
        <w:pageBreakBefore w:val="0"/>
        <w:kinsoku/>
        <w:wordWrap/>
        <w:overflowPunct/>
        <w:topLinePunct w:val="0"/>
        <w:autoSpaceDE/>
        <w:autoSpaceDN/>
        <w:bidi w:val="0"/>
        <w:adjustRightInd/>
        <w:snapToGrid/>
        <w:spacing w:before="157" w:line="560" w:lineRule="exact"/>
        <w:ind w:firstLine="480" w:firstLineChars="200"/>
        <w:jc w:val="both"/>
        <w:rPr>
          <w:rFonts w:hint="default" w:ascii="仿宋_GB2312" w:hAnsi="仿宋_GB2312" w:eastAsia="仿宋_GB2312" w:cs="仿宋_GB2312"/>
          <w:b w:val="0"/>
          <w:bCs w:val="0"/>
          <w:color w:val="000000"/>
          <w:sz w:val="24"/>
          <w:lang w:val="en-US" w:eastAsia="zh-CN"/>
        </w:rPr>
      </w:pPr>
      <w:r>
        <w:rPr>
          <w:rFonts w:hint="default" w:ascii="仿宋_GB2312" w:hAnsi="仿宋_GB2312" w:eastAsia="仿宋_GB2312" w:cs="仿宋_GB2312"/>
          <w:b w:val="0"/>
          <w:bCs w:val="0"/>
          <w:color w:val="000000"/>
          <w:sz w:val="24"/>
          <w:lang w:val="en-US" w:eastAsia="zh-CN"/>
        </w:rPr>
        <w:t>英伟达2026-2027年路线图揭示了算力技术代际跃迁方向。Rubin架构实现革命性突破，单GPU推理能力达50 petaflops，Rubin Ultra NVL576集群性能高达15 exaflops，较当前Blackwell架构提升一个数量级。技术演进呈现三大特征：</w:t>
      </w:r>
    </w:p>
    <w:p w14:paraId="72D710C9">
      <w:pPr>
        <w:keepNext w:val="0"/>
        <w:keepLines w:val="0"/>
        <w:pageBreakBefore w:val="0"/>
        <w:numPr>
          <w:ilvl w:val="0"/>
          <w:numId w:val="1"/>
        </w:numPr>
        <w:kinsoku/>
        <w:wordWrap/>
        <w:overflowPunct/>
        <w:topLinePunct w:val="0"/>
        <w:autoSpaceDE/>
        <w:autoSpaceDN/>
        <w:bidi w:val="0"/>
        <w:adjustRightInd/>
        <w:snapToGrid/>
        <w:spacing w:before="157" w:line="560" w:lineRule="exact"/>
        <w:ind w:left="420" w:leftChars="0" w:hanging="420" w:firstLineChars="0"/>
        <w:jc w:val="both"/>
        <w:rPr>
          <w:rFonts w:hint="default" w:ascii="仿宋_GB2312" w:hAnsi="仿宋_GB2312" w:eastAsia="仿宋_GB2312" w:cs="仿宋_GB2312"/>
          <w:b w:val="0"/>
          <w:bCs w:val="0"/>
          <w:color w:val="000000"/>
          <w:sz w:val="24"/>
          <w:lang w:val="en-US" w:eastAsia="zh-CN"/>
        </w:rPr>
      </w:pPr>
      <w:r>
        <w:rPr>
          <w:rFonts w:hint="default" w:ascii="仿宋_GB2312" w:hAnsi="仿宋_GB2312" w:eastAsia="仿宋_GB2312" w:cs="仿宋_GB2312"/>
          <w:b/>
          <w:bCs/>
          <w:color w:val="000000"/>
          <w:sz w:val="24"/>
          <w:lang w:val="en-US" w:eastAsia="zh-CN"/>
        </w:rPr>
        <w:t>存算一体突破：</w:t>
      </w:r>
      <w:r>
        <w:rPr>
          <w:rFonts w:hint="default" w:ascii="仿宋_GB2312" w:hAnsi="仿宋_GB2312" w:eastAsia="仿宋_GB2312" w:cs="仿宋_GB2312"/>
          <w:b w:val="0"/>
          <w:bCs w:val="0"/>
          <w:color w:val="000000"/>
          <w:sz w:val="24"/>
          <w:lang w:val="en-US" w:eastAsia="zh-CN"/>
        </w:rPr>
        <w:t>采用HBM4内存技术，带宽较前代提升2倍以上，打破传统"内存墙"限制</w:t>
      </w:r>
    </w:p>
    <w:p w14:paraId="1423BD24">
      <w:pPr>
        <w:keepNext w:val="0"/>
        <w:keepLines w:val="0"/>
        <w:pageBreakBefore w:val="0"/>
        <w:numPr>
          <w:ilvl w:val="0"/>
          <w:numId w:val="1"/>
        </w:numPr>
        <w:kinsoku/>
        <w:wordWrap/>
        <w:overflowPunct/>
        <w:topLinePunct w:val="0"/>
        <w:autoSpaceDE/>
        <w:autoSpaceDN/>
        <w:bidi w:val="0"/>
        <w:adjustRightInd/>
        <w:snapToGrid/>
        <w:spacing w:before="157" w:line="560" w:lineRule="exact"/>
        <w:ind w:left="420" w:leftChars="0" w:hanging="420" w:firstLineChars="0"/>
        <w:jc w:val="both"/>
        <w:rPr>
          <w:rFonts w:hint="default" w:ascii="仿宋_GB2312" w:hAnsi="仿宋_GB2312" w:eastAsia="仿宋_GB2312" w:cs="仿宋_GB2312"/>
          <w:b w:val="0"/>
          <w:bCs w:val="0"/>
          <w:color w:val="000000"/>
          <w:sz w:val="24"/>
          <w:lang w:val="en-US" w:eastAsia="zh-CN"/>
        </w:rPr>
      </w:pPr>
      <w:r>
        <w:rPr>
          <w:rFonts w:hint="default" w:ascii="仿宋_GB2312" w:hAnsi="仿宋_GB2312" w:eastAsia="仿宋_GB2312" w:cs="仿宋_GB2312"/>
          <w:b/>
          <w:bCs/>
          <w:color w:val="000000"/>
          <w:sz w:val="24"/>
          <w:lang w:val="en-US" w:eastAsia="zh-CN"/>
        </w:rPr>
        <w:t>推理优先设计：</w:t>
      </w:r>
      <w:r>
        <w:rPr>
          <w:rFonts w:hint="default" w:ascii="仿宋_GB2312" w:hAnsi="仿宋_GB2312" w:eastAsia="仿宋_GB2312" w:cs="仿宋_GB2312"/>
          <w:b w:val="0"/>
          <w:bCs w:val="0"/>
          <w:color w:val="000000"/>
          <w:sz w:val="24"/>
          <w:lang w:val="en-US" w:eastAsia="zh-CN"/>
        </w:rPr>
        <w:t>架构优化重心从训练转向推理，响应AI应用爆发式增长需求</w:t>
      </w:r>
    </w:p>
    <w:p w14:paraId="1AE5AD80">
      <w:pPr>
        <w:keepNext w:val="0"/>
        <w:keepLines w:val="0"/>
        <w:pageBreakBefore w:val="0"/>
        <w:numPr>
          <w:ilvl w:val="0"/>
          <w:numId w:val="1"/>
        </w:numPr>
        <w:kinsoku/>
        <w:wordWrap/>
        <w:overflowPunct/>
        <w:topLinePunct w:val="0"/>
        <w:autoSpaceDE/>
        <w:autoSpaceDN/>
        <w:bidi w:val="0"/>
        <w:adjustRightInd/>
        <w:snapToGrid/>
        <w:spacing w:before="157" w:line="560" w:lineRule="exact"/>
        <w:ind w:left="420" w:leftChars="0" w:hanging="420" w:firstLineChars="0"/>
        <w:jc w:val="both"/>
        <w:rPr>
          <w:rFonts w:hint="default" w:ascii="仿宋_GB2312" w:hAnsi="仿宋_GB2312" w:eastAsia="仿宋_GB2312" w:cs="仿宋_GB2312"/>
          <w:b w:val="0"/>
          <w:bCs w:val="0"/>
          <w:color w:val="000000"/>
          <w:sz w:val="24"/>
          <w:lang w:val="en-US" w:eastAsia="zh-CN"/>
        </w:rPr>
      </w:pPr>
      <w:r>
        <w:rPr>
          <w:rFonts w:hint="default" w:ascii="仿宋_GB2312" w:hAnsi="仿宋_GB2312" w:eastAsia="仿宋_GB2312" w:cs="仿宋_GB2312"/>
          <w:b/>
          <w:bCs/>
          <w:color w:val="000000"/>
          <w:sz w:val="24"/>
          <w:lang w:val="en-US" w:eastAsia="zh-CN"/>
        </w:rPr>
        <w:t>超大规模集群：</w:t>
      </w:r>
      <w:r>
        <w:rPr>
          <w:rFonts w:hint="default" w:ascii="仿宋_GB2312" w:hAnsi="仿宋_GB2312" w:eastAsia="仿宋_GB2312" w:cs="仿宋_GB2312"/>
          <w:b w:val="0"/>
          <w:bCs w:val="0"/>
          <w:color w:val="000000"/>
          <w:sz w:val="24"/>
          <w:lang w:val="en-US" w:eastAsia="zh-CN"/>
        </w:rPr>
        <w:t>支持万卡级互联，NVLink带宽达900GB/s，为万亿参数模型提供基础设施</w:t>
      </w:r>
    </w:p>
    <w:p w14:paraId="16069092">
      <w:pPr>
        <w:keepNext w:val="0"/>
        <w:keepLines w:val="0"/>
        <w:pageBreakBefore w:val="0"/>
        <w:kinsoku/>
        <w:wordWrap/>
        <w:overflowPunct/>
        <w:topLinePunct w:val="0"/>
        <w:autoSpaceDE/>
        <w:autoSpaceDN/>
        <w:bidi w:val="0"/>
        <w:adjustRightInd/>
        <w:snapToGrid/>
        <w:spacing w:before="157" w:line="560" w:lineRule="exact"/>
        <w:ind w:firstLine="480" w:firstLineChars="200"/>
        <w:jc w:val="both"/>
        <w:rPr>
          <w:rFonts w:hint="default" w:ascii="仿宋_GB2312" w:hAnsi="仿宋_GB2312" w:eastAsia="仿宋_GB2312" w:cs="仿宋_GB2312"/>
          <w:b w:val="0"/>
          <w:bCs w:val="0"/>
          <w:color w:val="000000"/>
          <w:sz w:val="24"/>
          <w:lang w:val="en-US" w:eastAsia="zh-CN"/>
        </w:rPr>
      </w:pPr>
      <w:r>
        <w:rPr>
          <w:rFonts w:hint="default" w:ascii="仿宋_GB2312" w:hAnsi="仿宋_GB2312" w:eastAsia="仿宋_GB2312" w:cs="仿宋_GB2312"/>
          <w:b w:val="0"/>
          <w:bCs w:val="0"/>
          <w:color w:val="000000"/>
          <w:sz w:val="24"/>
          <w:lang w:val="en-US" w:eastAsia="zh-CN"/>
        </w:rPr>
        <w:t>这标志着产业正从"算力堆砌"走向"效率革命"，先进封装与chiplet技术将良率提升30%以上，液冷散热效率提升50%，支持单机柜功率突破50kW。</w:t>
      </w:r>
    </w:p>
    <w:p w14:paraId="0794DAA3">
      <w:pPr>
        <w:spacing w:before="157" w:line="580" w:lineRule="exact"/>
        <w:outlineLvl w:val="0"/>
        <w:rPr>
          <w:rFonts w:hint="default" w:ascii="仿宋_GB2312" w:hAnsi="仿宋_GB2312" w:eastAsia="仿宋_GB2312" w:cs="仿宋_GB2312"/>
          <w:b/>
          <w:bCs/>
          <w:color w:val="000000"/>
          <w:sz w:val="24"/>
          <w:lang w:val="en-US" w:eastAsia="zh-CN"/>
        </w:rPr>
      </w:pPr>
      <w:r>
        <w:rPr>
          <w:rFonts w:hint="eastAsia" w:ascii="仿宋_GB2312" w:hAnsi="仿宋_GB2312" w:eastAsia="仿宋_GB2312" w:cs="仿宋_GB2312"/>
          <w:b/>
          <w:bCs/>
          <w:color w:val="000000"/>
          <w:sz w:val="24"/>
          <w:lang w:val="en-US" w:eastAsia="zh-CN"/>
        </w:rPr>
        <w:t>二</w:t>
      </w:r>
      <w:r>
        <w:rPr>
          <w:rFonts w:hint="default" w:ascii="仿宋_GB2312" w:hAnsi="仿宋_GB2312" w:eastAsia="仿宋_GB2312" w:cs="仿宋_GB2312"/>
          <w:b/>
          <w:bCs/>
          <w:color w:val="000000"/>
          <w:sz w:val="24"/>
          <w:lang w:val="en-US" w:eastAsia="zh-CN"/>
        </w:rPr>
        <w:t>、算电协同：能源与算力的双向重构</w:t>
      </w:r>
    </w:p>
    <w:p w14:paraId="7DFED15A">
      <w:pPr>
        <w:keepNext w:val="0"/>
        <w:keepLines w:val="0"/>
        <w:pageBreakBefore w:val="0"/>
        <w:kinsoku/>
        <w:wordWrap/>
        <w:overflowPunct/>
        <w:topLinePunct w:val="0"/>
        <w:autoSpaceDE/>
        <w:autoSpaceDN/>
        <w:bidi w:val="0"/>
        <w:adjustRightInd/>
        <w:snapToGrid/>
        <w:spacing w:before="157" w:line="560" w:lineRule="exact"/>
        <w:ind w:firstLine="480" w:firstLineChars="200"/>
        <w:jc w:val="both"/>
        <w:rPr>
          <w:rFonts w:hint="default" w:ascii="仿宋_GB2312" w:hAnsi="仿宋_GB2312" w:eastAsia="仿宋_GB2312" w:cs="仿宋_GB2312"/>
          <w:b w:val="0"/>
          <w:bCs w:val="0"/>
          <w:color w:val="000000"/>
          <w:sz w:val="24"/>
          <w:lang w:val="en-US" w:eastAsia="zh-CN"/>
        </w:rPr>
      </w:pPr>
      <w:r>
        <w:rPr>
          <w:rFonts w:hint="default" w:ascii="仿宋_GB2312" w:hAnsi="仿宋_GB2312" w:eastAsia="仿宋_GB2312" w:cs="仿宋_GB2312"/>
          <w:b w:val="0"/>
          <w:bCs w:val="0"/>
          <w:color w:val="000000"/>
          <w:sz w:val="24"/>
          <w:lang w:val="en-US" w:eastAsia="zh-CN"/>
        </w:rPr>
        <w:t>政策驱动层面，</w:t>
      </w:r>
      <w:r>
        <w:rPr>
          <w:rFonts w:hint="eastAsia" w:ascii="仿宋_GB2312" w:hAnsi="仿宋_GB2312" w:eastAsia="仿宋_GB2312" w:cs="仿宋_GB2312"/>
          <w:color w:val="000000"/>
          <w:sz w:val="24"/>
          <w:lang w:val="en-US" w:eastAsia="zh-CN"/>
        </w:rPr>
        <w:t>2025年5月工业和信息化部印发《算力互联互通行动计划》，旨在加快构建算力互联互通体系，实现不同主体、不同架构的公共算力资源标准化互联，提高资源使用效率和服务水平，促进算力高质量发展。到2026年，建立较为完备的算力互联互通标准、标识和规则体系，提升算力节点间网络互联互通水平，建成国家、区域、行业算力互联互通平台，推动算、存、网多种业务互通，实现跨主体、跨架构、跨地域算力供需调度，并开展算力互联网试验网试点；到2028年，基本实现全国公共算力标准化互联，逐步形成具备智能感知、实时发现、随需获取的算力互联网。</w:t>
      </w:r>
      <w:r>
        <w:rPr>
          <w:rFonts w:hint="default" w:ascii="仿宋_GB2312" w:hAnsi="仿宋_GB2312" w:eastAsia="仿宋_GB2312" w:cs="仿宋_GB2312"/>
          <w:b w:val="0"/>
          <w:bCs w:val="0"/>
          <w:color w:val="000000"/>
          <w:sz w:val="24"/>
          <w:lang w:val="en-US" w:eastAsia="zh-CN"/>
        </w:rPr>
        <w:t>技术路径上呈现双向协同特征：</w:t>
      </w:r>
    </w:p>
    <w:p w14:paraId="024F4637">
      <w:pPr>
        <w:keepNext w:val="0"/>
        <w:keepLines w:val="0"/>
        <w:pageBreakBefore w:val="0"/>
        <w:numPr>
          <w:ilvl w:val="0"/>
          <w:numId w:val="1"/>
        </w:numPr>
        <w:kinsoku/>
        <w:wordWrap/>
        <w:overflowPunct/>
        <w:topLinePunct w:val="0"/>
        <w:autoSpaceDE/>
        <w:autoSpaceDN/>
        <w:bidi w:val="0"/>
        <w:adjustRightInd/>
        <w:snapToGrid/>
        <w:spacing w:before="157" w:line="560" w:lineRule="exact"/>
        <w:ind w:left="420" w:leftChars="0" w:hanging="420" w:firstLineChars="0"/>
        <w:jc w:val="both"/>
        <w:rPr>
          <w:rFonts w:hint="default" w:ascii="仿宋_GB2312" w:hAnsi="仿宋_GB2312" w:eastAsia="仿宋_GB2312" w:cs="仿宋_GB2312"/>
          <w:b w:val="0"/>
          <w:bCs w:val="0"/>
          <w:color w:val="000000"/>
          <w:sz w:val="24"/>
          <w:lang w:val="en-US" w:eastAsia="zh-CN"/>
        </w:rPr>
      </w:pPr>
      <w:r>
        <w:rPr>
          <w:rFonts w:hint="default" w:ascii="仿宋_GB2312" w:hAnsi="仿宋_GB2312" w:eastAsia="仿宋_GB2312" w:cs="仿宋_GB2312"/>
          <w:b/>
          <w:bCs/>
          <w:color w:val="000000"/>
          <w:sz w:val="24"/>
          <w:lang w:val="en-US" w:eastAsia="zh-CN"/>
        </w:rPr>
        <w:t>绿色能源渗透：</w:t>
      </w:r>
      <w:r>
        <w:rPr>
          <w:rFonts w:hint="default" w:ascii="仿宋_GB2312" w:hAnsi="仿宋_GB2312" w:eastAsia="仿宋_GB2312" w:cs="仿宋_GB2312"/>
          <w:b w:val="0"/>
          <w:bCs w:val="0"/>
          <w:color w:val="000000"/>
          <w:sz w:val="24"/>
          <w:lang w:val="en-US" w:eastAsia="zh-CN"/>
        </w:rPr>
        <w:t>政策要求国家枢纽节点绿电占比达80%，风光互补、氢电耦合模式在西部枢纽广泛应用</w:t>
      </w:r>
    </w:p>
    <w:p w14:paraId="1E2F7802">
      <w:pPr>
        <w:keepNext w:val="0"/>
        <w:keepLines w:val="0"/>
        <w:pageBreakBefore w:val="0"/>
        <w:numPr>
          <w:ilvl w:val="0"/>
          <w:numId w:val="1"/>
        </w:numPr>
        <w:kinsoku/>
        <w:wordWrap/>
        <w:overflowPunct/>
        <w:topLinePunct w:val="0"/>
        <w:autoSpaceDE/>
        <w:autoSpaceDN/>
        <w:bidi w:val="0"/>
        <w:adjustRightInd/>
        <w:snapToGrid/>
        <w:spacing w:before="157" w:line="560" w:lineRule="exact"/>
        <w:ind w:left="420" w:leftChars="0" w:hanging="420" w:firstLineChars="0"/>
        <w:jc w:val="both"/>
        <w:rPr>
          <w:rFonts w:hint="default" w:ascii="仿宋_GB2312" w:hAnsi="仿宋_GB2312" w:eastAsia="仿宋_GB2312" w:cs="仿宋_GB2312"/>
          <w:b w:val="0"/>
          <w:bCs w:val="0"/>
          <w:color w:val="000000"/>
          <w:sz w:val="24"/>
          <w:lang w:val="en-US" w:eastAsia="zh-CN"/>
        </w:rPr>
      </w:pPr>
      <w:r>
        <w:rPr>
          <w:rFonts w:hint="default" w:ascii="仿宋_GB2312" w:hAnsi="仿宋_GB2312" w:eastAsia="仿宋_GB2312" w:cs="仿宋_GB2312"/>
          <w:b/>
          <w:bCs/>
          <w:color w:val="000000"/>
          <w:sz w:val="24"/>
          <w:lang w:val="en-US" w:eastAsia="zh-CN"/>
        </w:rPr>
        <w:t>算力电厂化：</w:t>
      </w:r>
      <w:r>
        <w:rPr>
          <w:rFonts w:hint="default" w:ascii="仿宋_GB2312" w:hAnsi="仿宋_GB2312" w:eastAsia="仿宋_GB2312" w:cs="仿宋_GB2312"/>
          <w:b w:val="0"/>
          <w:bCs w:val="0"/>
          <w:color w:val="000000"/>
          <w:sz w:val="24"/>
          <w:lang w:val="en-US" w:eastAsia="zh-CN"/>
        </w:rPr>
        <w:t>数据中心从用电大户向"虚拟电厂"转型，通过弹性负荷参与电网调峰，实现能源-算力双向调度</w:t>
      </w:r>
    </w:p>
    <w:p w14:paraId="35F64147">
      <w:pPr>
        <w:keepNext w:val="0"/>
        <w:keepLines w:val="0"/>
        <w:pageBreakBefore w:val="0"/>
        <w:numPr>
          <w:ilvl w:val="0"/>
          <w:numId w:val="1"/>
        </w:numPr>
        <w:kinsoku/>
        <w:wordWrap/>
        <w:overflowPunct/>
        <w:topLinePunct w:val="0"/>
        <w:autoSpaceDE/>
        <w:autoSpaceDN/>
        <w:bidi w:val="0"/>
        <w:adjustRightInd/>
        <w:snapToGrid/>
        <w:spacing w:before="157" w:line="560" w:lineRule="exact"/>
        <w:ind w:left="420" w:leftChars="0" w:hanging="420" w:firstLineChars="0"/>
        <w:jc w:val="both"/>
        <w:rPr>
          <w:rFonts w:hint="default" w:ascii="仿宋_GB2312" w:hAnsi="仿宋_GB2312" w:eastAsia="仿宋_GB2312" w:cs="仿宋_GB2312"/>
          <w:b w:val="0"/>
          <w:bCs w:val="0"/>
          <w:color w:val="000000"/>
          <w:sz w:val="24"/>
          <w:lang w:val="en-US" w:eastAsia="zh-CN"/>
        </w:rPr>
      </w:pPr>
      <w:r>
        <w:rPr>
          <w:rFonts w:hint="default" w:ascii="仿宋_GB2312" w:hAnsi="仿宋_GB2312" w:eastAsia="仿宋_GB2312" w:cs="仿宋_GB2312"/>
          <w:b/>
          <w:bCs/>
          <w:color w:val="000000"/>
          <w:sz w:val="24"/>
          <w:lang w:val="en-US" w:eastAsia="zh-CN"/>
        </w:rPr>
        <w:t>液冷技术普及：</w:t>
      </w:r>
      <w:r>
        <w:rPr>
          <w:rFonts w:hint="default" w:ascii="仿宋_GB2312" w:hAnsi="仿宋_GB2312" w:eastAsia="仿宋_GB2312" w:cs="仿宋_GB2312"/>
          <w:b w:val="0"/>
          <w:bCs w:val="0"/>
          <w:color w:val="000000"/>
          <w:sz w:val="24"/>
          <w:lang w:val="en-US" w:eastAsia="zh-CN"/>
        </w:rPr>
        <w:t>冷板式+浸没式全链条方案成为标配，散热效率提升50%，使PUE值降至1.04</w:t>
      </w:r>
    </w:p>
    <w:p w14:paraId="4FF225B9">
      <w:pPr>
        <w:keepNext w:val="0"/>
        <w:keepLines w:val="0"/>
        <w:pageBreakBefore w:val="0"/>
        <w:kinsoku/>
        <w:wordWrap/>
        <w:overflowPunct/>
        <w:topLinePunct w:val="0"/>
        <w:autoSpaceDE/>
        <w:autoSpaceDN/>
        <w:bidi w:val="0"/>
        <w:adjustRightInd/>
        <w:snapToGrid/>
        <w:spacing w:before="157" w:line="560" w:lineRule="exact"/>
        <w:ind w:firstLine="480" w:firstLineChars="200"/>
        <w:jc w:val="both"/>
        <w:rPr>
          <w:rFonts w:hint="default" w:ascii="仿宋_GB2312" w:hAnsi="仿宋_GB2312" w:eastAsia="仿宋_GB2312" w:cs="仿宋_GB2312"/>
          <w:b w:val="0"/>
          <w:bCs w:val="0"/>
          <w:color w:val="000000"/>
          <w:sz w:val="24"/>
          <w:lang w:val="en-US" w:eastAsia="zh-CN"/>
        </w:rPr>
      </w:pPr>
      <w:r>
        <w:rPr>
          <w:rFonts w:hint="default" w:ascii="仿宋_GB2312" w:hAnsi="仿宋_GB2312" w:eastAsia="仿宋_GB2312" w:cs="仿宋_GB2312"/>
          <w:b w:val="0"/>
          <w:bCs w:val="0"/>
          <w:color w:val="000000"/>
          <w:sz w:val="24"/>
          <w:lang w:val="en-US" w:eastAsia="zh-CN"/>
        </w:rPr>
        <w:t>这种协同打破了算力与电力的地理错配，西部枢纽凭借能源优势承接训练任务，东部枢纽聚焦低时延推理，形成"西训东推"新格局。</w:t>
      </w:r>
    </w:p>
    <w:p w14:paraId="07207229">
      <w:pPr>
        <w:spacing w:before="157" w:line="580" w:lineRule="exact"/>
        <w:outlineLvl w:val="0"/>
        <w:rPr>
          <w:rFonts w:hint="default" w:ascii="仿宋_GB2312" w:hAnsi="仿宋_GB2312" w:eastAsia="仿宋_GB2312" w:cs="仿宋_GB2312"/>
          <w:b/>
          <w:bCs/>
          <w:color w:val="000000"/>
          <w:sz w:val="24"/>
          <w:lang w:val="en-US" w:eastAsia="zh-CN"/>
        </w:rPr>
      </w:pPr>
      <w:r>
        <w:rPr>
          <w:rFonts w:hint="eastAsia" w:ascii="仿宋_GB2312" w:hAnsi="仿宋_GB2312" w:eastAsia="仿宋_GB2312" w:cs="仿宋_GB2312"/>
          <w:b/>
          <w:bCs/>
          <w:color w:val="000000"/>
          <w:sz w:val="24"/>
          <w:lang w:val="en-US" w:eastAsia="zh-CN"/>
        </w:rPr>
        <w:t>三</w:t>
      </w:r>
      <w:r>
        <w:rPr>
          <w:rFonts w:hint="default" w:ascii="仿宋_GB2312" w:hAnsi="仿宋_GB2312" w:eastAsia="仿宋_GB2312" w:cs="仿宋_GB2312"/>
          <w:b/>
          <w:bCs/>
          <w:color w:val="000000"/>
          <w:sz w:val="24"/>
          <w:lang w:val="en-US" w:eastAsia="zh-CN"/>
        </w:rPr>
        <w:t>、异构融合：从单一芯片到体系化创新</w:t>
      </w:r>
    </w:p>
    <w:p w14:paraId="66A1C5B3">
      <w:pPr>
        <w:keepNext w:val="0"/>
        <w:keepLines w:val="0"/>
        <w:pageBreakBefore w:val="0"/>
        <w:kinsoku/>
        <w:wordWrap/>
        <w:overflowPunct/>
        <w:topLinePunct w:val="0"/>
        <w:autoSpaceDE/>
        <w:autoSpaceDN/>
        <w:bidi w:val="0"/>
        <w:adjustRightInd/>
        <w:snapToGrid/>
        <w:spacing w:before="157" w:line="560" w:lineRule="exact"/>
        <w:ind w:firstLine="480" w:firstLineChars="200"/>
        <w:jc w:val="both"/>
        <w:rPr>
          <w:rFonts w:hint="default" w:ascii="仿宋_GB2312" w:hAnsi="仿宋_GB2312" w:eastAsia="仿宋_GB2312" w:cs="仿宋_GB2312"/>
          <w:b w:val="0"/>
          <w:bCs w:val="0"/>
          <w:color w:val="000000"/>
          <w:sz w:val="24"/>
          <w:lang w:val="en-US" w:eastAsia="zh-CN"/>
        </w:rPr>
      </w:pPr>
      <w:r>
        <w:rPr>
          <w:rFonts w:hint="default" w:ascii="仿宋_GB2312" w:hAnsi="仿宋_GB2312" w:eastAsia="仿宋_GB2312" w:cs="仿宋_GB2312"/>
          <w:b w:val="0"/>
          <w:bCs w:val="0"/>
          <w:color w:val="000000"/>
          <w:sz w:val="24"/>
          <w:lang w:val="en-US" w:eastAsia="zh-CN"/>
        </w:rPr>
        <w:t>单一架构已无法满足AI、大数据等复杂计算需求，异构计算成为主流趋势。技术演进呈现三个层次：</w:t>
      </w:r>
    </w:p>
    <w:p w14:paraId="02F8FA94">
      <w:pPr>
        <w:keepNext w:val="0"/>
        <w:keepLines w:val="0"/>
        <w:pageBreakBefore w:val="0"/>
        <w:numPr>
          <w:ilvl w:val="0"/>
          <w:numId w:val="1"/>
        </w:numPr>
        <w:kinsoku/>
        <w:wordWrap/>
        <w:overflowPunct/>
        <w:topLinePunct w:val="0"/>
        <w:autoSpaceDE/>
        <w:autoSpaceDN/>
        <w:bidi w:val="0"/>
        <w:adjustRightInd/>
        <w:snapToGrid/>
        <w:spacing w:before="157" w:line="560" w:lineRule="exact"/>
        <w:ind w:left="420" w:leftChars="0" w:hanging="420" w:firstLineChars="0"/>
        <w:jc w:val="both"/>
        <w:rPr>
          <w:rFonts w:hint="default" w:ascii="仿宋_GB2312" w:hAnsi="仿宋_GB2312" w:eastAsia="仿宋_GB2312" w:cs="仿宋_GB2312"/>
          <w:b w:val="0"/>
          <w:bCs w:val="0"/>
          <w:color w:val="000000"/>
          <w:sz w:val="24"/>
          <w:lang w:val="en-US" w:eastAsia="zh-CN"/>
        </w:rPr>
      </w:pPr>
      <w:r>
        <w:rPr>
          <w:rFonts w:hint="default" w:ascii="仿宋_GB2312" w:hAnsi="仿宋_GB2312" w:eastAsia="仿宋_GB2312" w:cs="仿宋_GB2312"/>
          <w:b/>
          <w:bCs/>
          <w:color w:val="000000"/>
          <w:sz w:val="24"/>
          <w:lang w:val="en-US" w:eastAsia="zh-CN"/>
        </w:rPr>
        <w:t>硬件层融合：</w:t>
      </w:r>
      <w:r>
        <w:rPr>
          <w:rFonts w:hint="default" w:ascii="仿宋_GB2312" w:hAnsi="仿宋_GB2312" w:eastAsia="仿宋_GB2312" w:cs="仿宋_GB2312"/>
          <w:b w:val="0"/>
          <w:bCs w:val="0"/>
          <w:color w:val="000000"/>
          <w:sz w:val="24"/>
          <w:lang w:val="en-US" w:eastAsia="zh-CN"/>
        </w:rPr>
        <w:t>CPU负责逻辑调度，GPU处理并行计算，FPGA/ASIC执行专用加速，华为、寒武纪已推出支持异构计算的全栈方案</w:t>
      </w:r>
    </w:p>
    <w:p w14:paraId="7B7AB3BE">
      <w:pPr>
        <w:keepNext w:val="0"/>
        <w:keepLines w:val="0"/>
        <w:pageBreakBefore w:val="0"/>
        <w:numPr>
          <w:ilvl w:val="0"/>
          <w:numId w:val="1"/>
        </w:numPr>
        <w:kinsoku/>
        <w:wordWrap/>
        <w:overflowPunct/>
        <w:topLinePunct w:val="0"/>
        <w:autoSpaceDE/>
        <w:autoSpaceDN/>
        <w:bidi w:val="0"/>
        <w:adjustRightInd/>
        <w:snapToGrid/>
        <w:spacing w:before="157" w:line="560" w:lineRule="exact"/>
        <w:ind w:left="420" w:leftChars="0" w:hanging="420" w:firstLineChars="0"/>
        <w:jc w:val="both"/>
        <w:rPr>
          <w:rFonts w:hint="default" w:ascii="仿宋_GB2312" w:hAnsi="仿宋_GB2312" w:eastAsia="仿宋_GB2312" w:cs="仿宋_GB2312"/>
          <w:b w:val="0"/>
          <w:bCs w:val="0"/>
          <w:color w:val="000000"/>
          <w:sz w:val="24"/>
          <w:lang w:val="en-US" w:eastAsia="zh-CN"/>
        </w:rPr>
      </w:pPr>
      <w:r>
        <w:rPr>
          <w:rFonts w:hint="default" w:ascii="仿宋_GB2312" w:hAnsi="仿宋_GB2312" w:eastAsia="仿宋_GB2312" w:cs="仿宋_GB2312"/>
          <w:b/>
          <w:bCs/>
          <w:color w:val="000000"/>
          <w:sz w:val="24"/>
          <w:lang w:val="en-US" w:eastAsia="zh-CN"/>
        </w:rPr>
        <w:t>软件层贯通：</w:t>
      </w:r>
      <w:r>
        <w:rPr>
          <w:rFonts w:hint="default" w:ascii="仿宋_GB2312" w:hAnsi="仿宋_GB2312" w:eastAsia="仿宋_GB2312" w:cs="仿宋_GB2312"/>
          <w:b w:val="0"/>
          <w:bCs w:val="0"/>
          <w:color w:val="000000"/>
          <w:sz w:val="24"/>
          <w:lang w:val="en-US" w:eastAsia="zh-CN"/>
        </w:rPr>
        <w:t>联想万全异构智算平台3.0版本将千卡训练MFU（模型浮点计算利用率）从30%提升至60%</w:t>
      </w:r>
    </w:p>
    <w:p w14:paraId="692C0BCA">
      <w:pPr>
        <w:keepNext w:val="0"/>
        <w:keepLines w:val="0"/>
        <w:pageBreakBefore w:val="0"/>
        <w:numPr>
          <w:ilvl w:val="0"/>
          <w:numId w:val="1"/>
        </w:numPr>
        <w:kinsoku/>
        <w:wordWrap/>
        <w:overflowPunct/>
        <w:topLinePunct w:val="0"/>
        <w:autoSpaceDE/>
        <w:autoSpaceDN/>
        <w:bidi w:val="0"/>
        <w:adjustRightInd/>
        <w:snapToGrid/>
        <w:spacing w:before="157" w:line="560" w:lineRule="exact"/>
        <w:ind w:left="420" w:leftChars="0" w:hanging="420" w:firstLineChars="0"/>
        <w:jc w:val="both"/>
        <w:rPr>
          <w:rFonts w:hint="default" w:ascii="仿宋_GB2312" w:hAnsi="仿宋_GB2312" w:eastAsia="仿宋_GB2312" w:cs="仿宋_GB2312"/>
          <w:b w:val="0"/>
          <w:bCs w:val="0"/>
          <w:color w:val="000000"/>
          <w:sz w:val="24"/>
          <w:lang w:val="en-US" w:eastAsia="zh-CN"/>
        </w:rPr>
      </w:pPr>
      <w:r>
        <w:rPr>
          <w:rFonts w:hint="default" w:ascii="仿宋_GB2312" w:hAnsi="仿宋_GB2312" w:eastAsia="仿宋_GB2312" w:cs="仿宋_GB2312"/>
          <w:b/>
          <w:bCs/>
          <w:color w:val="000000"/>
          <w:sz w:val="24"/>
          <w:lang w:val="en-US" w:eastAsia="zh-CN"/>
        </w:rPr>
        <w:t>协议层突破：</w:t>
      </w:r>
      <w:r>
        <w:rPr>
          <w:rFonts w:hint="default" w:ascii="仿宋_GB2312" w:hAnsi="仿宋_GB2312" w:eastAsia="仿宋_GB2312" w:cs="仿宋_GB2312"/>
          <w:b w:val="0"/>
          <w:bCs w:val="0"/>
          <w:color w:val="000000"/>
          <w:sz w:val="24"/>
          <w:lang w:val="en-US" w:eastAsia="zh-CN"/>
        </w:rPr>
        <w:t>OISA2.0协议支持1024张AI芯片互联，带宽突破TB/s级别，时延缩短至数百纳秒</w:t>
      </w:r>
    </w:p>
    <w:p w14:paraId="085667A8">
      <w:pPr>
        <w:keepNext w:val="0"/>
        <w:keepLines w:val="0"/>
        <w:pageBreakBefore w:val="0"/>
        <w:kinsoku/>
        <w:wordWrap/>
        <w:overflowPunct/>
        <w:topLinePunct w:val="0"/>
        <w:autoSpaceDE/>
        <w:autoSpaceDN/>
        <w:bidi w:val="0"/>
        <w:adjustRightInd/>
        <w:snapToGrid/>
        <w:spacing w:before="157" w:line="560" w:lineRule="exact"/>
        <w:ind w:firstLine="480" w:firstLineChars="200"/>
        <w:jc w:val="both"/>
        <w:rPr>
          <w:rFonts w:hint="default" w:ascii="Segoe UI" w:hAnsi="Segoe UI" w:eastAsia="Segoe UI" w:cs="Segoe UI"/>
          <w:i w:val="0"/>
          <w:iCs w:val="0"/>
          <w:caps w:val="0"/>
          <w:spacing w:val="0"/>
          <w:kern w:val="0"/>
          <w:sz w:val="24"/>
          <w:szCs w:val="24"/>
          <w:bdr w:val="none" w:color="auto" w:sz="0" w:space="0"/>
          <w:shd w:val="clear" w:fill="FFFFFF"/>
          <w:vertAlign w:val="baseline"/>
          <w:lang w:val="en-US" w:eastAsia="zh-CN" w:bidi="ar"/>
        </w:rPr>
      </w:pPr>
      <w:r>
        <w:rPr>
          <w:rFonts w:hint="default" w:ascii="仿宋_GB2312" w:hAnsi="仿宋_GB2312" w:eastAsia="仿宋_GB2312" w:cs="仿宋_GB2312"/>
          <w:b w:val="0"/>
          <w:bCs w:val="0"/>
          <w:color w:val="000000"/>
          <w:sz w:val="24"/>
          <w:lang w:val="en-US" w:eastAsia="zh-CN"/>
        </w:rPr>
        <w:t>未来量子计算将开辟新维度，预计2030年量子计算机操作次数突破10^20次，与经典计算形成"超异构"体系。</w:t>
      </w:r>
    </w:p>
    <w:p w14:paraId="6D585D5A">
      <w:pPr>
        <w:spacing w:before="157" w:line="580" w:lineRule="exact"/>
        <w:outlineLvl w:val="0"/>
        <w:rPr>
          <w:rFonts w:hint="default" w:ascii="仿宋_GB2312" w:hAnsi="仿宋_GB2312" w:eastAsia="仿宋_GB2312" w:cs="仿宋_GB2312"/>
          <w:b/>
          <w:bCs/>
          <w:color w:val="000000"/>
          <w:sz w:val="24"/>
          <w:lang w:val="en-US" w:eastAsia="zh-CN"/>
        </w:rPr>
      </w:pPr>
      <w:r>
        <w:rPr>
          <w:rFonts w:hint="eastAsia" w:ascii="仿宋_GB2312" w:hAnsi="仿宋_GB2312" w:eastAsia="仿宋_GB2312" w:cs="仿宋_GB2312"/>
          <w:b/>
          <w:bCs/>
          <w:color w:val="000000"/>
          <w:sz w:val="24"/>
          <w:lang w:val="en-US" w:eastAsia="zh-CN"/>
        </w:rPr>
        <w:t>四</w:t>
      </w:r>
      <w:r>
        <w:rPr>
          <w:rFonts w:hint="default" w:ascii="仿宋_GB2312" w:hAnsi="仿宋_GB2312" w:eastAsia="仿宋_GB2312" w:cs="仿宋_GB2312"/>
          <w:b/>
          <w:bCs/>
          <w:color w:val="000000"/>
          <w:sz w:val="24"/>
          <w:lang w:val="en-US" w:eastAsia="zh-CN"/>
        </w:rPr>
        <w:t>、中美先进算力竞争：封锁与突破的攻防战</w:t>
      </w:r>
    </w:p>
    <w:p w14:paraId="5529917D">
      <w:pPr>
        <w:keepNext w:val="0"/>
        <w:keepLines w:val="0"/>
        <w:pageBreakBefore w:val="0"/>
        <w:kinsoku/>
        <w:wordWrap/>
        <w:overflowPunct/>
        <w:topLinePunct w:val="0"/>
        <w:autoSpaceDE/>
        <w:autoSpaceDN/>
        <w:bidi w:val="0"/>
        <w:adjustRightInd/>
        <w:snapToGrid/>
        <w:spacing w:before="157" w:line="560" w:lineRule="exact"/>
        <w:ind w:firstLine="480" w:firstLineChars="200"/>
        <w:jc w:val="both"/>
        <w:rPr>
          <w:rFonts w:hint="default" w:ascii="仿宋_GB2312" w:hAnsi="仿宋_GB2312" w:eastAsia="仿宋_GB2312" w:cs="仿宋_GB2312"/>
          <w:b w:val="0"/>
          <w:bCs w:val="0"/>
          <w:color w:val="000000"/>
          <w:sz w:val="24"/>
          <w:lang w:val="en-US" w:eastAsia="zh-CN"/>
        </w:rPr>
      </w:pPr>
      <w:r>
        <w:rPr>
          <w:rFonts w:hint="default" w:ascii="仿宋_GB2312" w:hAnsi="仿宋_GB2312" w:eastAsia="仿宋_GB2312" w:cs="仿宋_GB2312"/>
          <w:b w:val="0"/>
          <w:bCs w:val="0"/>
          <w:color w:val="000000"/>
          <w:sz w:val="24"/>
          <w:lang w:val="en-US" w:eastAsia="zh-CN"/>
        </w:rPr>
        <w:t>中美AI竞争是技术路径与产业生态的博弈。美国靠架构创新与闭环验证巩固底层优势，中国凭工程化能力与场景驱动实现突围。未来3-5年，3D可重构芯片与Self-Play商业化将成为关键变量，这一周期既是中国补齐底层短板的攻坚期，也是技术差距能否缩小的决胜期，差距的弥合需依赖底层创新与产业协同双突破。</w:t>
      </w:r>
    </w:p>
    <w:p w14:paraId="410B15E6">
      <w:pPr>
        <w:keepNext w:val="0"/>
        <w:keepLines w:val="0"/>
        <w:pageBreakBefore w:val="0"/>
        <w:kinsoku/>
        <w:wordWrap/>
        <w:overflowPunct/>
        <w:topLinePunct w:val="0"/>
        <w:autoSpaceDE/>
        <w:autoSpaceDN/>
        <w:bidi w:val="0"/>
        <w:adjustRightInd/>
        <w:snapToGrid/>
        <w:spacing w:before="157" w:line="560" w:lineRule="exact"/>
        <w:ind w:firstLine="482" w:firstLineChars="200"/>
        <w:jc w:val="both"/>
        <w:rPr>
          <w:rFonts w:hint="default" w:ascii="仿宋_GB2312" w:hAnsi="仿宋_GB2312" w:eastAsia="仿宋_GB2312" w:cs="仿宋_GB2312"/>
          <w:color w:val="000000"/>
          <w:sz w:val="24"/>
          <w:lang w:val="en-US" w:eastAsia="zh-CN"/>
        </w:rPr>
      </w:pPr>
      <w:r>
        <w:rPr>
          <w:rFonts w:hint="default" w:ascii="仿宋_GB2312" w:hAnsi="仿宋_GB2312" w:eastAsia="仿宋_GB2312" w:cs="仿宋_GB2312"/>
          <w:b/>
          <w:bCs/>
          <w:color w:val="000000"/>
          <w:sz w:val="24"/>
          <w:lang w:val="en-US" w:eastAsia="zh-CN"/>
        </w:rPr>
        <w:t>美国战略：</w:t>
      </w:r>
      <w:r>
        <w:rPr>
          <w:rFonts w:hint="default" w:ascii="仿宋_GB2312" w:hAnsi="仿宋_GB2312" w:eastAsia="仿宋_GB2312" w:cs="仿宋_GB2312"/>
          <w:color w:val="000000"/>
          <w:sz w:val="24"/>
          <w:lang w:val="en-US" w:eastAsia="zh-CN"/>
        </w:rPr>
        <w:t>依托"芯片-数据中心"霸权构建技术护城河。2025年《CHIPS-2》法案追加500亿美元补贴，实施分级出口管制——对盟友无限制（Tier-1），对伙伴国限5000颗/年（Tier-2），对华禁运&gt;1026 FLOP训练芯片（Tier-0）</w:t>
      </w:r>
      <w:r>
        <w:rPr>
          <w:rFonts w:hint="default" w:ascii="仿宋_GB2312" w:hAnsi="仿宋_GB2312" w:eastAsia="仿宋_GB2312" w:cs="仿宋_GB2312"/>
          <w:color w:val="000000"/>
          <w:sz w:val="24"/>
          <w:lang w:val="en-US" w:eastAsia="zh-CN"/>
        </w:rPr>
        <w:fldChar w:fldCharType="begin"/>
      </w:r>
      <w:r>
        <w:rPr>
          <w:rFonts w:hint="default" w:ascii="仿宋_GB2312" w:hAnsi="仿宋_GB2312" w:eastAsia="仿宋_GB2312" w:cs="仿宋_GB2312"/>
          <w:color w:val="000000"/>
          <w:sz w:val="24"/>
          <w:lang w:val="en-US" w:eastAsia="zh-CN"/>
        </w:rPr>
        <w:instrText xml:space="preserve"> HYPERLINK "http://mp.weixin.qq.com/s?__biz=Mzk0MjI2MzI4NQ==&amp;mid=2247489127&amp;idx=2&amp;sn=cc9cf7be99f87be610f6ad8525c539d8" \t "https://www.kimi.com/chat/_blank" </w:instrText>
      </w:r>
      <w:r>
        <w:rPr>
          <w:rFonts w:hint="default" w:ascii="仿宋_GB2312" w:hAnsi="仿宋_GB2312" w:eastAsia="仿宋_GB2312" w:cs="仿宋_GB2312"/>
          <w:color w:val="000000"/>
          <w:sz w:val="24"/>
          <w:lang w:val="en-US" w:eastAsia="zh-CN"/>
        </w:rPr>
        <w:fldChar w:fldCharType="separate"/>
      </w:r>
      <w:r>
        <w:rPr>
          <w:rFonts w:hint="default" w:ascii="仿宋_GB2312" w:hAnsi="仿宋_GB2312" w:eastAsia="仿宋_GB2312" w:cs="仿宋_GB2312"/>
          <w:color w:val="000000"/>
          <w:sz w:val="24"/>
          <w:lang w:val="en-US" w:eastAsia="zh-CN"/>
        </w:rPr>
        <w:fldChar w:fldCharType="end"/>
      </w:r>
      <w:r>
        <w:rPr>
          <w:rFonts w:hint="default" w:ascii="仿宋_GB2312" w:hAnsi="仿宋_GB2312" w:eastAsia="仿宋_GB2312" w:cs="仿宋_GB2312"/>
          <w:color w:val="000000"/>
          <w:sz w:val="24"/>
          <w:lang w:val="en-US" w:eastAsia="zh-CN"/>
        </w:rPr>
        <w:t>。技术代差策略明确：Blackwell芯片性能较H200强3-5倍，但对华严格禁售以维持领先优势。</w:t>
      </w:r>
    </w:p>
    <w:p w14:paraId="015D350D">
      <w:pPr>
        <w:keepNext w:val="0"/>
        <w:keepLines w:val="0"/>
        <w:pageBreakBefore w:val="0"/>
        <w:kinsoku/>
        <w:wordWrap/>
        <w:overflowPunct/>
        <w:topLinePunct w:val="0"/>
        <w:autoSpaceDE/>
        <w:autoSpaceDN/>
        <w:bidi w:val="0"/>
        <w:adjustRightInd/>
        <w:snapToGrid/>
        <w:spacing w:before="157" w:line="560" w:lineRule="exact"/>
        <w:ind w:firstLine="482" w:firstLineChars="200"/>
        <w:jc w:val="both"/>
        <w:rPr>
          <w:rFonts w:hint="default" w:ascii="仿宋_GB2312" w:hAnsi="仿宋_GB2312" w:eastAsia="仿宋_GB2312" w:cs="仿宋_GB2312"/>
          <w:color w:val="000000"/>
          <w:sz w:val="24"/>
          <w:lang w:val="en-US" w:eastAsia="zh-CN"/>
        </w:rPr>
      </w:pPr>
      <w:r>
        <w:rPr>
          <w:rFonts w:hint="default" w:ascii="仿宋_GB2312" w:hAnsi="仿宋_GB2312" w:eastAsia="仿宋_GB2312" w:cs="仿宋_GB2312"/>
          <w:b/>
          <w:bCs/>
          <w:color w:val="000000"/>
          <w:sz w:val="24"/>
          <w:lang w:val="en-US" w:eastAsia="zh-CN"/>
        </w:rPr>
        <w:t>中国现状：</w:t>
      </w:r>
      <w:r>
        <w:rPr>
          <w:rFonts w:hint="default" w:ascii="仿宋_GB2312" w:hAnsi="仿宋_GB2312" w:eastAsia="仿宋_GB2312" w:cs="仿宋_GB2312"/>
          <w:color w:val="000000"/>
          <w:sz w:val="24"/>
          <w:lang w:val="en-US" w:eastAsia="zh-CN"/>
        </w:rPr>
        <w:t>面临"七倍算力差距"现实——英伟达H100 FP16算力达1979 TFLOPS，是华为昇腾910B的7.7倍；显存带宽3360 GB/s，高出3.36倍。但呈现出"模型性能追赶快、底层硬件突破慢"的不均衡特征：2025年中美顶尖模型性能差距缩小至0.3%，训练成本仅为美国同类模型的3%。</w:t>
      </w:r>
    </w:p>
    <w:p w14:paraId="12A09AEB">
      <w:pPr>
        <w:keepNext w:val="0"/>
        <w:keepLines w:val="0"/>
        <w:pageBreakBefore w:val="0"/>
        <w:kinsoku/>
        <w:wordWrap/>
        <w:overflowPunct/>
        <w:topLinePunct w:val="0"/>
        <w:autoSpaceDE/>
        <w:autoSpaceDN/>
        <w:bidi w:val="0"/>
        <w:adjustRightInd/>
        <w:snapToGrid/>
        <w:spacing w:before="157" w:line="560" w:lineRule="exact"/>
        <w:jc w:val="both"/>
        <w:rPr>
          <w:rFonts w:hint="default" w:ascii="仿宋_GB2312" w:hAnsi="仿宋_GB2312" w:eastAsia="仿宋_GB2312" w:cs="仿宋_GB2312"/>
          <w:b/>
          <w:bCs/>
          <w:color w:val="000000"/>
          <w:sz w:val="24"/>
          <w:lang w:val="en-US" w:eastAsia="zh-CN"/>
        </w:rPr>
      </w:pPr>
      <w:r>
        <w:rPr>
          <w:rFonts w:hint="default" w:ascii="仿宋_GB2312" w:hAnsi="仿宋_GB2312" w:eastAsia="仿宋_GB2312" w:cs="仿宋_GB2312"/>
          <w:b/>
          <w:bCs/>
          <w:color w:val="000000"/>
          <w:sz w:val="24"/>
          <w:lang w:val="en-US" w:eastAsia="zh-CN"/>
        </w:rPr>
        <w:t>核心差异：</w:t>
      </w:r>
    </w:p>
    <w:p w14:paraId="6E844BA9">
      <w:pPr>
        <w:keepNext w:val="0"/>
        <w:keepLines w:val="0"/>
        <w:pageBreakBefore w:val="0"/>
        <w:numPr>
          <w:ilvl w:val="0"/>
          <w:numId w:val="1"/>
        </w:numPr>
        <w:kinsoku/>
        <w:wordWrap/>
        <w:overflowPunct/>
        <w:topLinePunct w:val="0"/>
        <w:autoSpaceDE/>
        <w:autoSpaceDN/>
        <w:bidi w:val="0"/>
        <w:adjustRightInd/>
        <w:snapToGrid/>
        <w:spacing w:before="157" w:line="560" w:lineRule="exact"/>
        <w:ind w:left="420" w:leftChars="0" w:hanging="420" w:firstLineChars="0"/>
        <w:jc w:val="both"/>
        <w:rPr>
          <w:rFonts w:hint="default" w:ascii="仿宋_GB2312" w:hAnsi="仿宋_GB2312" w:eastAsia="仿宋_GB2312" w:cs="仿宋_GB2312"/>
          <w:b w:val="0"/>
          <w:bCs w:val="0"/>
          <w:color w:val="000000"/>
          <w:sz w:val="24"/>
          <w:lang w:val="en-US" w:eastAsia="zh-CN"/>
        </w:rPr>
      </w:pPr>
      <w:r>
        <w:rPr>
          <w:rFonts w:hint="default" w:ascii="仿宋_GB2312" w:hAnsi="仿宋_GB2312" w:eastAsia="仿宋_GB2312" w:cs="仿宋_GB2312"/>
          <w:b/>
          <w:bCs/>
          <w:color w:val="000000"/>
          <w:sz w:val="24"/>
          <w:lang w:val="en-US" w:eastAsia="zh-CN"/>
        </w:rPr>
        <w:t>技术栈：</w:t>
      </w:r>
      <w:r>
        <w:rPr>
          <w:rFonts w:hint="default" w:ascii="仿宋_GB2312" w:hAnsi="仿宋_GB2312" w:eastAsia="仿宋_GB2312" w:cs="仿宋_GB2312"/>
          <w:b w:val="0"/>
          <w:bCs w:val="0"/>
          <w:color w:val="000000"/>
          <w:sz w:val="24"/>
          <w:lang w:val="en-US" w:eastAsia="zh-CN"/>
        </w:rPr>
        <w:t>美国主导基础层（CUDA生态、NVLink互联），中国强于应用层（场景优化、数据闭环）</w:t>
      </w:r>
    </w:p>
    <w:p w14:paraId="4102AB1A">
      <w:pPr>
        <w:keepNext w:val="0"/>
        <w:keepLines w:val="0"/>
        <w:pageBreakBefore w:val="0"/>
        <w:numPr>
          <w:ilvl w:val="0"/>
          <w:numId w:val="1"/>
        </w:numPr>
        <w:kinsoku/>
        <w:wordWrap/>
        <w:overflowPunct/>
        <w:topLinePunct w:val="0"/>
        <w:autoSpaceDE/>
        <w:autoSpaceDN/>
        <w:bidi w:val="0"/>
        <w:adjustRightInd/>
        <w:snapToGrid/>
        <w:spacing w:before="157" w:line="560" w:lineRule="exact"/>
        <w:ind w:left="420" w:leftChars="0" w:hanging="420" w:firstLineChars="0"/>
        <w:jc w:val="both"/>
        <w:rPr>
          <w:rFonts w:hint="default" w:ascii="仿宋_GB2312" w:hAnsi="仿宋_GB2312" w:eastAsia="仿宋_GB2312" w:cs="仿宋_GB2312"/>
          <w:b w:val="0"/>
          <w:bCs w:val="0"/>
          <w:color w:val="000000"/>
          <w:sz w:val="24"/>
          <w:lang w:val="en-US" w:eastAsia="zh-CN"/>
        </w:rPr>
      </w:pPr>
      <w:r>
        <w:rPr>
          <w:rFonts w:hint="default" w:ascii="仿宋_GB2312" w:hAnsi="仿宋_GB2312" w:eastAsia="仿宋_GB2312" w:cs="仿宋_GB2312"/>
          <w:b/>
          <w:bCs/>
          <w:color w:val="000000"/>
          <w:sz w:val="24"/>
          <w:lang w:val="en-US" w:eastAsia="zh-CN"/>
        </w:rPr>
        <w:t>创新路径：</w:t>
      </w:r>
      <w:r>
        <w:rPr>
          <w:rFonts w:hint="default" w:ascii="仿宋_GB2312" w:hAnsi="仿宋_GB2312" w:eastAsia="仿宋_GB2312" w:cs="仿宋_GB2312"/>
          <w:b w:val="0"/>
          <w:bCs w:val="0"/>
          <w:color w:val="000000"/>
          <w:sz w:val="24"/>
          <w:lang w:val="en-US" w:eastAsia="zh-CN"/>
        </w:rPr>
        <w:t>美国依赖资本驱动的算法原生创新，中国通过工程化创新（如MoE架构）实现低成本高性能</w:t>
      </w:r>
    </w:p>
    <w:p w14:paraId="7FFC62CB">
      <w:pPr>
        <w:keepNext w:val="0"/>
        <w:keepLines w:val="0"/>
        <w:pageBreakBefore w:val="0"/>
        <w:numPr>
          <w:ilvl w:val="0"/>
          <w:numId w:val="1"/>
        </w:numPr>
        <w:kinsoku/>
        <w:wordWrap/>
        <w:overflowPunct/>
        <w:topLinePunct w:val="0"/>
        <w:autoSpaceDE/>
        <w:autoSpaceDN/>
        <w:bidi w:val="0"/>
        <w:adjustRightInd/>
        <w:snapToGrid/>
        <w:spacing w:before="157" w:line="560" w:lineRule="exact"/>
        <w:ind w:left="420" w:leftChars="0" w:hanging="420" w:firstLineChars="0"/>
        <w:jc w:val="both"/>
      </w:pPr>
      <w:r>
        <w:rPr>
          <w:rFonts w:hint="default" w:ascii="仿宋_GB2312" w:hAnsi="仿宋_GB2312" w:eastAsia="仿宋_GB2312" w:cs="仿宋_GB2312"/>
          <w:b/>
          <w:bCs/>
          <w:color w:val="000000"/>
          <w:sz w:val="24"/>
          <w:lang w:val="en-US" w:eastAsia="zh-CN"/>
        </w:rPr>
        <w:t>产业生态：</w:t>
      </w:r>
      <w:r>
        <w:rPr>
          <w:rFonts w:hint="default" w:ascii="仿宋_GB2312" w:hAnsi="仿宋_GB2312" w:eastAsia="仿宋_GB2312" w:cs="仿宋_GB2312"/>
          <w:b w:val="0"/>
          <w:bCs w:val="0"/>
          <w:color w:val="000000"/>
          <w:sz w:val="24"/>
          <w:lang w:val="en-US" w:eastAsia="zh-CN"/>
        </w:rPr>
        <w:t>美国AI SaaS占全球60%份额，中国中标企业级场景渗透率超60%</w:t>
      </w:r>
    </w:p>
    <w:p w14:paraId="7B5F7F09">
      <w:pPr>
        <w:pStyle w:val="2"/>
        <w:rPr>
          <w:rFonts w:hint="default" w:ascii="仿宋_GB2312" w:hAnsi="仿宋_GB2312" w:eastAsia="仿宋_GB2312" w:cs="仿宋_GB2312"/>
          <w:b w:val="0"/>
          <w:bCs w:val="0"/>
          <w:color w:val="000000"/>
          <w:sz w:val="24"/>
          <w:lang w:val="en-US" w:eastAsia="zh-CN"/>
        </w:rPr>
      </w:pPr>
    </w:p>
    <w:p w14:paraId="634E9679">
      <w:pPr>
        <w:keepNext w:val="0"/>
        <w:keepLines w:val="0"/>
        <w:pageBreakBefore w:val="0"/>
        <w:kinsoku/>
        <w:wordWrap/>
        <w:overflowPunct/>
        <w:topLinePunct w:val="0"/>
        <w:autoSpaceDE/>
        <w:autoSpaceDN/>
        <w:bidi w:val="0"/>
        <w:adjustRightInd/>
        <w:snapToGrid/>
        <w:spacing w:before="157" w:line="560" w:lineRule="exact"/>
        <w:jc w:val="both"/>
        <w:rPr>
          <w:rFonts w:hint="default" w:ascii="仿宋_GB2312" w:hAnsi="仿宋_GB2312" w:eastAsia="仿宋_GB2312" w:cs="仿宋_GB2312"/>
          <w:b/>
          <w:bCs/>
          <w:color w:val="000000"/>
          <w:sz w:val="24"/>
          <w:lang w:val="en-US" w:eastAsia="zh-CN"/>
        </w:rPr>
      </w:pPr>
      <w:r>
        <w:rPr>
          <w:rFonts w:hint="eastAsia" w:ascii="仿宋_GB2312" w:hAnsi="仿宋_GB2312" w:eastAsia="仿宋_GB2312" w:cs="仿宋_GB2312"/>
          <w:b/>
          <w:bCs/>
          <w:color w:val="000000"/>
          <w:sz w:val="24"/>
          <w:lang w:val="en-US" w:eastAsia="zh-CN"/>
        </w:rPr>
        <w:t>其他文字参考：</w:t>
      </w:r>
    </w:p>
    <w:p w14:paraId="02E7E75B">
      <w:pPr>
        <w:keepNext w:val="0"/>
        <w:keepLines w:val="0"/>
        <w:pageBreakBefore w:val="0"/>
        <w:kinsoku/>
        <w:wordWrap/>
        <w:overflowPunct/>
        <w:topLinePunct w:val="0"/>
        <w:autoSpaceDE/>
        <w:autoSpaceDN/>
        <w:bidi w:val="0"/>
        <w:adjustRightInd/>
        <w:snapToGrid/>
        <w:spacing w:before="157" w:line="560" w:lineRule="exact"/>
        <w:ind w:firstLine="480" w:firstLineChars="200"/>
        <w:jc w:val="both"/>
        <w:rPr>
          <w:rFonts w:hint="default" w:ascii="仿宋_GB2312" w:hAnsi="仿宋_GB2312" w:eastAsia="仿宋_GB2312" w:cs="仿宋_GB2312"/>
          <w:color w:val="000000"/>
          <w:sz w:val="24"/>
          <w:lang w:val="en-US" w:eastAsia="zh-CN"/>
        </w:rPr>
      </w:pPr>
      <w:r>
        <w:rPr>
          <w:rFonts w:hint="default" w:ascii="仿宋_GB2312" w:hAnsi="仿宋_GB2312" w:eastAsia="仿宋_GB2312" w:cs="仿宋_GB2312"/>
          <w:color w:val="000000"/>
          <w:sz w:val="24"/>
          <w:lang w:val="en-US" w:eastAsia="zh-CN"/>
        </w:rPr>
        <w:t>习近平深刻指出：</w:t>
      </w:r>
      <w:r>
        <w:rPr>
          <w:rFonts w:hint="eastAsia" w:ascii="仿宋_GB2312" w:hAnsi="仿宋_GB2312" w:eastAsia="仿宋_GB2312" w:cs="仿宋_GB2312"/>
          <w:color w:val="000000"/>
          <w:sz w:val="24"/>
          <w:lang w:val="en-US" w:eastAsia="zh-CN"/>
        </w:rPr>
        <w:t>“加快发展新一代人工智能是我们赢得全球科技竞争主动权的重要战略抓手”，</w:t>
      </w:r>
      <w:r>
        <w:rPr>
          <w:rFonts w:hint="default" w:ascii="仿宋_GB2312" w:hAnsi="仿宋_GB2312" w:eastAsia="仿宋_GB2312" w:cs="仿宋_GB2312"/>
          <w:color w:val="000000"/>
          <w:sz w:val="24"/>
          <w:lang w:val="en-US" w:eastAsia="zh-CN"/>
        </w:rPr>
        <w:t>要充分发挥海量数据和丰富应用场景优势，促进数字技术和实体经济深度融合。</w:t>
      </w:r>
    </w:p>
    <w:p w14:paraId="756BD443">
      <w:pPr>
        <w:keepNext w:val="0"/>
        <w:keepLines w:val="0"/>
        <w:pageBreakBefore w:val="0"/>
        <w:kinsoku/>
        <w:wordWrap/>
        <w:overflowPunct/>
        <w:topLinePunct w:val="0"/>
        <w:autoSpaceDE/>
        <w:autoSpaceDN/>
        <w:bidi w:val="0"/>
        <w:adjustRightInd/>
        <w:snapToGrid/>
        <w:spacing w:before="157" w:line="560" w:lineRule="exact"/>
        <w:ind w:firstLine="480" w:firstLineChars="200"/>
        <w:jc w:val="both"/>
        <w:rPr>
          <w:rFonts w:hint="default" w:ascii="仿宋_GB2312" w:hAnsi="仿宋_GB2312" w:eastAsia="仿宋_GB2312" w:cs="仿宋_GB2312"/>
          <w:color w:val="000000"/>
          <w:sz w:val="24"/>
          <w:lang w:val="en-US" w:eastAsia="zh-CN"/>
        </w:rPr>
      </w:pPr>
      <w:r>
        <w:rPr>
          <w:rFonts w:hint="default" w:ascii="仿宋_GB2312" w:hAnsi="仿宋_GB2312" w:eastAsia="仿宋_GB2312" w:cs="仿宋_GB2312"/>
          <w:color w:val="000000"/>
          <w:sz w:val="24"/>
          <w:lang w:val="en-US" w:eastAsia="zh-CN"/>
        </w:rPr>
        <w:t>“十五五”规划建议提出，适度超前建设新型基础设施，推进信息通信网络、全国一体化算力网等建设和集约高效利用。我国将重点围绕绿色化、集约化、普惠化，推进算力调度“一盘棋”，实现“东数西算”算力资源的科学布局、动态调配、按需使用，为中国式现代化提供有力支撑。</w:t>
      </w:r>
    </w:p>
    <w:p w14:paraId="4A0010F2">
      <w:pPr>
        <w:pStyle w:val="2"/>
        <w:rPr>
          <w:rFonts w:hint="default" w:ascii="仿宋_GB2312" w:hAnsi="仿宋_GB2312" w:eastAsia="仿宋_GB2312" w:cs="仿宋_GB2312"/>
          <w:color w:val="000000"/>
          <w:sz w:val="24"/>
          <w:lang w:val="en-US" w:eastAsia="zh-CN"/>
        </w:rPr>
      </w:pPr>
    </w:p>
    <w:p w14:paraId="796C8C10">
      <w:pPr>
        <w:pStyle w:val="2"/>
        <w:rPr>
          <w:rFonts w:hint="default" w:ascii="仿宋_GB2312" w:hAnsi="仿宋_GB2312" w:eastAsia="仿宋_GB2312" w:cs="仿宋_GB2312"/>
          <w:color w:val="000000"/>
          <w:sz w:val="24"/>
          <w:lang w:val="en-US" w:eastAsia="zh-CN"/>
        </w:rPr>
      </w:pPr>
    </w:p>
    <w:p w14:paraId="0A532A08">
      <w:pPr>
        <w:spacing w:before="157" w:line="580" w:lineRule="exact"/>
        <w:ind w:firstLine="482" w:firstLineChars="200"/>
        <w:rPr>
          <w:rFonts w:hint="eastAsia" w:ascii="仿宋_GB2312" w:hAnsi="仿宋_GB2312" w:eastAsia="仿宋_GB2312" w:cs="仿宋_GB2312"/>
          <w:color w:val="000000"/>
          <w:sz w:val="24"/>
        </w:rPr>
      </w:pPr>
      <w:r>
        <w:rPr>
          <w:rFonts w:ascii="仿宋_GB2312" w:hAnsi="仿宋_GB2312" w:eastAsia="仿宋_GB2312" w:cs="仿宋_GB2312"/>
          <w:b/>
          <w:sz w:val="24"/>
        </w:rPr>
        <w:t xml:space="preserve"> </w:t>
      </w:r>
      <w:r>
        <w:rPr>
          <w:rFonts w:hint="eastAsia" w:ascii="仿宋_GB2312" w:hAnsi="仿宋_GB2312" w:eastAsia="仿宋_GB2312" w:cs="仿宋_GB2312"/>
          <w:color w:val="000000"/>
          <w:sz w:val="24"/>
        </w:rPr>
        <w:t>人工智能的发展同样关系着中美博弈。在人工智能领域，美国长期以来通过 “技术 + 资本” 双壁垒，形成了 AI 全产业链的垄断。以 NV + OPEN 为主的技术壁垒，以及以贝莱德 + 软银为主的全球资本双轮驱动，美国在战略上坚定且技术创新依赖资本投入，吸引汇聚了全球顶尖的技术、资本及人才。</w:t>
      </w:r>
    </w:p>
    <w:p w14:paraId="1EE269E5">
      <w:pPr>
        <w:spacing w:before="157" w:line="580" w:lineRule="exact"/>
        <w:ind w:firstLine="480" w:firstLineChars="200"/>
        <w:rPr>
          <w:rFonts w:hint="eastAsia" w:ascii="仿宋_GB2312" w:hAnsi="仿宋_GB2312" w:eastAsia="仿宋_GB2312" w:cs="仿宋_GB2312"/>
          <w:color w:val="000000"/>
          <w:sz w:val="24"/>
        </w:rPr>
      </w:pPr>
      <w:r>
        <w:rPr>
          <w:rFonts w:hint="eastAsia" w:ascii="仿宋_GB2312" w:hAnsi="仿宋_GB2312" w:eastAsia="仿宋_GB2312" w:cs="仿宋_GB2312"/>
          <w:color w:val="000000"/>
          <w:sz w:val="24"/>
        </w:rPr>
        <w:t>然而，中国的出现打破了这一局面。以 DeepSeek为代表的中国人工智</w:t>
      </w:r>
      <w:bookmarkStart w:id="0" w:name="_GoBack"/>
      <w:bookmarkEnd w:id="0"/>
      <w:r>
        <w:rPr>
          <w:rFonts w:hint="eastAsia" w:ascii="仿宋_GB2312" w:hAnsi="仿宋_GB2312" w:eastAsia="仿宋_GB2312" w:cs="仿宋_GB2312"/>
          <w:color w:val="000000"/>
          <w:sz w:val="24"/>
        </w:rPr>
        <w:t>能技术，补全了中国 AI 最后一块自主创新版图，真正形成了中美两条路线的对峙。中国通过工程创新切入，逐步延展基础创新、学术创新，发挥战略优势，加大对 AI 核心硬件、核心软件、核心算法的创新力度；同时发挥应用优势，加速 AI 全行业落地，做大产业规模，实现行业价值创造。中国科创企业快速崛起，为主市场规模商用落地，有效缓解了美国对资金、技术、人才的过度吸引，打破了美国在人工智能领域的垄断地位。</w:t>
      </w:r>
    </w:p>
    <w:p w14:paraId="55B074CE">
      <w:pPr>
        <w:pStyle w:val="2"/>
        <w:rPr>
          <w:rFonts w:hint="default" w:ascii="仿宋_GB2312" w:hAnsi="仿宋_GB2312" w:eastAsia="仿宋_GB2312" w:cs="仿宋_GB2312"/>
          <w:color w:val="000000"/>
          <w:sz w:val="24"/>
          <w:lang w:val="en-US" w:eastAsia="zh-CN"/>
        </w:rPr>
      </w:pPr>
    </w:p>
    <w:p w14:paraId="6840E0E2">
      <w:pPr>
        <w:keepNext w:val="0"/>
        <w:keepLines w:val="0"/>
        <w:pageBreakBefore w:val="0"/>
        <w:kinsoku/>
        <w:wordWrap/>
        <w:overflowPunct/>
        <w:topLinePunct w:val="0"/>
        <w:autoSpaceDE/>
        <w:autoSpaceDN/>
        <w:bidi w:val="0"/>
        <w:adjustRightInd/>
        <w:snapToGrid/>
        <w:spacing w:line="560" w:lineRule="exact"/>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 w:name="Microsoft YaHei UI">
    <w:panose1 w:val="020B0503020204020204"/>
    <w:charset w:val="86"/>
    <w:family w:val="auto"/>
    <w:pitch w:val="default"/>
    <w:sig w:usb0="80000287" w:usb1="2ACF3C50" w:usb2="00000016" w:usb3="00000000" w:csb0="0004001F" w:csb1="00000000"/>
  </w:font>
  <w:font w:name="仿宋_GB2312">
    <w:panose1 w:val="02010609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C1255C"/>
    <w:multiLevelType w:val="singleLevel"/>
    <w:tmpl w:val="ACC1255C"/>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AC00CD"/>
    <w:rsid w:val="6CAC00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Body Text"/>
    <w:basedOn w:val="1"/>
    <w:qFormat/>
    <w:uiPriority w:val="0"/>
    <w:pPr>
      <w:spacing w:after="120"/>
    </w:p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湖北有限公司</Company>
  <Pages>5</Pages>
  <Words>0</Words>
  <Characters>0</Characters>
  <Lines>0</Lines>
  <Paragraphs>0</Paragraphs>
  <TotalTime>1</TotalTime>
  <ScaleCrop>false</ScaleCrop>
  <LinksUpToDate>false</LinksUpToDate>
  <CharactersWithSpaces>0</CharactersWithSpaces>
  <Application>WPS Office_12.8.2.19315_F1E327BC-269C-435d-A152-05C5408002CA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2026-01-16T08:35:00Z</dcterms:created>
  <dc:creator>Tao</dc:creator>
  <cp:lastModifiedBy>Tao</cp:lastModifiedBy>
  <dcterms:modified xsi:type="dcterms:W3CDTF">2026-01-16T10:00:11Z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2052-12.8.2.19315</vt:lpwstr>
  </property>
  <property fmtid="{D5CDD505-2E9C-101B-9397-08002B2CF9AE}" pid="3" name="ICV">
    <vt:lpwstr>FD1E81AD2F2B4F6B98CE31B98259EF48_11</vt:lpwstr>
  </property>
</Properties>
</file>