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A62BD9">
      <w:pPr>
        <w:pStyle w:val="3"/>
        <w:keepNext/>
        <w:keepLines/>
        <w:pageBreakBefore w:val="0"/>
        <w:kinsoku/>
        <w:wordWrap/>
        <w:overflowPunct/>
        <w:topLinePunct w:val="0"/>
        <w:autoSpaceDE/>
        <w:autoSpaceDN/>
        <w:bidi w:val="0"/>
        <w:adjustRightInd/>
        <w:snapToGrid/>
        <w:spacing w:before="340" w:beforeAutospacing="0" w:after="330" w:afterAutospacing="0" w:line="560" w:lineRule="exact"/>
        <w:ind w:left="0" w:leftChars="0" w:firstLine="0" w:firstLineChars="0"/>
        <w:jc w:val="center"/>
        <w:textAlignment w:val="auto"/>
        <w:outlineLvl w:val="0"/>
        <w:rPr>
          <w:rFonts w:hint="eastAsia" w:ascii="Times New Roman" w:hAnsi="Times New Roman" w:eastAsia="仿宋_GB2312" w:cstheme="minorBidi"/>
          <w:sz w:val="48"/>
          <w:szCs w:val="40"/>
          <w:lang w:val="en-US" w:eastAsia="zh-CN" w:bidi="ar-SA"/>
        </w:rPr>
      </w:pPr>
      <w:bookmarkStart w:id="0" w:name="_GoBack"/>
      <w:r>
        <w:rPr>
          <w:rFonts w:hint="default" w:ascii="Times New Roman" w:hAnsi="Times New Roman" w:eastAsia="仿宋_GB2312" w:cstheme="minorBidi"/>
          <w:sz w:val="48"/>
          <w:szCs w:val="40"/>
          <w:lang w:val="en-US" w:eastAsia="zh-CN" w:bidi="ar-SA"/>
        </w:rPr>
        <w:t>2026年政府工作</w:t>
      </w:r>
      <w:r>
        <w:rPr>
          <w:rFonts w:hint="eastAsia" w:ascii="Times New Roman" w:hAnsi="Times New Roman" w:eastAsia="仿宋_GB2312" w:cstheme="minorBidi"/>
          <w:sz w:val="48"/>
          <w:szCs w:val="40"/>
          <w:lang w:val="en-US" w:eastAsia="zh-CN" w:bidi="ar-SA"/>
        </w:rPr>
        <w:t>任务</w:t>
      </w:r>
      <w:r>
        <w:rPr>
          <w:rFonts w:hint="default" w:ascii="Times New Roman" w:hAnsi="Times New Roman" w:eastAsia="仿宋_GB2312" w:cstheme="minorBidi"/>
          <w:sz w:val="48"/>
          <w:szCs w:val="40"/>
          <w:lang w:val="en-US" w:eastAsia="zh-CN" w:bidi="ar-SA"/>
        </w:rPr>
        <w:t>落实对照分析报告</w:t>
      </w:r>
    </w:p>
    <w:bookmarkEnd w:id="0"/>
    <w:p w14:paraId="16ABAB3D">
      <w:pPr>
        <w:pStyle w:val="3"/>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eastAsia" w:ascii="仿宋_GB2312" w:hAnsi="仿宋_GB2312" w:eastAsia="仿宋_GB2312" w:cs="仿宋_GB2312"/>
          <w:b/>
          <w:bCs/>
          <w:sz w:val="32"/>
          <w:szCs w:val="32"/>
          <w:lang w:val="en-US" w:eastAsia="zh-CN" w:bidi="ar-SA"/>
        </w:rPr>
      </w:pPr>
      <w:r>
        <w:rPr>
          <w:rFonts w:hint="eastAsia" w:ascii="仿宋_GB2312" w:hAnsi="仿宋_GB2312" w:eastAsia="仿宋_GB2312" w:cs="仿宋_GB2312"/>
          <w:b/>
          <w:bCs/>
          <w:sz w:val="32"/>
          <w:szCs w:val="32"/>
          <w:lang w:val="en-US" w:eastAsia="zh-CN" w:bidi="ar-SA"/>
        </w:rPr>
        <w:t>引言</w:t>
      </w:r>
    </w:p>
    <w:p w14:paraId="2CA97564">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default" w:ascii="Segoe UI" w:hAnsi="Segoe UI" w:eastAsia="Segoe UI" w:cs="Segoe UI"/>
          <w:i w:val="0"/>
          <w:iCs w:val="0"/>
          <w:caps w:val="0"/>
          <w:color w:val="0F1115"/>
          <w:spacing w:val="0"/>
          <w:sz w:val="19"/>
          <w:szCs w:val="19"/>
        </w:rPr>
      </w:pPr>
      <w:r>
        <w:rPr>
          <w:rFonts w:hint="eastAsia" w:ascii="Times New Roman" w:hAnsi="Times New Roman" w:eastAsia="仿宋_GB2312"/>
          <w:sz w:val="30"/>
          <w:lang w:val="en-US" w:eastAsia="zh-CN"/>
        </w:rPr>
        <w:t>以中国移动董事长调研的基本逻辑（</w:t>
      </w:r>
      <w:r>
        <w:rPr>
          <w:rFonts w:hint="default" w:ascii="Times New Roman" w:hAnsi="Times New Roman" w:eastAsia="仿宋_GB2312"/>
          <w:sz w:val="30"/>
          <w:lang w:val="en-US" w:eastAsia="zh-CN"/>
        </w:rPr>
        <w:t>工作放在党和国家大局上推动</w:t>
      </w:r>
      <w:r>
        <w:rPr>
          <w:rFonts w:hint="eastAsia" w:ascii="Times New Roman" w:hAnsi="Times New Roman" w:eastAsia="仿宋_GB2312"/>
          <w:sz w:val="30"/>
          <w:lang w:val="en-US" w:eastAsia="zh-CN"/>
        </w:rPr>
        <w:t>、</w:t>
      </w:r>
      <w:r>
        <w:rPr>
          <w:rFonts w:hint="default" w:ascii="Times New Roman" w:hAnsi="Times New Roman" w:eastAsia="仿宋_GB2312"/>
          <w:sz w:val="30"/>
          <w:lang w:val="en-US" w:eastAsia="zh-CN"/>
        </w:rPr>
        <w:t>集团公司战略在本省落地</w:t>
      </w:r>
      <w:r>
        <w:rPr>
          <w:rFonts w:hint="eastAsia" w:ascii="Times New Roman" w:hAnsi="Times New Roman" w:eastAsia="仿宋_GB2312"/>
          <w:sz w:val="30"/>
          <w:lang w:val="en-US" w:eastAsia="zh-CN"/>
        </w:rPr>
        <w:t>、</w:t>
      </w:r>
      <w:r>
        <w:rPr>
          <w:rFonts w:hint="default" w:ascii="Times New Roman" w:hAnsi="Times New Roman" w:eastAsia="仿宋_GB2312"/>
          <w:sz w:val="30"/>
          <w:lang w:val="en-US" w:eastAsia="zh-CN"/>
        </w:rPr>
        <w:t>湖北移动因地制宜担当作为</w:t>
      </w:r>
      <w:r>
        <w:rPr>
          <w:rFonts w:hint="eastAsia" w:ascii="Times New Roman" w:hAnsi="Times New Roman" w:eastAsia="仿宋_GB2312"/>
          <w:sz w:val="30"/>
          <w:lang w:val="en-US" w:eastAsia="zh-CN"/>
        </w:rPr>
        <w:t>）为牵引，</w:t>
      </w:r>
      <w:r>
        <w:rPr>
          <w:rFonts w:hint="default" w:ascii="Times New Roman" w:hAnsi="Times New Roman" w:eastAsia="仿宋_GB2312"/>
          <w:sz w:val="30"/>
          <w:lang w:val="en-US" w:eastAsia="zh-CN"/>
        </w:rPr>
        <w:t>依据2026年国务院《政府工作报告》</w:t>
      </w:r>
      <w:r>
        <w:rPr>
          <w:rFonts w:hint="eastAsia" w:ascii="Times New Roman" w:hAnsi="Times New Roman" w:eastAsia="仿宋_GB2312"/>
          <w:sz w:val="30"/>
          <w:lang w:val="en-US" w:eastAsia="zh-CN"/>
        </w:rPr>
        <w:t>中十项</w:t>
      </w:r>
      <w:r>
        <w:rPr>
          <w:rFonts w:hint="default" w:ascii="Times New Roman" w:hAnsi="Times New Roman" w:eastAsia="仿宋_GB2312"/>
          <w:sz w:val="30"/>
          <w:lang w:val="en-US" w:eastAsia="zh-CN"/>
        </w:rPr>
        <w:t>工作任务，逐项提炼国家层面的主要方向与具体提法，对照湖北省政府的落实政策与重点安排，并结合湖北移动作为驻鄂央企的实际业务落实情况，形成三层结构分析。报告力求全面、具体、点对点对应，确保国家任务均有湖北移动的落地支撑。</w:t>
      </w:r>
    </w:p>
    <w:p w14:paraId="3B987EEF">
      <w:pPr>
        <w:pStyle w:val="3"/>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仿宋_GB2312" w:hAnsi="仿宋_GB2312" w:eastAsia="仿宋_GB2312" w:cs="仿宋_GB2312"/>
          <w:b/>
          <w:bCs/>
          <w:sz w:val="32"/>
          <w:szCs w:val="32"/>
          <w:lang w:bidi="ar-SA"/>
        </w:rPr>
      </w:pPr>
      <w:r>
        <w:rPr>
          <w:rFonts w:hint="eastAsia" w:ascii="仿宋_GB2312" w:hAnsi="仿宋_GB2312" w:eastAsia="仿宋_GB2312" w:cs="仿宋_GB2312"/>
          <w:b/>
          <w:bCs/>
          <w:sz w:val="32"/>
          <w:szCs w:val="32"/>
          <w:lang w:val="en-US" w:eastAsia="zh-CN" w:bidi="ar-SA"/>
        </w:rPr>
        <w:t>一、</w:t>
      </w:r>
      <w:r>
        <w:rPr>
          <w:rFonts w:hint="default" w:ascii="仿宋_GB2312" w:hAnsi="仿宋_GB2312" w:eastAsia="仿宋_GB2312" w:cs="仿宋_GB2312"/>
          <w:b/>
          <w:bCs/>
          <w:sz w:val="32"/>
          <w:szCs w:val="32"/>
          <w:lang w:bidi="ar-SA"/>
        </w:rPr>
        <w:t>着力建设强大国内市场</w:t>
      </w:r>
    </w:p>
    <w:p w14:paraId="642F6627">
      <w:pPr>
        <w:pStyle w:val="4"/>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仿宋_GB2312" w:hAnsi="仿宋_GB2312" w:eastAsia="仿宋_GB2312" w:cs="仿宋_GB2312"/>
          <w:b/>
          <w:bCs/>
          <w:sz w:val="32"/>
          <w:szCs w:val="32"/>
          <w:lang w:val="en-US" w:eastAsia="zh-CN" w:bidi="ar-SA"/>
        </w:rPr>
      </w:pPr>
      <w:r>
        <w:rPr>
          <w:rFonts w:hint="default" w:ascii="仿宋_GB2312" w:hAnsi="仿宋_GB2312" w:eastAsia="仿宋_GB2312" w:cs="仿宋_GB2312"/>
          <w:b/>
          <w:bCs/>
          <w:sz w:val="32"/>
          <w:szCs w:val="32"/>
          <w:lang w:bidi="ar-SA"/>
        </w:rPr>
        <w:t>1. 国家层面</w:t>
      </w:r>
    </w:p>
    <w:p w14:paraId="3238291A">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sz w:val="30"/>
          <w:lang w:val="en-US" w:eastAsia="zh-CN"/>
        </w:rPr>
      </w:pPr>
      <w:r>
        <w:rPr>
          <w:rFonts w:hint="default" w:ascii="Times New Roman" w:hAnsi="Times New Roman" w:eastAsia="仿宋_GB2312"/>
          <w:b/>
          <w:bCs/>
          <w:sz w:val="30"/>
          <w:lang w:val="en-US" w:eastAsia="zh-CN"/>
        </w:rPr>
        <w:t>深入实施提振消费专项行动</w:t>
      </w:r>
      <w:r>
        <w:rPr>
          <w:rFonts w:hint="default" w:ascii="Times New Roman" w:hAnsi="Times New Roman" w:eastAsia="仿宋_GB2312"/>
          <w:sz w:val="30"/>
          <w:lang w:val="en-US" w:eastAsia="zh-CN"/>
        </w:rPr>
        <w:t>：安排2500亿元超长期特别国债支持消费品以旧换新；设立1000亿元财政金融协同促内需专项资金；实施服务消费提质惠民行动，打造消费新场景；活跃线下消费，激发下沉市场活力；清理消费不合理限制，释放文旅、赛事、康养等领域潜力；优化入境消费环境，打造“购在中国”品牌。</w:t>
      </w:r>
    </w:p>
    <w:p w14:paraId="5466E730">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pPr>
      <w:r>
        <w:rPr>
          <w:rFonts w:hint="default" w:ascii="Times New Roman" w:hAnsi="Times New Roman" w:eastAsia="仿宋_GB2312"/>
          <w:b/>
          <w:bCs/>
          <w:sz w:val="30"/>
          <w:lang w:val="en-US" w:eastAsia="zh-CN"/>
        </w:rPr>
        <w:t>充分挖掘释放有效投资潜力</w:t>
      </w:r>
      <w:r>
        <w:rPr>
          <w:rFonts w:hint="default" w:ascii="Times New Roman" w:hAnsi="Times New Roman" w:eastAsia="仿宋_GB2312"/>
          <w:sz w:val="30"/>
          <w:lang w:val="en-US" w:eastAsia="zh-CN"/>
        </w:rPr>
        <w:t>：安排中央预算内投资7550亿元；安排8000亿元超长期特别国债用于“两重”建设；发行新型政策性金融工具8000亿元；统筹各类政府投资，探索编制全口径政府投资计划；完善民营企业参与重大项目建设长效机制，引导民间投资向高技术、现代服务业等新赛道拓展。</w:t>
      </w:r>
    </w:p>
    <w:p w14:paraId="34B32A8E">
      <w:pPr>
        <w:pStyle w:val="4"/>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仿宋_GB2312" w:hAnsi="仿宋_GB2312" w:eastAsia="仿宋_GB2312" w:cs="仿宋_GB2312"/>
          <w:b/>
          <w:bCs/>
          <w:sz w:val="32"/>
          <w:szCs w:val="32"/>
          <w:lang w:val="en-US" w:eastAsia="zh-CN" w:bidi="ar-SA"/>
        </w:rPr>
      </w:pPr>
      <w:r>
        <w:rPr>
          <w:rFonts w:hint="default" w:ascii="仿宋_GB2312" w:hAnsi="仿宋_GB2312" w:eastAsia="仿宋_GB2312" w:cs="仿宋_GB2312"/>
          <w:b/>
          <w:bCs/>
          <w:sz w:val="32"/>
          <w:szCs w:val="32"/>
          <w:lang w:bidi="ar-SA"/>
        </w:rPr>
        <w:t>2. 湖北省</w:t>
      </w:r>
      <w:r>
        <w:rPr>
          <w:rFonts w:hint="eastAsia" w:ascii="仿宋_GB2312" w:hAnsi="仿宋_GB2312" w:eastAsia="仿宋_GB2312" w:cs="仿宋_GB2312"/>
          <w:b/>
          <w:bCs/>
          <w:sz w:val="32"/>
          <w:szCs w:val="32"/>
          <w:lang w:val="en-US" w:eastAsia="zh-CN" w:bidi="ar-SA"/>
        </w:rPr>
        <w:t>工作要点</w:t>
      </w:r>
    </w:p>
    <w:p w14:paraId="0D97780E">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消费扩容升级</w:t>
      </w:r>
      <w:r>
        <w:rPr>
          <w:rFonts w:hint="default" w:ascii="Times New Roman" w:hAnsi="Times New Roman" w:eastAsia="仿宋_GB2312"/>
          <w:b w:val="0"/>
          <w:bCs w:val="0"/>
          <w:sz w:val="30"/>
          <w:lang w:val="en-US" w:eastAsia="zh-CN"/>
        </w:rPr>
        <w:t>：坚持供需两端协同发力，努力推动经济稳定均衡可持续增长。大力发展数智消费，打造一批智慧商圈、智慧商店、智能家居体验馆；拓展数字人民币应用场景；推动新能源汽车、智能家电、绿色建材下乡。</w:t>
      </w:r>
    </w:p>
    <w:p w14:paraId="682D0002">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拓展服务消费新空间</w:t>
      </w:r>
      <w:r>
        <w:rPr>
          <w:rFonts w:hint="default" w:ascii="Times New Roman" w:hAnsi="Times New Roman" w:eastAsia="仿宋_GB2312"/>
          <w:b w:val="0"/>
          <w:bCs w:val="0"/>
          <w:sz w:val="30"/>
          <w:lang w:val="en-US" w:eastAsia="zh-CN"/>
        </w:rPr>
        <w:t>：大力拓展大健康、新文旅、泛娱乐、智能化等服务消费新空间，顺应消费转型升级趋势，更好满足人民群众对“实用价值、情绪价值和知识价值”的新需求。</w:t>
      </w:r>
    </w:p>
    <w:p w14:paraId="4E7DE62F">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投资领域安排</w:t>
      </w:r>
      <w:r>
        <w:rPr>
          <w:rFonts w:hint="default" w:ascii="Times New Roman" w:hAnsi="Times New Roman" w:eastAsia="仿宋_GB2312"/>
          <w:b w:val="0"/>
          <w:bCs w:val="0"/>
          <w:sz w:val="30"/>
          <w:lang w:val="en-US" w:eastAsia="zh-CN"/>
        </w:rPr>
        <w:t>：深化大财政体系建设，探索编制全口径的政府投资计划；滚动推出面向民间资本的投资项目清单；大力推进三峡水运新通道、沿江高铁宜涪段、长江存储三期等1.22万个亿元以上新建续建项目建设。</w:t>
      </w:r>
    </w:p>
    <w:p w14:paraId="604F3904">
      <w:pPr>
        <w:pStyle w:val="4"/>
        <w:keepNext/>
        <w:keepLines/>
        <w:pageBreakBefore w:val="0"/>
        <w:numPr>
          <w:ilvl w:val="0"/>
          <w:numId w:val="1"/>
        </w:numPr>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Times New Roman" w:hAnsi="Times New Roman" w:eastAsia="仿宋_GB2312"/>
          <w:b w:val="0"/>
          <w:bCs w:val="0"/>
          <w:sz w:val="30"/>
          <w:lang w:val="en-US" w:eastAsia="zh-CN"/>
        </w:rPr>
      </w:pPr>
      <w:r>
        <w:rPr>
          <w:rFonts w:hint="default" w:ascii="仿宋_GB2312" w:hAnsi="仿宋_GB2312" w:eastAsia="仿宋_GB2312" w:cs="仿宋_GB2312"/>
          <w:b/>
          <w:bCs/>
          <w:sz w:val="32"/>
          <w:szCs w:val="32"/>
          <w:lang w:bidi="ar-SA"/>
        </w:rPr>
        <w:t>湖北</w:t>
      </w:r>
      <w:r>
        <w:rPr>
          <w:rFonts w:hint="eastAsia" w:ascii="仿宋_GB2312" w:hAnsi="仿宋_GB2312" w:eastAsia="仿宋_GB2312" w:cs="仿宋_GB2312"/>
          <w:b/>
          <w:bCs/>
          <w:sz w:val="32"/>
          <w:szCs w:val="32"/>
          <w:lang w:val="en-US" w:eastAsia="zh-CN" w:bidi="ar-SA"/>
        </w:rPr>
        <w:t>移动落实情况</w:t>
      </w:r>
    </w:p>
    <w:p w14:paraId="550688FF">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val="0"/>
          <w:bCs w:val="0"/>
          <w:sz w:val="30"/>
          <w:lang w:val="en-US" w:eastAsia="zh-CN"/>
        </w:rPr>
        <w:t>“十四五”期间累计在鄂投资297亿元，税收贡献超85亿元</w:t>
      </w:r>
      <w:r>
        <w:rPr>
          <w:rFonts w:hint="eastAsia" w:ascii="Times New Roman" w:hAnsi="Times New Roman" w:eastAsia="仿宋_GB2312"/>
          <w:b w:val="0"/>
          <w:bCs w:val="0"/>
          <w:sz w:val="30"/>
          <w:lang w:val="en-US" w:eastAsia="zh-CN"/>
        </w:rPr>
        <w:t>。</w:t>
      </w:r>
    </w:p>
    <w:p w14:paraId="7E21FBF3">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提振消费行动：</w:t>
      </w:r>
      <w:r>
        <w:rPr>
          <w:rFonts w:hint="eastAsia" w:ascii="Times New Roman" w:hAnsi="Times New Roman" w:eastAsia="仿宋_GB2312"/>
          <w:b w:val="0"/>
          <w:bCs w:val="0"/>
          <w:sz w:val="30"/>
          <w:lang w:val="en-US" w:eastAsia="zh-CN"/>
        </w:rPr>
        <w:t>在汉投放专项营销资源5000万元，带动5G终端销量超15.5万台。加强AI手机、云电脑和全屋智能解决方案供给，带动千兆+智能组网新增31.3万户，拉动消费超亿元。助力培育消费新场景、新业态；依托电视大屏创新升级“灵犀”AI管家大模型，提供影音、教育、康养、运动等智能服务，已上线69款子智能体，服务超800万电视用户，累计使用量突破1201万次；通过推广5G新通话、云手机等创新产品，落地“5G+”“AI+”项目超过186个，拓展人形机器人、视联网等新兴业态。</w:t>
      </w:r>
    </w:p>
    <w:p w14:paraId="4315DD1A">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仿宋_GB2312"/>
          <w:b/>
          <w:bCs/>
          <w:sz w:val="30"/>
          <w:lang w:val="en-US" w:eastAsia="zh-CN"/>
        </w:rPr>
      </w:pPr>
      <w:r>
        <w:rPr>
          <w:rFonts w:hint="eastAsia" w:ascii="Times New Roman" w:hAnsi="Times New Roman" w:eastAsia="仿宋_GB2312"/>
          <w:b w:val="0"/>
          <w:bCs w:val="0"/>
          <w:sz w:val="30"/>
          <w:lang w:val="en-US" w:eastAsia="zh-CN"/>
        </w:rPr>
        <w:t>围绕银发经济、文旅经济、赛事经济等新业态，创新打造“娱乐+消费”“旅游+消费”等数十个融合场景：基于智慧社区、数字乡村平台打造康养村及社区1000余个，在农村地区集中配备的20万台智慧康养设备，已服务老人超35万户；依托“湖北全域旅游监测平台”为省市县景区提供客流分析、热门线路优化等50余项数据服务，助力十堰武当山、襄阳古城、黄石“一机游阳新”等景区数字化转型；将武汉国际博览中心打造为全省首个具备5G-A端到端能力的智慧场馆。</w:t>
      </w:r>
    </w:p>
    <w:p w14:paraId="067040F3">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释放投资潜力：</w:t>
      </w:r>
      <w:r>
        <w:rPr>
          <w:rFonts w:hint="eastAsia" w:ascii="Times New Roman" w:hAnsi="Times New Roman" w:eastAsia="仿宋_GB2312"/>
          <w:b w:val="0"/>
          <w:bCs w:val="0"/>
          <w:sz w:val="30"/>
          <w:lang w:val="en-US" w:eastAsia="zh-CN"/>
        </w:rPr>
        <w:t>2025年新基建投资50亿元（投资规模、网络规模行业占比超50%）。累计建成开通5G基站10.25万个，5G-A基站超8000个，实现省内17个市州交通枢纽、核心商圈、城市主干道等重点区域5G-A网络覆盖；完成京广高铁、汉宜铁路等超1700公里高铁线路5G网络覆盖，高速、高铁、机场4/5G综合覆盖率100%。</w:t>
      </w:r>
    </w:p>
    <w:p w14:paraId="48ECEC06">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val="0"/>
          <w:bCs w:val="0"/>
          <w:sz w:val="30"/>
          <w:lang w:val="en-US" w:eastAsia="zh-CN"/>
        </w:rPr>
        <w:t>筹措专项资金5亿元，推动武汉城区FDD1800连续覆盖，落实“信号升格”专项行动，完成近万个重点场景网络优化，信号升格全场景覆盖比例超过99.2%。武汉移动在2025年工信部重点区域移动网络质量专项测评中排名第五（22个超大特大城市共66个运营商），物联网专项评测第七。率先完成全国首个超大规模RedCap商用部署，完成全国首批最大规模5G-A智能基站试商用验证，荣获GTI全球年度“创新技术突破奖”。</w:t>
      </w:r>
    </w:p>
    <w:p w14:paraId="4DD40EFB">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default" w:ascii="Times New Roman" w:hAnsi="Times New Roman" w:eastAsia="仿宋_GB2312"/>
          <w:b w:val="0"/>
          <w:bCs w:val="0"/>
          <w:sz w:val="30"/>
          <w:lang w:val="en-US" w:eastAsia="zh-CN"/>
        </w:rPr>
      </w:pPr>
      <w:r>
        <w:rPr>
          <w:rFonts w:hint="eastAsia" w:ascii="Times New Roman" w:hAnsi="Times New Roman" w:eastAsia="仿宋_GB2312"/>
          <w:b w:val="0"/>
          <w:bCs w:val="0"/>
          <w:sz w:val="30"/>
          <w:lang w:val="en-US" w:eastAsia="zh-CN"/>
        </w:rPr>
        <w:t>主动对接国家“两重”“两新”等重大战略项目，主动参与武汉、宜昌、“襄十”三大算力圈建设，助推中部数据流通服务中心平台发展，推动数据安全、有序流动和资源高效配置，助力湖北将科教、产业、区位等静态优势转化为可持续的数字经济竞争力。</w:t>
      </w:r>
    </w:p>
    <w:p w14:paraId="3A248B7F">
      <w:pPr>
        <w:pStyle w:val="3"/>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仿宋_GB2312" w:hAnsi="仿宋_GB2312" w:eastAsia="仿宋_GB2312" w:cs="仿宋_GB2312"/>
          <w:b/>
          <w:bCs/>
          <w:sz w:val="32"/>
          <w:szCs w:val="32"/>
          <w:lang w:val="en-US" w:eastAsia="zh-CN" w:bidi="ar-SA"/>
        </w:rPr>
      </w:pPr>
      <w:r>
        <w:rPr>
          <w:rFonts w:hint="eastAsia" w:ascii="仿宋_GB2312" w:hAnsi="仿宋_GB2312" w:eastAsia="仿宋_GB2312" w:cs="仿宋_GB2312"/>
          <w:b/>
          <w:bCs/>
          <w:sz w:val="32"/>
          <w:szCs w:val="32"/>
          <w:lang w:val="en-US" w:eastAsia="zh-CN" w:bidi="ar-SA"/>
        </w:rPr>
        <w:t>二、</w:t>
      </w:r>
      <w:r>
        <w:rPr>
          <w:rFonts w:hint="default" w:ascii="仿宋_GB2312" w:hAnsi="仿宋_GB2312" w:eastAsia="仿宋_GB2312" w:cs="仿宋_GB2312"/>
          <w:b/>
          <w:bCs/>
          <w:sz w:val="32"/>
          <w:szCs w:val="32"/>
          <w:lang w:val="en-US" w:eastAsia="zh-CN" w:bidi="ar-SA"/>
        </w:rPr>
        <w:t>加紧培育壮大新动能</w:t>
      </w:r>
    </w:p>
    <w:p w14:paraId="312EBBA0">
      <w:pPr>
        <w:pStyle w:val="4"/>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仿宋_GB2312" w:hAnsi="仿宋_GB2312" w:eastAsia="仿宋_GB2312" w:cs="仿宋_GB2312"/>
          <w:b/>
          <w:bCs/>
          <w:sz w:val="32"/>
          <w:szCs w:val="32"/>
          <w:lang w:bidi="ar-SA"/>
        </w:rPr>
      </w:pPr>
      <w:r>
        <w:rPr>
          <w:rFonts w:hint="default" w:ascii="仿宋_GB2312" w:hAnsi="仿宋_GB2312" w:eastAsia="仿宋_GB2312" w:cs="仿宋_GB2312"/>
          <w:b/>
          <w:bCs/>
          <w:sz w:val="32"/>
          <w:szCs w:val="32"/>
          <w:lang w:bidi="ar-SA"/>
        </w:rPr>
        <w:t>1. 国家层面</w:t>
      </w:r>
    </w:p>
    <w:p w14:paraId="6DC91C41">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优化提升传统产业：</w:t>
      </w:r>
      <w:r>
        <w:rPr>
          <w:rFonts w:hint="default" w:ascii="Times New Roman" w:hAnsi="Times New Roman" w:eastAsia="仿宋_GB2312"/>
          <w:b w:val="0"/>
          <w:bCs w:val="0"/>
          <w:sz w:val="30"/>
          <w:lang w:val="en-US" w:eastAsia="zh-CN"/>
        </w:rPr>
        <w:t>安排2000亿元超长期特别国债支持大规模设备更新；实施新一轮制造业重点产业链高质量发展行动,强化产业基础再造和重大技术装备攻关,打造一批国家先进制造业集群</w:t>
      </w:r>
      <w:r>
        <w:rPr>
          <w:rFonts w:hint="eastAsia" w:ascii="Times New Roman" w:hAnsi="Times New Roman" w:eastAsia="仿宋_GB2312"/>
          <w:b w:val="0"/>
          <w:bCs w:val="0"/>
          <w:sz w:val="30"/>
          <w:lang w:val="en-US" w:eastAsia="zh-CN"/>
        </w:rPr>
        <w:t>；</w:t>
      </w:r>
      <w:r>
        <w:rPr>
          <w:rFonts w:hint="default" w:ascii="Times New Roman" w:hAnsi="Times New Roman" w:eastAsia="仿宋_GB2312"/>
          <w:b w:val="0"/>
          <w:bCs w:val="0"/>
          <w:sz w:val="30"/>
          <w:lang w:val="en-US" w:eastAsia="zh-CN"/>
        </w:rPr>
        <w:t>推行普惠性“上云用数赋智”服务</w:t>
      </w:r>
      <w:r>
        <w:rPr>
          <w:rFonts w:hint="eastAsia" w:ascii="Times New Roman" w:hAnsi="Times New Roman" w:eastAsia="仿宋_GB2312"/>
          <w:b w:val="0"/>
          <w:bCs w:val="0"/>
          <w:sz w:val="30"/>
          <w:lang w:val="en-US" w:eastAsia="zh-CN"/>
        </w:rPr>
        <w:t>，持续加大对中小企业数智化转型的支持</w:t>
      </w:r>
      <w:r>
        <w:rPr>
          <w:rFonts w:hint="default" w:ascii="Times New Roman" w:hAnsi="Times New Roman" w:eastAsia="仿宋_GB2312"/>
          <w:b w:val="0"/>
          <w:bCs w:val="0"/>
          <w:sz w:val="30"/>
          <w:lang w:val="en-US" w:eastAsia="zh-CN"/>
        </w:rPr>
        <w:t>；拓展智能制造</w:t>
      </w:r>
      <w:r>
        <w:rPr>
          <w:rFonts w:hint="eastAsia" w:ascii="Times New Roman" w:hAnsi="Times New Roman" w:eastAsia="仿宋_GB2312"/>
          <w:b w:val="0"/>
          <w:bCs w:val="0"/>
          <w:sz w:val="30"/>
          <w:lang w:val="en-US" w:eastAsia="zh-CN"/>
        </w:rPr>
        <w:t>，</w:t>
      </w:r>
      <w:r>
        <w:rPr>
          <w:rFonts w:hint="default" w:ascii="Times New Roman" w:hAnsi="Times New Roman" w:eastAsia="仿宋_GB2312"/>
          <w:b w:val="0"/>
          <w:bCs w:val="0"/>
          <w:sz w:val="30"/>
          <w:lang w:val="en-US" w:eastAsia="zh-CN"/>
        </w:rPr>
        <w:t>新建设一批智能工厂和智慧供应链</w:t>
      </w:r>
      <w:r>
        <w:rPr>
          <w:rFonts w:hint="eastAsia" w:ascii="Times New Roman" w:hAnsi="Times New Roman" w:eastAsia="仿宋_GB2312"/>
          <w:b w:val="0"/>
          <w:bCs w:val="0"/>
          <w:sz w:val="30"/>
          <w:lang w:val="en-US" w:eastAsia="zh-CN"/>
        </w:rPr>
        <w:t>；发展智能建造，培育现代化建筑产业链。</w:t>
      </w:r>
    </w:p>
    <w:p w14:paraId="0D0A3687">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培育壮大新兴产业和未来产业：</w:t>
      </w:r>
      <w:r>
        <w:rPr>
          <w:rFonts w:hint="default" w:ascii="Times New Roman" w:hAnsi="Times New Roman" w:eastAsia="仿宋_GB2312"/>
          <w:b w:val="0"/>
          <w:bCs w:val="0"/>
          <w:sz w:val="30"/>
          <w:lang w:val="en-US" w:eastAsia="zh-CN"/>
        </w:rPr>
        <w:t>打造集成电路、航空航天、生物医药、低空经济等新兴支柱产业；培育未来能源、量子科技、具身智能、脑机接口、6G等未来产业。构建促进专精特新中小企业发展壮大机制</w:t>
      </w:r>
      <w:r>
        <w:rPr>
          <w:rFonts w:hint="eastAsia" w:ascii="Times New Roman" w:hAnsi="Times New Roman" w:eastAsia="仿宋_GB2312"/>
          <w:b w:val="0"/>
          <w:bCs w:val="0"/>
          <w:sz w:val="30"/>
          <w:lang w:val="en-US" w:eastAsia="zh-CN"/>
        </w:rPr>
        <w:t>。</w:t>
      </w:r>
    </w:p>
    <w:p w14:paraId="3FBAB047">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扩能提质服务业</w:t>
      </w:r>
      <w:r>
        <w:rPr>
          <w:rFonts w:hint="eastAsia" w:ascii="Times New Roman" w:hAnsi="Times New Roman" w:eastAsia="仿宋_GB2312"/>
          <w:b/>
          <w:bCs/>
          <w:sz w:val="30"/>
          <w:lang w:val="en-US" w:eastAsia="zh-CN"/>
        </w:rPr>
        <w:t>：</w:t>
      </w:r>
      <w:r>
        <w:rPr>
          <w:rFonts w:hint="eastAsia" w:ascii="Times New Roman" w:hAnsi="Times New Roman" w:eastAsia="仿宋_GB2312"/>
          <w:b w:val="0"/>
          <w:bCs w:val="0"/>
          <w:sz w:val="30"/>
          <w:lang w:val="en-US" w:eastAsia="zh-CN"/>
        </w:rPr>
        <w:t>深化先进制造业和现代服务业融合发展试点。</w:t>
      </w:r>
    </w:p>
    <w:p w14:paraId="1B988AB2">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打造智能经济新形态：</w:t>
      </w:r>
      <w:r>
        <w:rPr>
          <w:rFonts w:hint="default" w:ascii="Times New Roman" w:hAnsi="Times New Roman" w:eastAsia="仿宋_GB2312"/>
          <w:b w:val="0"/>
          <w:bCs w:val="0"/>
          <w:sz w:val="30"/>
          <w:lang w:val="en-US" w:eastAsia="zh-CN"/>
        </w:rPr>
        <w:t>深化拓展“人工智能+”</w:t>
      </w:r>
      <w:r>
        <w:rPr>
          <w:rFonts w:hint="eastAsia" w:ascii="Times New Roman" w:hAnsi="Times New Roman" w:eastAsia="仿宋_GB2312"/>
          <w:b w:val="0"/>
          <w:bCs w:val="0"/>
          <w:sz w:val="30"/>
          <w:lang w:val="en-US" w:eastAsia="zh-CN"/>
        </w:rPr>
        <w:t>，促进新一代智能终端和智能体加快推广，推动重点行业领域人工智能商业化规模化应用</w:t>
      </w:r>
      <w:r>
        <w:rPr>
          <w:rFonts w:hint="default" w:ascii="Times New Roman" w:hAnsi="Times New Roman" w:eastAsia="仿宋_GB2312"/>
          <w:b w:val="0"/>
          <w:bCs w:val="0"/>
          <w:sz w:val="30"/>
          <w:lang w:val="en-US" w:eastAsia="zh-CN"/>
        </w:rPr>
        <w:t>；实施超大规模智算集群、算电协同等新基建</w:t>
      </w:r>
      <w:r>
        <w:rPr>
          <w:rFonts w:hint="eastAsia" w:ascii="Times New Roman" w:hAnsi="Times New Roman" w:eastAsia="仿宋_GB2312"/>
          <w:b w:val="0"/>
          <w:bCs w:val="0"/>
          <w:sz w:val="30"/>
          <w:lang w:val="en-US" w:eastAsia="zh-CN"/>
        </w:rPr>
        <w:t>，加强全国一体化算力监测调度，支持公共云发展</w:t>
      </w:r>
      <w:r>
        <w:rPr>
          <w:rFonts w:hint="default" w:ascii="Times New Roman" w:hAnsi="Times New Roman" w:eastAsia="仿宋_GB2312"/>
          <w:b w:val="0"/>
          <w:bCs w:val="0"/>
          <w:sz w:val="30"/>
          <w:lang w:val="en-US" w:eastAsia="zh-CN"/>
        </w:rPr>
        <w:t>；加快发展卫星互联网</w:t>
      </w:r>
      <w:r>
        <w:rPr>
          <w:rFonts w:hint="eastAsia" w:ascii="Times New Roman" w:hAnsi="Times New Roman" w:eastAsia="仿宋_GB2312"/>
          <w:b w:val="0"/>
          <w:bCs w:val="0"/>
          <w:sz w:val="30"/>
          <w:lang w:val="en-US" w:eastAsia="zh-CN"/>
        </w:rPr>
        <w:t>；</w:t>
      </w:r>
      <w:r>
        <w:rPr>
          <w:rFonts w:hint="default" w:ascii="Times New Roman" w:hAnsi="Times New Roman" w:eastAsia="仿宋_GB2312"/>
          <w:b w:val="0"/>
          <w:bCs w:val="0"/>
          <w:sz w:val="30"/>
          <w:lang w:val="en-US" w:eastAsia="zh-CN"/>
        </w:rPr>
        <w:t>打造“5G+工业互联网”升级版</w:t>
      </w:r>
      <w:r>
        <w:rPr>
          <w:rFonts w:hint="eastAsia" w:ascii="Times New Roman" w:hAnsi="Times New Roman" w:eastAsia="仿宋_GB2312"/>
          <w:b w:val="0"/>
          <w:bCs w:val="0"/>
          <w:sz w:val="30"/>
          <w:lang w:val="en-US" w:eastAsia="zh-CN"/>
        </w:rPr>
        <w:t>；健全数据要素基础制度，建设高质量数据集。</w:t>
      </w:r>
    </w:p>
    <w:p w14:paraId="3F54121B">
      <w:pPr>
        <w:pStyle w:val="4"/>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pPr>
      <w:r>
        <w:rPr>
          <w:rFonts w:hint="default" w:ascii="仿宋_GB2312" w:hAnsi="仿宋_GB2312" w:eastAsia="仿宋_GB2312" w:cs="仿宋_GB2312"/>
          <w:b/>
          <w:bCs/>
          <w:sz w:val="32"/>
          <w:szCs w:val="32"/>
          <w:lang w:bidi="ar-SA"/>
        </w:rPr>
        <w:t>2. 湖北省</w:t>
      </w:r>
      <w:r>
        <w:rPr>
          <w:rFonts w:hint="eastAsia" w:ascii="仿宋_GB2312" w:hAnsi="仿宋_GB2312" w:eastAsia="仿宋_GB2312" w:cs="仿宋_GB2312"/>
          <w:b/>
          <w:bCs/>
          <w:sz w:val="32"/>
          <w:szCs w:val="32"/>
          <w:lang w:val="en-US" w:eastAsia="zh-CN" w:bidi="ar-SA"/>
        </w:rPr>
        <w:t>工作要点</w:t>
      </w:r>
    </w:p>
    <w:p w14:paraId="5C95CCBF">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传统产业改造升级：</w:t>
      </w:r>
      <w:r>
        <w:rPr>
          <w:rFonts w:hint="default" w:ascii="Times New Roman" w:hAnsi="Times New Roman" w:eastAsia="仿宋_GB2312"/>
          <w:b w:val="0"/>
          <w:bCs w:val="0"/>
          <w:sz w:val="30"/>
          <w:lang w:val="en-US" w:eastAsia="zh-CN"/>
        </w:rPr>
        <w:t>加快汽车、钢铁、化工、纺织、食品、建材等传统产业改造升级。</w:t>
      </w:r>
    </w:p>
    <w:p w14:paraId="56770BDE">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新兴支柱产业：</w:t>
      </w:r>
      <w:r>
        <w:rPr>
          <w:rFonts w:hint="default" w:ascii="Times New Roman" w:hAnsi="Times New Roman" w:eastAsia="仿宋_GB2312"/>
          <w:b w:val="0"/>
          <w:bCs w:val="0"/>
          <w:sz w:val="30"/>
          <w:lang w:val="en-US" w:eastAsia="zh-CN"/>
        </w:rPr>
        <w:t>大力发展集成电路、航空航天、生物医药等新兴支柱产业；抢占低空经济、新型储能、绿色智能船舶、自主安全计算等新赛道。</w:t>
      </w:r>
    </w:p>
    <w:p w14:paraId="53C34090">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未来产业前瞻布局：</w:t>
      </w:r>
      <w:r>
        <w:rPr>
          <w:rFonts w:hint="default" w:ascii="Times New Roman" w:hAnsi="Times New Roman" w:eastAsia="仿宋_GB2312"/>
          <w:b w:val="0"/>
          <w:bCs w:val="0"/>
          <w:sz w:val="30"/>
          <w:lang w:val="en-US" w:eastAsia="zh-CN"/>
        </w:rPr>
        <w:t>前瞻布局具身智能、量子科技、6G、合成生物、氢能和核聚变能等未来产业，培育打造一批世界一流企业和世界级产业集群。</w:t>
      </w:r>
    </w:p>
    <w:p w14:paraId="26E8C898">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数字经济：</w:t>
      </w:r>
      <w:r>
        <w:rPr>
          <w:rFonts w:hint="default" w:ascii="Times New Roman" w:hAnsi="Times New Roman" w:eastAsia="仿宋_GB2312"/>
          <w:b w:val="0"/>
          <w:bCs w:val="0"/>
          <w:sz w:val="30"/>
          <w:lang w:val="en-US" w:eastAsia="zh-CN"/>
        </w:rPr>
        <w:t>实施“人工智能+”行动；建设武汉、宜昌、“襄十”三大算力圈；推进城市全域数字化转型，打造数智经济发展高地，更好推动数字湖北建设；工业企业上云率近六成，国家领航级、卓越级智能工厂达到24家。</w:t>
      </w:r>
    </w:p>
    <w:p w14:paraId="39CD8B97">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智能网联汽车：</w:t>
      </w:r>
      <w:r>
        <w:rPr>
          <w:rFonts w:hint="default" w:ascii="Times New Roman" w:hAnsi="Times New Roman" w:eastAsia="仿宋_GB2312"/>
          <w:b w:val="0"/>
          <w:bCs w:val="0"/>
          <w:sz w:val="30"/>
          <w:lang w:val="en-US" w:eastAsia="zh-CN"/>
        </w:rPr>
        <w:t>武汉、十堰成为国家首批智能网联汽车“车路云一体化”应用试点城市。</w:t>
      </w:r>
    </w:p>
    <w:p w14:paraId="50BD6D41">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产业走廊：</w:t>
      </w:r>
      <w:r>
        <w:rPr>
          <w:rFonts w:hint="default" w:ascii="Times New Roman" w:hAnsi="Times New Roman" w:eastAsia="仿宋_GB2312"/>
          <w:b w:val="0"/>
          <w:bCs w:val="0"/>
          <w:sz w:val="30"/>
          <w:lang w:val="en-US" w:eastAsia="zh-CN"/>
        </w:rPr>
        <w:t>“汉孝随襄十”新能源与智能网联汽车产业走廊、“武鄂黄黄咸”光电子信息产业走廊、“宜荆荆襄”新能源新材料产业走廊加快建设。</w:t>
      </w:r>
    </w:p>
    <w:p w14:paraId="2DE11FA6">
      <w:pPr>
        <w:pStyle w:val="4"/>
        <w:keepNext/>
        <w:keepLines/>
        <w:pageBreakBefore w:val="0"/>
        <w:numPr>
          <w:ilvl w:val="0"/>
          <w:numId w:val="1"/>
        </w:numPr>
        <w:kinsoku/>
        <w:wordWrap/>
        <w:overflowPunct/>
        <w:topLinePunct w:val="0"/>
        <w:autoSpaceDE/>
        <w:autoSpaceDN/>
        <w:bidi w:val="0"/>
        <w:adjustRightInd/>
        <w:snapToGrid/>
        <w:spacing w:before="0" w:beforeAutospacing="0" w:after="0" w:afterAutospacing="0" w:line="560" w:lineRule="exact"/>
        <w:ind w:left="0" w:leftChars="0" w:firstLine="640" w:firstLineChars="0"/>
        <w:jc w:val="both"/>
        <w:textAlignment w:val="auto"/>
        <w:outlineLvl w:val="0"/>
        <w:rPr>
          <w:rFonts w:hint="eastAsia" w:ascii="仿宋_GB2312" w:hAnsi="仿宋_GB2312" w:eastAsia="仿宋_GB2312" w:cs="仿宋_GB2312"/>
          <w:b/>
          <w:bCs/>
          <w:sz w:val="32"/>
          <w:szCs w:val="32"/>
          <w:lang w:val="en-US" w:eastAsia="zh-CN" w:bidi="ar-SA"/>
        </w:rPr>
      </w:pPr>
      <w:r>
        <w:rPr>
          <w:rFonts w:hint="default" w:ascii="仿宋_GB2312" w:hAnsi="仿宋_GB2312" w:eastAsia="仿宋_GB2312" w:cs="仿宋_GB2312"/>
          <w:b/>
          <w:bCs/>
          <w:sz w:val="32"/>
          <w:szCs w:val="32"/>
          <w:lang w:bidi="ar-SA"/>
        </w:rPr>
        <w:t>湖北</w:t>
      </w:r>
      <w:r>
        <w:rPr>
          <w:rFonts w:hint="eastAsia" w:ascii="仿宋_GB2312" w:hAnsi="仿宋_GB2312" w:eastAsia="仿宋_GB2312" w:cs="仿宋_GB2312"/>
          <w:b/>
          <w:bCs/>
          <w:sz w:val="32"/>
          <w:szCs w:val="32"/>
          <w:lang w:val="en-US" w:eastAsia="zh-CN" w:bidi="ar-SA"/>
        </w:rPr>
        <w:t>移动落实情况</w:t>
      </w:r>
    </w:p>
    <w:p w14:paraId="26CBA8A4">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传统产业</w:t>
      </w:r>
      <w:r>
        <w:rPr>
          <w:rFonts w:hint="eastAsia" w:ascii="Times New Roman" w:hAnsi="Times New Roman" w:eastAsia="仿宋_GB2312"/>
          <w:b/>
          <w:bCs/>
          <w:sz w:val="30"/>
          <w:lang w:val="en-US" w:eastAsia="zh-CN"/>
        </w:rPr>
        <w:t>升级：</w:t>
      </w:r>
      <w:r>
        <w:rPr>
          <w:rFonts w:hint="eastAsia" w:ascii="Times New Roman" w:hAnsi="Times New Roman" w:eastAsia="仿宋_GB2312"/>
          <w:b w:val="0"/>
          <w:bCs w:val="0"/>
          <w:sz w:val="30"/>
          <w:lang w:val="en-US" w:eastAsia="zh-CN"/>
        </w:rPr>
        <w:t>助力6500家中小企实现业务上云；为3600余家规上企业进行数字化转型诊断服务，建成全市最大中小企服务系统，15个服务站覆盖全部行政区；</w:t>
      </w:r>
      <w:r>
        <w:rPr>
          <w:rFonts w:hint="default" w:ascii="Times New Roman" w:hAnsi="Times New Roman" w:eastAsia="仿宋_GB2312"/>
          <w:b w:val="0"/>
          <w:bCs w:val="0"/>
          <w:sz w:val="30"/>
          <w:lang w:val="en-US" w:eastAsia="zh-CN"/>
        </w:rPr>
        <w:t>在荆州建设二级节点综合应用服务平台，推动1093家规模以上企业平台注册</w:t>
      </w:r>
      <w:r>
        <w:rPr>
          <w:rFonts w:hint="eastAsia" w:ascii="Times New Roman" w:hAnsi="Times New Roman" w:eastAsia="仿宋_GB2312"/>
          <w:b w:val="0"/>
          <w:bCs w:val="0"/>
          <w:sz w:val="30"/>
          <w:lang w:val="en-US" w:eastAsia="zh-CN"/>
        </w:rPr>
        <w:t>。打造83个湖北省级5G工厂，其中34家入围工信部5G工厂名录。助力荆州美的洗衣机、宜化化机等建成行业标杆，武汉京东方、长飞光纤入选全国首批15家“领航级”智能工厂（省内唯二），数量居全国第一。“5G-A×AI赋能武汉小米智能家电工厂”获2026年世界移动通信大会“移动人工智能应用奖”。</w:t>
      </w:r>
    </w:p>
    <w:tbl>
      <w:tblPr>
        <w:tblStyle w:val="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41"/>
        <w:gridCol w:w="1248"/>
        <w:gridCol w:w="1152"/>
        <w:gridCol w:w="864"/>
        <w:gridCol w:w="840"/>
        <w:gridCol w:w="888"/>
        <w:gridCol w:w="696"/>
        <w:gridCol w:w="876"/>
        <w:gridCol w:w="817"/>
      </w:tblGrid>
      <w:tr w14:paraId="314D1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4" w:hRule="atLeast"/>
        </w:trPr>
        <w:tc>
          <w:tcPr>
            <w:tcW w:w="669"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74F783BE">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bCs/>
                <w:i w:val="0"/>
                <w:iCs w:val="0"/>
                <w:kern w:val="0"/>
                <w:sz w:val="20"/>
                <w:szCs w:val="20"/>
                <w:lang w:val="en-US" w:eastAsia="zh-CN" w:bidi="ar"/>
              </w:rPr>
            </w:pPr>
            <w:r>
              <w:rPr>
                <w:rFonts w:hint="eastAsia" w:ascii="仿宋_GB2312" w:hAnsi="仿宋_GB2312" w:eastAsia="仿宋_GB2312" w:cs="仿宋_GB2312"/>
                <w:b/>
                <w:bCs/>
                <w:i w:val="0"/>
                <w:iCs w:val="0"/>
                <w:kern w:val="0"/>
                <w:sz w:val="20"/>
                <w:szCs w:val="20"/>
                <w:lang w:val="en-US" w:eastAsia="zh-CN" w:bidi="ar"/>
              </w:rPr>
              <w:t>国家级</w:t>
            </w:r>
          </w:p>
          <w:p w14:paraId="14109BE9">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val="0"/>
                <w:bCs w:val="0"/>
                <w:i w:val="0"/>
                <w:iCs w:val="0"/>
                <w:kern w:val="0"/>
                <w:sz w:val="20"/>
                <w:szCs w:val="20"/>
                <w:lang w:val="en-US" w:eastAsia="zh-CN" w:bidi="ar"/>
              </w:rPr>
            </w:pPr>
            <w:r>
              <w:rPr>
                <w:rFonts w:hint="eastAsia" w:ascii="仿宋_GB2312" w:hAnsi="仿宋_GB2312" w:eastAsia="仿宋_GB2312" w:cs="仿宋_GB2312"/>
                <w:b/>
                <w:bCs/>
                <w:i w:val="0"/>
                <w:iCs w:val="0"/>
                <w:color w:val="auto"/>
                <w:kern w:val="0"/>
                <w:sz w:val="20"/>
                <w:szCs w:val="20"/>
                <w:lang w:val="en-US" w:eastAsia="zh-CN" w:bidi="ar"/>
              </w:rPr>
              <w:t>5G工厂</w:t>
            </w:r>
          </w:p>
        </w:tc>
        <w:tc>
          <w:tcPr>
            <w:tcW w:w="732"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0DEA4430">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default" w:ascii="仿宋_GB2312" w:hAnsi="仿宋_GB2312" w:eastAsia="仿宋_GB2312" w:cs="仿宋_GB2312"/>
                <w:b w:val="0"/>
                <w:bCs w:val="0"/>
                <w:i w:val="0"/>
                <w:iCs w:val="0"/>
                <w:kern w:val="2"/>
                <w:sz w:val="20"/>
                <w:szCs w:val="20"/>
                <w:lang w:val="en-US"/>
              </w:rPr>
            </w:pPr>
            <w:r>
              <w:rPr>
                <w:rFonts w:hint="eastAsia" w:ascii="仿宋_GB2312" w:hAnsi="仿宋_GB2312" w:eastAsia="仿宋_GB2312" w:cs="仿宋_GB2312"/>
                <w:b w:val="0"/>
                <w:bCs w:val="0"/>
                <w:i w:val="0"/>
                <w:iCs w:val="0"/>
                <w:kern w:val="0"/>
                <w:sz w:val="20"/>
                <w:szCs w:val="20"/>
                <w:lang w:val="en-US" w:eastAsia="zh-CN" w:bidi="ar"/>
              </w:rPr>
              <w:t>年份</w:t>
            </w:r>
          </w:p>
        </w:tc>
        <w:tc>
          <w:tcPr>
            <w:tcW w:w="675" w:type="pct"/>
            <w:vMerge w:val="restar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C471A0C">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default" w:ascii="仿宋_GB2312" w:hAnsi="仿宋_GB2312" w:eastAsia="仿宋_GB2312" w:cs="仿宋_GB2312"/>
                <w:b w:val="0"/>
                <w:bCs w:val="0"/>
                <w:i w:val="0"/>
                <w:iCs w:val="0"/>
                <w:kern w:val="2"/>
                <w:sz w:val="20"/>
                <w:szCs w:val="20"/>
                <w:lang w:val="en-US"/>
              </w:rPr>
            </w:pPr>
            <w:r>
              <w:rPr>
                <w:rFonts w:hint="eastAsia" w:ascii="仿宋_GB2312" w:hAnsi="仿宋_GB2312" w:eastAsia="仿宋_GB2312" w:cs="仿宋_GB2312"/>
                <w:b w:val="0"/>
                <w:bCs w:val="0"/>
                <w:i w:val="0"/>
                <w:iCs w:val="0"/>
                <w:kern w:val="0"/>
                <w:sz w:val="20"/>
                <w:szCs w:val="20"/>
                <w:lang w:val="en-US" w:eastAsia="zh-CN" w:bidi="ar"/>
              </w:rPr>
              <w:t>入选总数</w:t>
            </w:r>
          </w:p>
        </w:tc>
        <w:tc>
          <w:tcPr>
            <w:tcW w:w="999" w:type="pct"/>
            <w:gridSpan w:val="2"/>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56E9ABF">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bCs/>
                <w:i w:val="0"/>
                <w:iCs w:val="0"/>
                <w:color w:val="C00000"/>
                <w:kern w:val="2"/>
                <w:sz w:val="20"/>
                <w:szCs w:val="20"/>
              </w:rPr>
            </w:pPr>
            <w:r>
              <w:rPr>
                <w:rFonts w:hint="eastAsia" w:ascii="仿宋_GB2312" w:hAnsi="仿宋_GB2312" w:eastAsia="仿宋_GB2312" w:cs="仿宋_GB2312"/>
                <w:b/>
                <w:bCs/>
                <w:i w:val="0"/>
                <w:iCs w:val="0"/>
                <w:color w:val="C00000"/>
                <w:kern w:val="0"/>
                <w:sz w:val="20"/>
                <w:szCs w:val="20"/>
                <w:lang w:val="en-US" w:eastAsia="zh-CN" w:bidi="ar"/>
              </w:rPr>
              <w:t>移动</w:t>
            </w:r>
          </w:p>
        </w:tc>
        <w:tc>
          <w:tcPr>
            <w:tcW w:w="929" w:type="pct"/>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607D7E93">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val="0"/>
                <w:bCs w:val="0"/>
                <w:i w:val="0"/>
                <w:iCs w:val="0"/>
                <w:kern w:val="2"/>
                <w:sz w:val="20"/>
                <w:szCs w:val="20"/>
              </w:rPr>
            </w:pPr>
            <w:r>
              <w:rPr>
                <w:rFonts w:hint="eastAsia" w:ascii="仿宋_GB2312" w:hAnsi="仿宋_GB2312" w:eastAsia="仿宋_GB2312" w:cs="仿宋_GB2312"/>
                <w:b w:val="0"/>
                <w:bCs w:val="0"/>
                <w:i w:val="0"/>
                <w:iCs w:val="0"/>
                <w:kern w:val="0"/>
                <w:sz w:val="20"/>
                <w:szCs w:val="20"/>
                <w:lang w:val="en-US" w:eastAsia="zh-CN" w:bidi="ar"/>
              </w:rPr>
              <w:t>电信</w:t>
            </w:r>
          </w:p>
        </w:tc>
        <w:tc>
          <w:tcPr>
            <w:tcW w:w="993" w:type="pct"/>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FB4AD02">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val="0"/>
                <w:bCs w:val="0"/>
                <w:i w:val="0"/>
                <w:iCs w:val="0"/>
                <w:kern w:val="2"/>
                <w:sz w:val="20"/>
                <w:szCs w:val="20"/>
              </w:rPr>
            </w:pPr>
            <w:r>
              <w:rPr>
                <w:rFonts w:hint="eastAsia" w:ascii="仿宋_GB2312" w:hAnsi="仿宋_GB2312" w:eastAsia="仿宋_GB2312" w:cs="仿宋_GB2312"/>
                <w:b w:val="0"/>
                <w:bCs w:val="0"/>
                <w:i w:val="0"/>
                <w:iCs w:val="0"/>
                <w:kern w:val="0"/>
                <w:sz w:val="20"/>
                <w:szCs w:val="20"/>
                <w:lang w:val="en-US" w:eastAsia="zh-CN" w:bidi="ar"/>
              </w:rPr>
              <w:t>联通</w:t>
            </w:r>
          </w:p>
        </w:tc>
      </w:tr>
      <w:tr w14:paraId="4129E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669"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A659D06">
            <w:pPr>
              <w:keepNext w:val="0"/>
              <w:keepLines w:val="0"/>
              <w:pageBreakBefore w:val="0"/>
              <w:suppressLineNumbers w:val="0"/>
              <w:kinsoku/>
              <w:wordWrap/>
              <w:overflowPunct/>
              <w:topLinePunct w:val="0"/>
              <w:autoSpaceDE/>
              <w:autoSpaceDN/>
              <w:bidi w:val="0"/>
              <w:adjustRightInd/>
              <w:spacing w:before="0" w:beforeAutospacing="0" w:after="0" w:afterAutospacing="0" w:line="560" w:lineRule="exact"/>
              <w:ind w:left="0" w:right="0"/>
              <w:jc w:val="center"/>
              <w:rPr>
                <w:rFonts w:hint="eastAsia" w:ascii="仿宋_GB2312" w:hAnsi="仿宋_GB2312" w:eastAsia="仿宋_GB2312" w:cs="仿宋_GB2312"/>
                <w:b w:val="0"/>
                <w:bCs w:val="0"/>
                <w:sz w:val="20"/>
                <w:szCs w:val="20"/>
              </w:rPr>
            </w:pPr>
          </w:p>
        </w:tc>
        <w:tc>
          <w:tcPr>
            <w:tcW w:w="732"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5024A339">
            <w:pPr>
              <w:keepNext w:val="0"/>
              <w:keepLines w:val="0"/>
              <w:pageBreakBefore w:val="0"/>
              <w:suppressLineNumbers w:val="0"/>
              <w:kinsoku/>
              <w:wordWrap/>
              <w:overflowPunct/>
              <w:topLinePunct w:val="0"/>
              <w:autoSpaceDE/>
              <w:autoSpaceDN/>
              <w:bidi w:val="0"/>
              <w:adjustRightInd/>
              <w:spacing w:before="0" w:beforeAutospacing="0" w:after="0" w:afterAutospacing="0" w:line="560" w:lineRule="exact"/>
              <w:ind w:left="0" w:right="0"/>
              <w:rPr>
                <w:rFonts w:hint="eastAsia" w:ascii="仿宋_GB2312" w:hAnsi="仿宋_GB2312" w:eastAsia="仿宋_GB2312" w:cs="仿宋_GB2312"/>
                <w:b w:val="0"/>
                <w:bCs w:val="0"/>
                <w:sz w:val="20"/>
                <w:szCs w:val="20"/>
              </w:rPr>
            </w:pPr>
          </w:p>
        </w:tc>
        <w:tc>
          <w:tcPr>
            <w:tcW w:w="675" w:type="pct"/>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C34F58D">
            <w:pPr>
              <w:keepNext w:val="0"/>
              <w:keepLines w:val="0"/>
              <w:pageBreakBefore w:val="0"/>
              <w:suppressLineNumbers w:val="0"/>
              <w:kinsoku/>
              <w:wordWrap/>
              <w:overflowPunct/>
              <w:topLinePunct w:val="0"/>
              <w:autoSpaceDE/>
              <w:autoSpaceDN/>
              <w:bidi w:val="0"/>
              <w:adjustRightInd/>
              <w:spacing w:before="0" w:beforeAutospacing="0" w:after="0" w:afterAutospacing="0" w:line="560" w:lineRule="exact"/>
              <w:ind w:left="0" w:right="0"/>
              <w:rPr>
                <w:rFonts w:hint="eastAsia" w:ascii="仿宋_GB2312" w:hAnsi="仿宋_GB2312" w:eastAsia="仿宋_GB2312" w:cs="仿宋_GB2312"/>
                <w:b w:val="0"/>
                <w:bCs w:val="0"/>
                <w:sz w:val="20"/>
                <w:szCs w:val="20"/>
              </w:rPr>
            </w:pPr>
          </w:p>
        </w:tc>
        <w:tc>
          <w:tcPr>
            <w:tcW w:w="506" w:type="pct"/>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FD19D41">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bCs/>
                <w:i w:val="0"/>
                <w:iCs w:val="0"/>
                <w:color w:val="C00000"/>
                <w:kern w:val="0"/>
                <w:sz w:val="20"/>
                <w:szCs w:val="20"/>
              </w:rPr>
            </w:pPr>
            <w:r>
              <w:rPr>
                <w:rFonts w:hint="eastAsia" w:ascii="仿宋_GB2312" w:hAnsi="仿宋_GB2312" w:eastAsia="仿宋_GB2312" w:cs="仿宋_GB2312"/>
                <w:b/>
                <w:bCs/>
                <w:i w:val="0"/>
                <w:iCs w:val="0"/>
                <w:color w:val="C00000"/>
                <w:kern w:val="0"/>
                <w:sz w:val="20"/>
                <w:szCs w:val="20"/>
                <w:lang w:val="en-US" w:eastAsia="zh-CN" w:bidi="ar"/>
              </w:rPr>
              <w:t>入选</w:t>
            </w:r>
          </w:p>
          <w:p w14:paraId="499D9A34">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bCs/>
                <w:i w:val="0"/>
                <w:iCs w:val="0"/>
                <w:color w:val="C00000"/>
                <w:kern w:val="2"/>
                <w:sz w:val="20"/>
                <w:szCs w:val="20"/>
              </w:rPr>
            </w:pPr>
            <w:r>
              <w:rPr>
                <w:rFonts w:hint="eastAsia" w:ascii="仿宋_GB2312" w:hAnsi="仿宋_GB2312" w:eastAsia="仿宋_GB2312" w:cs="仿宋_GB2312"/>
                <w:b/>
                <w:bCs/>
                <w:i w:val="0"/>
                <w:iCs w:val="0"/>
                <w:color w:val="C00000"/>
                <w:kern w:val="0"/>
                <w:sz w:val="20"/>
                <w:szCs w:val="20"/>
                <w:lang w:val="en-US" w:eastAsia="zh-CN" w:bidi="ar"/>
              </w:rPr>
              <w:t>数量</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4AD4AD9">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bCs/>
                <w:i w:val="0"/>
                <w:iCs w:val="0"/>
                <w:color w:val="C00000"/>
                <w:kern w:val="2"/>
                <w:sz w:val="20"/>
                <w:szCs w:val="20"/>
              </w:rPr>
            </w:pPr>
            <w:r>
              <w:rPr>
                <w:rFonts w:hint="eastAsia" w:ascii="仿宋_GB2312" w:hAnsi="仿宋_GB2312" w:eastAsia="仿宋_GB2312" w:cs="仿宋_GB2312"/>
                <w:b/>
                <w:bCs/>
                <w:i w:val="0"/>
                <w:iCs w:val="0"/>
                <w:color w:val="C00000"/>
                <w:kern w:val="0"/>
                <w:sz w:val="20"/>
                <w:szCs w:val="20"/>
                <w:lang w:val="en-US" w:eastAsia="zh-CN" w:bidi="ar"/>
              </w:rPr>
              <w:t>占比</w:t>
            </w:r>
          </w:p>
        </w:tc>
        <w:tc>
          <w:tcPr>
            <w:tcW w:w="52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1B0F225">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val="0"/>
                <w:bCs w:val="0"/>
                <w:i w:val="0"/>
                <w:iCs w:val="0"/>
                <w:kern w:val="0"/>
                <w:sz w:val="20"/>
                <w:szCs w:val="20"/>
              </w:rPr>
            </w:pPr>
            <w:r>
              <w:rPr>
                <w:rFonts w:hint="eastAsia" w:ascii="仿宋_GB2312" w:hAnsi="仿宋_GB2312" w:eastAsia="仿宋_GB2312" w:cs="仿宋_GB2312"/>
                <w:b w:val="0"/>
                <w:bCs w:val="0"/>
                <w:i w:val="0"/>
                <w:iCs w:val="0"/>
                <w:kern w:val="0"/>
                <w:sz w:val="20"/>
                <w:szCs w:val="20"/>
                <w:lang w:val="en-US" w:eastAsia="zh-CN" w:bidi="ar"/>
              </w:rPr>
              <w:t>入选</w:t>
            </w:r>
          </w:p>
          <w:p w14:paraId="2AF2149A">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val="0"/>
                <w:bCs w:val="0"/>
                <w:i w:val="0"/>
                <w:iCs w:val="0"/>
                <w:kern w:val="2"/>
                <w:sz w:val="20"/>
                <w:szCs w:val="20"/>
              </w:rPr>
            </w:pPr>
            <w:r>
              <w:rPr>
                <w:rFonts w:hint="eastAsia" w:ascii="仿宋_GB2312" w:hAnsi="仿宋_GB2312" w:eastAsia="仿宋_GB2312" w:cs="仿宋_GB2312"/>
                <w:b w:val="0"/>
                <w:bCs w:val="0"/>
                <w:i w:val="0"/>
                <w:iCs w:val="0"/>
                <w:kern w:val="0"/>
                <w:sz w:val="20"/>
                <w:szCs w:val="20"/>
                <w:lang w:val="en-US" w:eastAsia="zh-CN" w:bidi="ar"/>
              </w:rPr>
              <w:t>数量</w:t>
            </w:r>
          </w:p>
        </w:tc>
        <w:tc>
          <w:tcPr>
            <w:tcW w:w="40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89955AC">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val="0"/>
                <w:bCs w:val="0"/>
                <w:i w:val="0"/>
                <w:iCs w:val="0"/>
                <w:kern w:val="2"/>
                <w:sz w:val="20"/>
                <w:szCs w:val="20"/>
              </w:rPr>
            </w:pPr>
            <w:r>
              <w:rPr>
                <w:rFonts w:hint="eastAsia" w:ascii="仿宋_GB2312" w:hAnsi="仿宋_GB2312" w:eastAsia="仿宋_GB2312" w:cs="仿宋_GB2312"/>
                <w:b w:val="0"/>
                <w:bCs w:val="0"/>
                <w:i w:val="0"/>
                <w:iCs w:val="0"/>
                <w:kern w:val="0"/>
                <w:sz w:val="20"/>
                <w:szCs w:val="20"/>
                <w:lang w:val="en-US" w:eastAsia="zh-CN" w:bidi="ar"/>
              </w:rPr>
              <w:t>占比</w:t>
            </w:r>
          </w:p>
        </w:tc>
        <w:tc>
          <w:tcPr>
            <w:tcW w:w="51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736014F">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val="0"/>
                <w:bCs w:val="0"/>
                <w:i w:val="0"/>
                <w:iCs w:val="0"/>
                <w:kern w:val="0"/>
                <w:sz w:val="20"/>
                <w:szCs w:val="20"/>
              </w:rPr>
            </w:pPr>
            <w:r>
              <w:rPr>
                <w:rFonts w:hint="eastAsia" w:ascii="仿宋_GB2312" w:hAnsi="仿宋_GB2312" w:eastAsia="仿宋_GB2312" w:cs="仿宋_GB2312"/>
                <w:b w:val="0"/>
                <w:bCs w:val="0"/>
                <w:i w:val="0"/>
                <w:iCs w:val="0"/>
                <w:kern w:val="0"/>
                <w:sz w:val="20"/>
                <w:szCs w:val="20"/>
                <w:lang w:val="en-US" w:eastAsia="zh-CN" w:bidi="ar"/>
              </w:rPr>
              <w:t>入选</w:t>
            </w:r>
          </w:p>
          <w:p w14:paraId="769EA235">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val="0"/>
                <w:bCs w:val="0"/>
                <w:i w:val="0"/>
                <w:iCs w:val="0"/>
                <w:kern w:val="2"/>
                <w:sz w:val="20"/>
                <w:szCs w:val="20"/>
              </w:rPr>
            </w:pPr>
            <w:r>
              <w:rPr>
                <w:rFonts w:hint="eastAsia" w:ascii="仿宋_GB2312" w:hAnsi="仿宋_GB2312" w:eastAsia="仿宋_GB2312" w:cs="仿宋_GB2312"/>
                <w:b w:val="0"/>
                <w:bCs w:val="0"/>
                <w:i w:val="0"/>
                <w:iCs w:val="0"/>
                <w:kern w:val="0"/>
                <w:sz w:val="20"/>
                <w:szCs w:val="20"/>
                <w:lang w:val="en-US" w:eastAsia="zh-CN" w:bidi="ar"/>
              </w:rPr>
              <w:t>数量</w:t>
            </w:r>
          </w:p>
        </w:tc>
        <w:tc>
          <w:tcPr>
            <w:tcW w:w="47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355EE34">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val="0"/>
                <w:bCs w:val="0"/>
                <w:i w:val="0"/>
                <w:iCs w:val="0"/>
                <w:kern w:val="2"/>
                <w:sz w:val="20"/>
                <w:szCs w:val="20"/>
              </w:rPr>
            </w:pPr>
            <w:r>
              <w:rPr>
                <w:rFonts w:hint="eastAsia" w:ascii="仿宋_GB2312" w:hAnsi="仿宋_GB2312" w:eastAsia="仿宋_GB2312" w:cs="仿宋_GB2312"/>
                <w:b w:val="0"/>
                <w:bCs w:val="0"/>
                <w:i w:val="0"/>
                <w:iCs w:val="0"/>
                <w:kern w:val="0"/>
                <w:sz w:val="20"/>
                <w:szCs w:val="20"/>
                <w:lang w:val="en-US" w:eastAsia="zh-CN" w:bidi="ar"/>
              </w:rPr>
              <w:t>占比</w:t>
            </w:r>
          </w:p>
        </w:tc>
      </w:tr>
      <w:tr w14:paraId="297A1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669"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2BAE8A14">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
              </w:rPr>
            </w:pPr>
          </w:p>
        </w:tc>
        <w:tc>
          <w:tcPr>
            <w:tcW w:w="73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C3FA714">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val="0"/>
                <w:bCs w:val="0"/>
                <w:i w:val="0"/>
                <w:iCs w:val="0"/>
                <w:color w:val="000000"/>
                <w:kern w:val="2"/>
                <w:sz w:val="20"/>
                <w:szCs w:val="20"/>
              </w:rPr>
            </w:pPr>
            <w:r>
              <w:rPr>
                <w:rFonts w:hint="eastAsia" w:ascii="仿宋_GB2312" w:hAnsi="仿宋_GB2312" w:eastAsia="仿宋_GB2312" w:cs="仿宋_GB2312"/>
                <w:b w:val="0"/>
                <w:bCs w:val="0"/>
                <w:i w:val="0"/>
                <w:iCs w:val="0"/>
                <w:color w:val="000000"/>
                <w:kern w:val="0"/>
                <w:sz w:val="20"/>
                <w:szCs w:val="20"/>
                <w:lang w:val="en-US" w:eastAsia="zh-CN" w:bidi="ar"/>
              </w:rPr>
              <w:t>2023年</w:t>
            </w:r>
          </w:p>
        </w:tc>
        <w:tc>
          <w:tcPr>
            <w:tcW w:w="675" w:type="pct"/>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23D5FCA">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val="0"/>
                <w:bCs w:val="0"/>
                <w:i w:val="0"/>
                <w:iCs w:val="0"/>
                <w:color w:val="000000"/>
                <w:kern w:val="2"/>
                <w:sz w:val="20"/>
                <w:szCs w:val="20"/>
              </w:rPr>
            </w:pPr>
            <w:r>
              <w:rPr>
                <w:rFonts w:hint="eastAsia" w:ascii="仿宋_GB2312" w:hAnsi="仿宋_GB2312" w:eastAsia="仿宋_GB2312" w:cs="仿宋_GB2312"/>
                <w:b w:val="0"/>
                <w:bCs w:val="0"/>
                <w:i w:val="0"/>
                <w:iCs w:val="0"/>
                <w:color w:val="000000"/>
                <w:kern w:val="0"/>
                <w:sz w:val="20"/>
                <w:szCs w:val="20"/>
                <w:lang w:val="en-US" w:eastAsia="zh-CN" w:bidi="ar"/>
              </w:rPr>
              <w:t>30</w:t>
            </w:r>
          </w:p>
        </w:tc>
        <w:tc>
          <w:tcPr>
            <w:tcW w:w="506" w:type="pct"/>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4B478CA">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bCs/>
                <w:i w:val="0"/>
                <w:iCs w:val="0"/>
                <w:color w:val="000000"/>
                <w:kern w:val="2"/>
                <w:sz w:val="20"/>
                <w:szCs w:val="20"/>
              </w:rPr>
            </w:pPr>
            <w:r>
              <w:rPr>
                <w:rFonts w:hint="eastAsia" w:ascii="仿宋_GB2312" w:hAnsi="仿宋_GB2312" w:eastAsia="仿宋_GB2312" w:cs="仿宋_GB2312"/>
                <w:b/>
                <w:bCs/>
                <w:i w:val="0"/>
                <w:iCs w:val="0"/>
                <w:color w:val="000000"/>
                <w:kern w:val="0"/>
                <w:sz w:val="20"/>
                <w:szCs w:val="20"/>
                <w:lang w:val="en-US" w:eastAsia="zh-CN" w:bidi="ar"/>
              </w:rPr>
              <w:t>13</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5C00C70">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bCs/>
                <w:i w:val="0"/>
                <w:iCs w:val="0"/>
                <w:color w:val="000000"/>
                <w:kern w:val="2"/>
                <w:sz w:val="20"/>
                <w:szCs w:val="20"/>
              </w:rPr>
            </w:pPr>
            <w:r>
              <w:rPr>
                <w:rFonts w:hint="eastAsia" w:ascii="仿宋_GB2312" w:hAnsi="仿宋_GB2312" w:eastAsia="仿宋_GB2312" w:cs="仿宋_GB2312"/>
                <w:b/>
                <w:bCs/>
                <w:i w:val="0"/>
                <w:iCs w:val="0"/>
                <w:color w:val="000000"/>
                <w:kern w:val="0"/>
                <w:sz w:val="20"/>
                <w:szCs w:val="20"/>
                <w:lang w:val="en-US" w:eastAsia="zh-CN" w:bidi="ar"/>
              </w:rPr>
              <w:t>43%</w:t>
            </w:r>
          </w:p>
        </w:tc>
        <w:tc>
          <w:tcPr>
            <w:tcW w:w="52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B579D98">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val="0"/>
                <w:bCs w:val="0"/>
                <w:i w:val="0"/>
                <w:iCs w:val="0"/>
                <w:color w:val="000000"/>
                <w:kern w:val="2"/>
                <w:sz w:val="20"/>
                <w:szCs w:val="20"/>
              </w:rPr>
            </w:pPr>
            <w:r>
              <w:rPr>
                <w:rFonts w:hint="eastAsia" w:ascii="仿宋_GB2312" w:hAnsi="仿宋_GB2312" w:eastAsia="仿宋_GB2312" w:cs="仿宋_GB2312"/>
                <w:b w:val="0"/>
                <w:bCs w:val="0"/>
                <w:i w:val="0"/>
                <w:iCs w:val="0"/>
                <w:color w:val="000000"/>
                <w:kern w:val="0"/>
                <w:sz w:val="20"/>
                <w:szCs w:val="20"/>
                <w:lang w:val="en-US" w:eastAsia="zh-CN" w:bidi="ar"/>
              </w:rPr>
              <w:t>12</w:t>
            </w:r>
          </w:p>
        </w:tc>
        <w:tc>
          <w:tcPr>
            <w:tcW w:w="40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E83E5DA">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val="0"/>
                <w:bCs w:val="0"/>
                <w:i w:val="0"/>
                <w:iCs w:val="0"/>
                <w:color w:val="000000"/>
                <w:kern w:val="2"/>
                <w:sz w:val="20"/>
                <w:szCs w:val="20"/>
              </w:rPr>
            </w:pPr>
            <w:r>
              <w:rPr>
                <w:rFonts w:hint="eastAsia" w:ascii="仿宋_GB2312" w:hAnsi="仿宋_GB2312" w:eastAsia="仿宋_GB2312" w:cs="仿宋_GB2312"/>
                <w:b w:val="0"/>
                <w:bCs w:val="0"/>
                <w:i w:val="0"/>
                <w:iCs w:val="0"/>
                <w:color w:val="000000"/>
                <w:kern w:val="0"/>
                <w:sz w:val="20"/>
                <w:szCs w:val="20"/>
                <w:lang w:val="en-US" w:eastAsia="zh-CN" w:bidi="ar"/>
              </w:rPr>
              <w:t>40%</w:t>
            </w:r>
          </w:p>
        </w:tc>
        <w:tc>
          <w:tcPr>
            <w:tcW w:w="51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E401BD3">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val="0"/>
                <w:bCs w:val="0"/>
                <w:i w:val="0"/>
                <w:iCs w:val="0"/>
                <w:color w:val="000000"/>
                <w:kern w:val="2"/>
                <w:sz w:val="20"/>
                <w:szCs w:val="20"/>
              </w:rPr>
            </w:pPr>
            <w:r>
              <w:rPr>
                <w:rFonts w:hint="eastAsia" w:ascii="仿宋_GB2312" w:hAnsi="仿宋_GB2312" w:eastAsia="仿宋_GB2312" w:cs="仿宋_GB2312"/>
                <w:b w:val="0"/>
                <w:bCs w:val="0"/>
                <w:i w:val="0"/>
                <w:iCs w:val="0"/>
                <w:color w:val="000000"/>
                <w:kern w:val="0"/>
                <w:sz w:val="20"/>
                <w:szCs w:val="20"/>
                <w:lang w:val="en-US" w:eastAsia="zh-CN" w:bidi="ar"/>
              </w:rPr>
              <w:t>5</w:t>
            </w:r>
          </w:p>
        </w:tc>
        <w:tc>
          <w:tcPr>
            <w:tcW w:w="47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FB4CBD6">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val="0"/>
                <w:bCs w:val="0"/>
                <w:i w:val="0"/>
                <w:iCs w:val="0"/>
                <w:color w:val="000000"/>
                <w:kern w:val="2"/>
                <w:sz w:val="20"/>
                <w:szCs w:val="20"/>
              </w:rPr>
            </w:pPr>
            <w:r>
              <w:rPr>
                <w:rFonts w:hint="eastAsia" w:ascii="仿宋_GB2312" w:hAnsi="仿宋_GB2312" w:eastAsia="仿宋_GB2312" w:cs="仿宋_GB2312"/>
                <w:b w:val="0"/>
                <w:bCs w:val="0"/>
                <w:i w:val="0"/>
                <w:iCs w:val="0"/>
                <w:color w:val="000000"/>
                <w:kern w:val="0"/>
                <w:sz w:val="20"/>
                <w:szCs w:val="20"/>
                <w:lang w:val="en-US" w:eastAsia="zh-CN" w:bidi="ar"/>
              </w:rPr>
              <w:t>17%</w:t>
            </w:r>
          </w:p>
        </w:tc>
      </w:tr>
      <w:tr w14:paraId="7F680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669"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261929B">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
              </w:rPr>
            </w:pPr>
          </w:p>
        </w:tc>
        <w:tc>
          <w:tcPr>
            <w:tcW w:w="73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D9B618F">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val="0"/>
                <w:bCs w:val="0"/>
                <w:i w:val="0"/>
                <w:iCs w:val="0"/>
                <w:color w:val="000000"/>
                <w:kern w:val="2"/>
                <w:sz w:val="20"/>
                <w:szCs w:val="20"/>
              </w:rPr>
            </w:pPr>
            <w:r>
              <w:rPr>
                <w:rFonts w:hint="eastAsia" w:ascii="仿宋_GB2312" w:hAnsi="仿宋_GB2312" w:eastAsia="仿宋_GB2312" w:cs="仿宋_GB2312"/>
                <w:b w:val="0"/>
                <w:bCs w:val="0"/>
                <w:i w:val="0"/>
                <w:iCs w:val="0"/>
                <w:color w:val="000000"/>
                <w:kern w:val="0"/>
                <w:sz w:val="20"/>
                <w:szCs w:val="20"/>
                <w:lang w:val="en-US" w:eastAsia="zh-CN" w:bidi="ar"/>
              </w:rPr>
              <w:t>2024年</w:t>
            </w:r>
          </w:p>
        </w:tc>
        <w:tc>
          <w:tcPr>
            <w:tcW w:w="675" w:type="pct"/>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5C39FA7">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val="0"/>
                <w:bCs w:val="0"/>
                <w:i w:val="0"/>
                <w:iCs w:val="0"/>
                <w:color w:val="000000"/>
                <w:kern w:val="2"/>
                <w:sz w:val="20"/>
                <w:szCs w:val="20"/>
              </w:rPr>
            </w:pPr>
            <w:r>
              <w:rPr>
                <w:rFonts w:hint="eastAsia" w:ascii="仿宋_GB2312" w:hAnsi="仿宋_GB2312" w:eastAsia="仿宋_GB2312" w:cs="仿宋_GB2312"/>
                <w:b w:val="0"/>
                <w:bCs w:val="0"/>
                <w:i w:val="0"/>
                <w:iCs w:val="0"/>
                <w:color w:val="000000"/>
                <w:kern w:val="0"/>
                <w:sz w:val="20"/>
                <w:szCs w:val="20"/>
                <w:lang w:val="en-US" w:eastAsia="zh-CN" w:bidi="ar"/>
              </w:rPr>
              <w:t>25</w:t>
            </w:r>
          </w:p>
        </w:tc>
        <w:tc>
          <w:tcPr>
            <w:tcW w:w="506" w:type="pct"/>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657CB44">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bCs/>
                <w:i w:val="0"/>
                <w:iCs w:val="0"/>
                <w:color w:val="000000"/>
                <w:kern w:val="2"/>
                <w:sz w:val="20"/>
                <w:szCs w:val="20"/>
              </w:rPr>
            </w:pPr>
            <w:r>
              <w:rPr>
                <w:rFonts w:hint="eastAsia" w:ascii="仿宋_GB2312" w:hAnsi="仿宋_GB2312" w:eastAsia="仿宋_GB2312" w:cs="仿宋_GB2312"/>
                <w:b/>
                <w:bCs/>
                <w:i w:val="0"/>
                <w:iCs w:val="0"/>
                <w:color w:val="000000"/>
                <w:kern w:val="0"/>
                <w:sz w:val="20"/>
                <w:szCs w:val="20"/>
                <w:lang w:val="en-US" w:eastAsia="zh-CN" w:bidi="ar"/>
              </w:rPr>
              <w:t>10</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D157A8A">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bCs/>
                <w:i w:val="0"/>
                <w:iCs w:val="0"/>
                <w:color w:val="000000"/>
                <w:kern w:val="2"/>
                <w:sz w:val="20"/>
                <w:szCs w:val="20"/>
              </w:rPr>
            </w:pPr>
            <w:r>
              <w:rPr>
                <w:rFonts w:hint="eastAsia" w:ascii="仿宋_GB2312" w:hAnsi="仿宋_GB2312" w:eastAsia="仿宋_GB2312" w:cs="仿宋_GB2312"/>
                <w:b/>
                <w:bCs/>
                <w:i w:val="0"/>
                <w:iCs w:val="0"/>
                <w:color w:val="000000"/>
                <w:kern w:val="0"/>
                <w:sz w:val="20"/>
                <w:szCs w:val="20"/>
                <w:lang w:val="en-US" w:eastAsia="zh-CN" w:bidi="ar"/>
              </w:rPr>
              <w:t>40%</w:t>
            </w:r>
          </w:p>
        </w:tc>
        <w:tc>
          <w:tcPr>
            <w:tcW w:w="52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C243898">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val="0"/>
                <w:bCs w:val="0"/>
                <w:i w:val="0"/>
                <w:iCs w:val="0"/>
                <w:color w:val="000000"/>
                <w:kern w:val="2"/>
                <w:sz w:val="20"/>
                <w:szCs w:val="20"/>
              </w:rPr>
            </w:pPr>
            <w:r>
              <w:rPr>
                <w:rFonts w:hint="eastAsia" w:ascii="仿宋_GB2312" w:hAnsi="仿宋_GB2312" w:eastAsia="仿宋_GB2312" w:cs="仿宋_GB2312"/>
                <w:b w:val="0"/>
                <w:bCs w:val="0"/>
                <w:i w:val="0"/>
                <w:iCs w:val="0"/>
                <w:color w:val="000000"/>
                <w:kern w:val="0"/>
                <w:sz w:val="20"/>
                <w:szCs w:val="20"/>
                <w:lang w:val="en-US" w:eastAsia="zh-CN" w:bidi="ar"/>
              </w:rPr>
              <w:t>6</w:t>
            </w:r>
          </w:p>
        </w:tc>
        <w:tc>
          <w:tcPr>
            <w:tcW w:w="40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A025803">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val="0"/>
                <w:bCs w:val="0"/>
                <w:i w:val="0"/>
                <w:iCs w:val="0"/>
                <w:color w:val="000000"/>
                <w:kern w:val="2"/>
                <w:sz w:val="20"/>
                <w:szCs w:val="20"/>
              </w:rPr>
            </w:pPr>
            <w:r>
              <w:rPr>
                <w:rFonts w:hint="eastAsia" w:ascii="仿宋_GB2312" w:hAnsi="仿宋_GB2312" w:eastAsia="仿宋_GB2312" w:cs="仿宋_GB2312"/>
                <w:b w:val="0"/>
                <w:bCs w:val="0"/>
                <w:i w:val="0"/>
                <w:iCs w:val="0"/>
                <w:color w:val="000000"/>
                <w:kern w:val="0"/>
                <w:sz w:val="20"/>
                <w:szCs w:val="20"/>
                <w:lang w:val="en-US" w:eastAsia="zh-CN" w:bidi="ar"/>
              </w:rPr>
              <w:t>24%</w:t>
            </w:r>
          </w:p>
        </w:tc>
        <w:tc>
          <w:tcPr>
            <w:tcW w:w="51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8705075">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val="0"/>
                <w:bCs w:val="0"/>
                <w:i w:val="0"/>
                <w:iCs w:val="0"/>
                <w:color w:val="000000"/>
                <w:kern w:val="2"/>
                <w:sz w:val="20"/>
                <w:szCs w:val="20"/>
              </w:rPr>
            </w:pPr>
            <w:r>
              <w:rPr>
                <w:rFonts w:hint="eastAsia" w:ascii="仿宋_GB2312" w:hAnsi="仿宋_GB2312" w:eastAsia="仿宋_GB2312" w:cs="仿宋_GB2312"/>
                <w:b w:val="0"/>
                <w:bCs w:val="0"/>
                <w:i w:val="0"/>
                <w:iCs w:val="0"/>
                <w:color w:val="000000"/>
                <w:kern w:val="0"/>
                <w:sz w:val="20"/>
                <w:szCs w:val="20"/>
                <w:lang w:val="en-US" w:eastAsia="zh-CN" w:bidi="ar"/>
              </w:rPr>
              <w:t>9</w:t>
            </w:r>
          </w:p>
        </w:tc>
        <w:tc>
          <w:tcPr>
            <w:tcW w:w="47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A48F97C">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val="0"/>
                <w:bCs w:val="0"/>
                <w:i w:val="0"/>
                <w:iCs w:val="0"/>
                <w:color w:val="000000"/>
                <w:kern w:val="2"/>
                <w:sz w:val="20"/>
                <w:szCs w:val="20"/>
              </w:rPr>
            </w:pPr>
            <w:r>
              <w:rPr>
                <w:rFonts w:hint="eastAsia" w:ascii="仿宋_GB2312" w:hAnsi="仿宋_GB2312" w:eastAsia="仿宋_GB2312" w:cs="仿宋_GB2312"/>
                <w:b w:val="0"/>
                <w:bCs w:val="0"/>
                <w:i w:val="0"/>
                <w:iCs w:val="0"/>
                <w:color w:val="000000"/>
                <w:kern w:val="0"/>
                <w:sz w:val="20"/>
                <w:szCs w:val="20"/>
                <w:lang w:val="en-US" w:eastAsia="zh-CN" w:bidi="ar"/>
              </w:rPr>
              <w:t>36%</w:t>
            </w:r>
          </w:p>
        </w:tc>
      </w:tr>
      <w:tr w14:paraId="6F190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669"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5B8942A0">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
              </w:rPr>
            </w:pPr>
          </w:p>
        </w:tc>
        <w:tc>
          <w:tcPr>
            <w:tcW w:w="73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0ECBED3">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val="0"/>
                <w:bCs w:val="0"/>
                <w:i w:val="0"/>
                <w:iCs w:val="0"/>
                <w:color w:val="000000"/>
                <w:kern w:val="2"/>
                <w:sz w:val="20"/>
                <w:szCs w:val="20"/>
              </w:rPr>
            </w:pPr>
            <w:r>
              <w:rPr>
                <w:rFonts w:hint="eastAsia" w:ascii="仿宋_GB2312" w:hAnsi="仿宋_GB2312" w:eastAsia="仿宋_GB2312" w:cs="仿宋_GB2312"/>
                <w:b w:val="0"/>
                <w:bCs w:val="0"/>
                <w:i w:val="0"/>
                <w:iCs w:val="0"/>
                <w:color w:val="000000"/>
                <w:kern w:val="0"/>
                <w:sz w:val="20"/>
                <w:szCs w:val="20"/>
                <w:lang w:val="en-US" w:eastAsia="zh-CN" w:bidi="ar"/>
              </w:rPr>
              <w:t>2025年</w:t>
            </w:r>
          </w:p>
        </w:tc>
        <w:tc>
          <w:tcPr>
            <w:tcW w:w="675" w:type="pct"/>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3F60A7C">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val="0"/>
                <w:bCs w:val="0"/>
                <w:i w:val="0"/>
                <w:iCs w:val="0"/>
                <w:color w:val="000000"/>
                <w:kern w:val="2"/>
                <w:sz w:val="20"/>
                <w:szCs w:val="20"/>
              </w:rPr>
            </w:pPr>
            <w:r>
              <w:rPr>
                <w:rFonts w:hint="eastAsia" w:ascii="仿宋_GB2312" w:hAnsi="仿宋_GB2312" w:eastAsia="仿宋_GB2312" w:cs="仿宋_GB2312"/>
                <w:b w:val="0"/>
                <w:bCs w:val="0"/>
                <w:i w:val="0"/>
                <w:iCs w:val="0"/>
                <w:color w:val="000000"/>
                <w:kern w:val="0"/>
                <w:sz w:val="20"/>
                <w:szCs w:val="20"/>
                <w:lang w:val="en-US" w:eastAsia="zh-CN" w:bidi="ar"/>
              </w:rPr>
              <w:t>46</w:t>
            </w:r>
          </w:p>
        </w:tc>
        <w:tc>
          <w:tcPr>
            <w:tcW w:w="506" w:type="pct"/>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7D99E1F">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bCs/>
                <w:i w:val="0"/>
                <w:iCs w:val="0"/>
                <w:color w:val="000000"/>
                <w:kern w:val="2"/>
                <w:sz w:val="20"/>
                <w:szCs w:val="20"/>
              </w:rPr>
            </w:pPr>
            <w:r>
              <w:rPr>
                <w:rFonts w:hint="eastAsia" w:ascii="仿宋_GB2312" w:hAnsi="仿宋_GB2312" w:eastAsia="仿宋_GB2312" w:cs="仿宋_GB2312"/>
                <w:b/>
                <w:bCs/>
                <w:i w:val="0"/>
                <w:iCs w:val="0"/>
                <w:color w:val="000000"/>
                <w:kern w:val="0"/>
                <w:sz w:val="20"/>
                <w:szCs w:val="20"/>
                <w:lang w:val="en-US" w:eastAsia="zh-CN" w:bidi="ar"/>
              </w:rPr>
              <w:t>11</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6F6E1E7">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bCs/>
                <w:i w:val="0"/>
                <w:iCs w:val="0"/>
                <w:color w:val="000000"/>
                <w:kern w:val="2"/>
                <w:sz w:val="20"/>
                <w:szCs w:val="20"/>
              </w:rPr>
            </w:pPr>
            <w:r>
              <w:rPr>
                <w:rFonts w:hint="eastAsia" w:ascii="仿宋_GB2312" w:hAnsi="仿宋_GB2312" w:eastAsia="仿宋_GB2312" w:cs="仿宋_GB2312"/>
                <w:b/>
                <w:bCs/>
                <w:i w:val="0"/>
                <w:iCs w:val="0"/>
                <w:color w:val="000000"/>
                <w:kern w:val="0"/>
                <w:sz w:val="20"/>
                <w:szCs w:val="20"/>
                <w:lang w:val="en-US" w:eastAsia="zh-CN" w:bidi="ar"/>
              </w:rPr>
              <w:t>24%</w:t>
            </w:r>
          </w:p>
        </w:tc>
        <w:tc>
          <w:tcPr>
            <w:tcW w:w="52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B027D3F">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val="0"/>
                <w:bCs w:val="0"/>
                <w:i w:val="0"/>
                <w:iCs w:val="0"/>
                <w:color w:val="000000"/>
                <w:kern w:val="2"/>
                <w:sz w:val="20"/>
                <w:szCs w:val="20"/>
              </w:rPr>
            </w:pPr>
            <w:r>
              <w:rPr>
                <w:rFonts w:hint="eastAsia" w:ascii="仿宋_GB2312" w:hAnsi="仿宋_GB2312" w:eastAsia="仿宋_GB2312" w:cs="仿宋_GB2312"/>
                <w:b w:val="0"/>
                <w:bCs w:val="0"/>
                <w:i w:val="0"/>
                <w:iCs w:val="0"/>
                <w:color w:val="000000"/>
                <w:kern w:val="0"/>
                <w:sz w:val="20"/>
                <w:szCs w:val="20"/>
                <w:lang w:val="en-US" w:eastAsia="zh-CN" w:bidi="ar"/>
              </w:rPr>
              <w:t>11</w:t>
            </w:r>
          </w:p>
        </w:tc>
        <w:tc>
          <w:tcPr>
            <w:tcW w:w="40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561AAA5">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val="0"/>
                <w:bCs w:val="0"/>
                <w:i w:val="0"/>
                <w:iCs w:val="0"/>
                <w:color w:val="000000"/>
                <w:kern w:val="2"/>
                <w:sz w:val="20"/>
                <w:szCs w:val="20"/>
              </w:rPr>
            </w:pPr>
            <w:r>
              <w:rPr>
                <w:rFonts w:hint="eastAsia" w:ascii="仿宋_GB2312" w:hAnsi="仿宋_GB2312" w:eastAsia="仿宋_GB2312" w:cs="仿宋_GB2312"/>
                <w:b w:val="0"/>
                <w:bCs w:val="0"/>
                <w:i w:val="0"/>
                <w:iCs w:val="0"/>
                <w:color w:val="000000"/>
                <w:kern w:val="0"/>
                <w:sz w:val="20"/>
                <w:szCs w:val="20"/>
                <w:lang w:val="en-US" w:eastAsia="zh-CN" w:bidi="ar"/>
              </w:rPr>
              <w:t>24%</w:t>
            </w:r>
          </w:p>
        </w:tc>
        <w:tc>
          <w:tcPr>
            <w:tcW w:w="51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AC90DD9">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val="0"/>
                <w:bCs w:val="0"/>
                <w:i w:val="0"/>
                <w:iCs w:val="0"/>
                <w:color w:val="000000"/>
                <w:kern w:val="2"/>
                <w:sz w:val="20"/>
                <w:szCs w:val="20"/>
              </w:rPr>
            </w:pPr>
            <w:r>
              <w:rPr>
                <w:rFonts w:hint="eastAsia" w:ascii="仿宋_GB2312" w:hAnsi="仿宋_GB2312" w:eastAsia="仿宋_GB2312" w:cs="仿宋_GB2312"/>
                <w:b w:val="0"/>
                <w:bCs w:val="0"/>
                <w:i w:val="0"/>
                <w:iCs w:val="0"/>
                <w:color w:val="000000"/>
                <w:kern w:val="0"/>
                <w:sz w:val="20"/>
                <w:szCs w:val="20"/>
                <w:lang w:val="en-US" w:eastAsia="zh-CN" w:bidi="ar"/>
              </w:rPr>
              <w:t>24</w:t>
            </w:r>
          </w:p>
        </w:tc>
        <w:tc>
          <w:tcPr>
            <w:tcW w:w="47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43A2C59">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560" w:lineRule="exact"/>
              <w:ind w:left="0" w:right="0"/>
              <w:jc w:val="center"/>
              <w:textAlignment w:val="center"/>
              <w:rPr>
                <w:rFonts w:hint="eastAsia" w:ascii="仿宋_GB2312" w:hAnsi="仿宋_GB2312" w:eastAsia="仿宋_GB2312" w:cs="仿宋_GB2312"/>
                <w:b w:val="0"/>
                <w:bCs w:val="0"/>
                <w:i w:val="0"/>
                <w:iCs w:val="0"/>
                <w:color w:val="000000"/>
                <w:kern w:val="2"/>
                <w:sz w:val="20"/>
                <w:szCs w:val="20"/>
              </w:rPr>
            </w:pPr>
            <w:r>
              <w:rPr>
                <w:rFonts w:hint="eastAsia" w:ascii="仿宋_GB2312" w:hAnsi="仿宋_GB2312" w:eastAsia="仿宋_GB2312" w:cs="仿宋_GB2312"/>
                <w:b w:val="0"/>
                <w:bCs w:val="0"/>
                <w:i w:val="0"/>
                <w:iCs w:val="0"/>
                <w:color w:val="000000"/>
                <w:kern w:val="0"/>
                <w:sz w:val="20"/>
                <w:szCs w:val="20"/>
                <w:lang w:val="en-US" w:eastAsia="zh-CN" w:bidi="ar"/>
              </w:rPr>
              <w:t>52%</w:t>
            </w:r>
          </w:p>
        </w:tc>
      </w:tr>
      <w:tr w14:paraId="1AA61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669" w:type="pct"/>
            <w:vMerge w:val="restart"/>
            <w:tcBorders>
              <w:top w:val="single" w:color="auto" w:sz="4" w:space="0"/>
              <w:left w:val="single" w:color="auto" w:sz="4" w:space="0"/>
              <w:bottom w:val="single" w:color="auto" w:sz="4" w:space="0"/>
              <w:right w:val="single" w:color="auto" w:sz="4" w:space="0"/>
            </w:tcBorders>
            <w:shd w:val="clear" w:color="auto" w:fill="FFFFFF"/>
            <w:noWrap/>
            <w:vAlign w:val="center"/>
          </w:tcPr>
          <w:p w14:paraId="37CF8FC6">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
              </w:rPr>
            </w:pPr>
            <w:r>
              <w:rPr>
                <w:rFonts w:hint="eastAsia" w:ascii="仿宋_GB2312" w:hAnsi="仿宋_GB2312" w:eastAsia="仿宋_GB2312" w:cs="仿宋_GB2312"/>
                <w:b/>
                <w:bCs/>
                <w:i w:val="0"/>
                <w:iCs w:val="0"/>
                <w:color w:val="000000"/>
                <w:kern w:val="2"/>
                <w:sz w:val="20"/>
                <w:szCs w:val="20"/>
                <w:lang w:val="en-US" w:eastAsia="zh-CN" w:bidi="ar"/>
              </w:rPr>
              <w:t>湖北省级5G工厂</w:t>
            </w:r>
          </w:p>
        </w:tc>
        <w:tc>
          <w:tcPr>
            <w:tcW w:w="732"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0BF140E0">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
              </w:rPr>
            </w:pPr>
            <w:r>
              <w:rPr>
                <w:rFonts w:hint="eastAsia" w:ascii="仿宋_GB2312" w:hAnsi="仿宋_GB2312" w:eastAsia="仿宋_GB2312" w:cs="仿宋_GB2312"/>
                <w:b w:val="0"/>
                <w:bCs w:val="0"/>
                <w:i w:val="0"/>
                <w:iCs w:val="0"/>
                <w:color w:val="000000"/>
                <w:kern w:val="0"/>
                <w:sz w:val="20"/>
                <w:szCs w:val="20"/>
                <w:lang w:val="en-US" w:eastAsia="zh-CN" w:bidi="ar"/>
              </w:rPr>
              <w:t>2022年</w:t>
            </w:r>
          </w:p>
        </w:tc>
        <w:tc>
          <w:tcPr>
            <w:tcW w:w="675"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1ED91D94">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
              </w:rPr>
            </w:pPr>
            <w:r>
              <w:rPr>
                <w:rFonts w:hint="eastAsia" w:ascii="仿宋_GB2312" w:hAnsi="仿宋_GB2312" w:eastAsia="仿宋_GB2312" w:cs="仿宋_GB2312"/>
                <w:b w:val="0"/>
                <w:bCs w:val="0"/>
                <w:i w:val="0"/>
                <w:iCs w:val="0"/>
                <w:color w:val="000000"/>
                <w:kern w:val="0"/>
                <w:sz w:val="20"/>
                <w:szCs w:val="20"/>
                <w:lang w:val="en-US" w:eastAsia="zh-CN" w:bidi="ar"/>
              </w:rPr>
              <w:t>30</w:t>
            </w:r>
          </w:p>
        </w:tc>
        <w:tc>
          <w:tcPr>
            <w:tcW w:w="506" w:type="pct"/>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173F5ED">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bCs/>
                <w:i w:val="0"/>
                <w:iCs w:val="0"/>
                <w:color w:val="000000"/>
                <w:kern w:val="0"/>
                <w:sz w:val="20"/>
                <w:szCs w:val="20"/>
                <w:lang w:val="en-US" w:eastAsia="zh-CN" w:bidi="ar"/>
              </w:rPr>
            </w:pPr>
            <w:r>
              <w:rPr>
                <w:rFonts w:hint="eastAsia" w:ascii="仿宋_GB2312" w:hAnsi="仿宋_GB2312" w:eastAsia="仿宋_GB2312" w:cs="仿宋_GB2312"/>
                <w:b/>
                <w:bCs/>
                <w:i w:val="0"/>
                <w:iCs w:val="0"/>
                <w:color w:val="000000"/>
                <w:kern w:val="0"/>
                <w:sz w:val="20"/>
                <w:szCs w:val="20"/>
                <w:lang w:val="en-US" w:eastAsia="zh-CN" w:bidi="ar"/>
              </w:rPr>
              <w:t>13</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0E19FC2">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bCs/>
                <w:i w:val="0"/>
                <w:iCs w:val="0"/>
                <w:color w:val="000000"/>
                <w:kern w:val="0"/>
                <w:sz w:val="20"/>
                <w:szCs w:val="20"/>
                <w:lang w:val="en-US" w:eastAsia="zh-CN" w:bidi="ar"/>
              </w:rPr>
            </w:pPr>
            <w:r>
              <w:rPr>
                <w:rFonts w:hint="eastAsia" w:ascii="仿宋_GB2312" w:hAnsi="仿宋_GB2312" w:eastAsia="仿宋_GB2312" w:cs="仿宋_GB2312"/>
                <w:b/>
                <w:bCs/>
                <w:i w:val="0"/>
                <w:iCs w:val="0"/>
                <w:color w:val="000000"/>
                <w:kern w:val="0"/>
                <w:sz w:val="20"/>
                <w:szCs w:val="20"/>
                <w:lang w:val="en-US" w:eastAsia="zh-CN" w:bidi="ar"/>
              </w:rPr>
              <w:t>43%</w:t>
            </w:r>
          </w:p>
        </w:tc>
        <w:tc>
          <w:tcPr>
            <w:tcW w:w="521" w:type="pct"/>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1D126B8">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
              </w:rPr>
            </w:pPr>
            <w:r>
              <w:rPr>
                <w:rFonts w:hint="eastAsia" w:ascii="仿宋_GB2312" w:hAnsi="仿宋_GB2312" w:eastAsia="仿宋_GB2312" w:cs="仿宋_GB2312"/>
                <w:b w:val="0"/>
                <w:bCs w:val="0"/>
                <w:i w:val="0"/>
                <w:iCs w:val="0"/>
                <w:color w:val="000000"/>
                <w:kern w:val="0"/>
                <w:sz w:val="20"/>
                <w:szCs w:val="20"/>
                <w:lang w:val="en-US" w:eastAsia="zh-CN" w:bidi="ar"/>
              </w:rPr>
              <w:t>10</w:t>
            </w:r>
          </w:p>
        </w:tc>
        <w:tc>
          <w:tcPr>
            <w:tcW w:w="408"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2EC08EFB">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
              </w:rPr>
            </w:pPr>
            <w:r>
              <w:rPr>
                <w:rFonts w:hint="eastAsia" w:ascii="仿宋_GB2312" w:hAnsi="仿宋_GB2312" w:eastAsia="仿宋_GB2312" w:cs="仿宋_GB2312"/>
                <w:b w:val="0"/>
                <w:bCs w:val="0"/>
                <w:i w:val="0"/>
                <w:iCs w:val="0"/>
                <w:color w:val="000000"/>
                <w:kern w:val="0"/>
                <w:sz w:val="20"/>
                <w:szCs w:val="20"/>
                <w:lang w:val="en-US" w:eastAsia="zh-CN" w:bidi="ar"/>
              </w:rPr>
              <w:t>33%</w:t>
            </w:r>
          </w:p>
        </w:tc>
        <w:tc>
          <w:tcPr>
            <w:tcW w:w="513"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3742E5F5">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
              </w:rPr>
            </w:pPr>
            <w:r>
              <w:rPr>
                <w:rFonts w:hint="eastAsia" w:ascii="仿宋_GB2312" w:hAnsi="仿宋_GB2312" w:eastAsia="仿宋_GB2312" w:cs="仿宋_GB2312"/>
                <w:b w:val="0"/>
                <w:bCs w:val="0"/>
                <w:i w:val="0"/>
                <w:iCs w:val="0"/>
                <w:color w:val="000000"/>
                <w:kern w:val="0"/>
                <w:sz w:val="20"/>
                <w:szCs w:val="20"/>
                <w:lang w:val="en-US" w:eastAsia="zh-CN" w:bidi="ar"/>
              </w:rPr>
              <w:t>7</w:t>
            </w:r>
          </w:p>
        </w:tc>
        <w:tc>
          <w:tcPr>
            <w:tcW w:w="479"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7EABD22C">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
              </w:rPr>
            </w:pPr>
            <w:r>
              <w:rPr>
                <w:rFonts w:hint="eastAsia" w:ascii="仿宋_GB2312" w:hAnsi="仿宋_GB2312" w:eastAsia="仿宋_GB2312" w:cs="仿宋_GB2312"/>
                <w:b w:val="0"/>
                <w:bCs w:val="0"/>
                <w:i w:val="0"/>
                <w:iCs w:val="0"/>
                <w:color w:val="000000"/>
                <w:kern w:val="0"/>
                <w:sz w:val="20"/>
                <w:szCs w:val="20"/>
                <w:lang w:val="en-US" w:eastAsia="zh-CN" w:bidi="ar"/>
              </w:rPr>
              <w:t>23%</w:t>
            </w:r>
          </w:p>
        </w:tc>
      </w:tr>
      <w:tr w14:paraId="6C753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669" w:type="pct"/>
            <w:vMerge w:val="continue"/>
            <w:tcBorders>
              <w:top w:val="single" w:color="auto" w:sz="4" w:space="0"/>
              <w:left w:val="single" w:color="auto" w:sz="4" w:space="0"/>
              <w:bottom w:val="single" w:color="auto" w:sz="4" w:space="0"/>
              <w:right w:val="single" w:color="auto" w:sz="4" w:space="0"/>
            </w:tcBorders>
            <w:shd w:val="clear" w:color="auto" w:fill="FFFFFF"/>
            <w:noWrap/>
            <w:vAlign w:val="center"/>
          </w:tcPr>
          <w:p w14:paraId="265026EA">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
              </w:rPr>
            </w:pPr>
          </w:p>
        </w:tc>
        <w:tc>
          <w:tcPr>
            <w:tcW w:w="732"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2D14D92F">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SA"/>
              </w:rPr>
            </w:pPr>
            <w:r>
              <w:rPr>
                <w:rFonts w:hint="eastAsia" w:ascii="仿宋_GB2312" w:hAnsi="仿宋_GB2312" w:eastAsia="仿宋_GB2312" w:cs="仿宋_GB2312"/>
                <w:b w:val="0"/>
                <w:bCs w:val="0"/>
                <w:i w:val="0"/>
                <w:iCs w:val="0"/>
                <w:color w:val="000000"/>
                <w:kern w:val="0"/>
                <w:sz w:val="20"/>
                <w:szCs w:val="20"/>
                <w:lang w:val="en-US" w:eastAsia="zh-CN" w:bidi="ar"/>
              </w:rPr>
              <w:t>2023年</w:t>
            </w:r>
          </w:p>
        </w:tc>
        <w:tc>
          <w:tcPr>
            <w:tcW w:w="675"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72A76593">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SA"/>
              </w:rPr>
            </w:pPr>
            <w:r>
              <w:rPr>
                <w:rFonts w:hint="eastAsia" w:ascii="仿宋_GB2312" w:hAnsi="仿宋_GB2312" w:eastAsia="仿宋_GB2312" w:cs="仿宋_GB2312"/>
                <w:b w:val="0"/>
                <w:bCs w:val="0"/>
                <w:i w:val="0"/>
                <w:iCs w:val="0"/>
                <w:color w:val="000000"/>
                <w:kern w:val="0"/>
                <w:sz w:val="20"/>
                <w:szCs w:val="20"/>
                <w:lang w:val="en-US" w:eastAsia="zh-CN" w:bidi="ar"/>
              </w:rPr>
              <w:t>61</w:t>
            </w:r>
          </w:p>
        </w:tc>
        <w:tc>
          <w:tcPr>
            <w:tcW w:w="506" w:type="pct"/>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961470D">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bCs/>
                <w:i w:val="0"/>
                <w:iCs w:val="0"/>
                <w:color w:val="000000"/>
                <w:kern w:val="0"/>
                <w:sz w:val="20"/>
                <w:szCs w:val="20"/>
                <w:lang w:val="en-US" w:eastAsia="zh-CN" w:bidi="ar-SA"/>
              </w:rPr>
            </w:pPr>
            <w:r>
              <w:rPr>
                <w:rFonts w:hint="eastAsia" w:ascii="仿宋_GB2312" w:hAnsi="仿宋_GB2312" w:eastAsia="仿宋_GB2312" w:cs="仿宋_GB2312"/>
                <w:b/>
                <w:bCs/>
                <w:i w:val="0"/>
                <w:iCs w:val="0"/>
                <w:color w:val="000000"/>
                <w:kern w:val="0"/>
                <w:sz w:val="20"/>
                <w:szCs w:val="20"/>
                <w:lang w:val="en-US" w:eastAsia="zh-CN" w:bidi="ar"/>
              </w:rPr>
              <w:t>28</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869FC57">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bCs/>
                <w:i w:val="0"/>
                <w:iCs w:val="0"/>
                <w:color w:val="000000"/>
                <w:kern w:val="0"/>
                <w:sz w:val="20"/>
                <w:szCs w:val="20"/>
                <w:lang w:val="en-US" w:eastAsia="zh-CN" w:bidi="ar-SA"/>
              </w:rPr>
            </w:pPr>
            <w:r>
              <w:rPr>
                <w:rFonts w:hint="eastAsia" w:ascii="仿宋_GB2312" w:hAnsi="仿宋_GB2312" w:eastAsia="仿宋_GB2312" w:cs="仿宋_GB2312"/>
                <w:b/>
                <w:bCs/>
                <w:i w:val="0"/>
                <w:iCs w:val="0"/>
                <w:color w:val="000000"/>
                <w:kern w:val="0"/>
                <w:sz w:val="20"/>
                <w:szCs w:val="20"/>
                <w:lang w:val="en-US" w:eastAsia="zh-CN" w:bidi="ar"/>
              </w:rPr>
              <w:t>46%</w:t>
            </w:r>
          </w:p>
        </w:tc>
        <w:tc>
          <w:tcPr>
            <w:tcW w:w="521" w:type="pct"/>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DD77E6D">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SA"/>
              </w:rPr>
            </w:pPr>
            <w:r>
              <w:rPr>
                <w:rFonts w:hint="eastAsia" w:ascii="仿宋_GB2312" w:hAnsi="仿宋_GB2312" w:eastAsia="仿宋_GB2312" w:cs="仿宋_GB2312"/>
                <w:b w:val="0"/>
                <w:bCs w:val="0"/>
                <w:i w:val="0"/>
                <w:iCs w:val="0"/>
                <w:color w:val="000000"/>
                <w:kern w:val="0"/>
                <w:sz w:val="20"/>
                <w:szCs w:val="20"/>
                <w:lang w:val="en-US" w:eastAsia="zh-CN" w:bidi="ar"/>
              </w:rPr>
              <w:t>19</w:t>
            </w:r>
          </w:p>
        </w:tc>
        <w:tc>
          <w:tcPr>
            <w:tcW w:w="408"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3374ADB1">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SA"/>
              </w:rPr>
            </w:pPr>
            <w:r>
              <w:rPr>
                <w:rFonts w:hint="eastAsia" w:ascii="仿宋_GB2312" w:hAnsi="仿宋_GB2312" w:eastAsia="仿宋_GB2312" w:cs="仿宋_GB2312"/>
                <w:b w:val="0"/>
                <w:bCs w:val="0"/>
                <w:i w:val="0"/>
                <w:iCs w:val="0"/>
                <w:color w:val="000000"/>
                <w:kern w:val="0"/>
                <w:sz w:val="20"/>
                <w:szCs w:val="20"/>
                <w:lang w:val="en-US" w:eastAsia="zh-CN" w:bidi="ar"/>
              </w:rPr>
              <w:t>31%</w:t>
            </w:r>
          </w:p>
        </w:tc>
        <w:tc>
          <w:tcPr>
            <w:tcW w:w="513"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069D90DB">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SA"/>
              </w:rPr>
            </w:pPr>
            <w:r>
              <w:rPr>
                <w:rFonts w:hint="eastAsia" w:ascii="仿宋_GB2312" w:hAnsi="仿宋_GB2312" w:eastAsia="仿宋_GB2312" w:cs="仿宋_GB2312"/>
                <w:b w:val="0"/>
                <w:bCs w:val="0"/>
                <w:i w:val="0"/>
                <w:iCs w:val="0"/>
                <w:color w:val="000000"/>
                <w:kern w:val="0"/>
                <w:sz w:val="20"/>
                <w:szCs w:val="20"/>
                <w:lang w:val="en-US" w:eastAsia="zh-CN" w:bidi="ar"/>
              </w:rPr>
              <w:t>14</w:t>
            </w:r>
          </w:p>
        </w:tc>
        <w:tc>
          <w:tcPr>
            <w:tcW w:w="479"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3611D92F">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SA"/>
              </w:rPr>
            </w:pPr>
            <w:r>
              <w:rPr>
                <w:rFonts w:hint="eastAsia" w:ascii="仿宋_GB2312" w:hAnsi="仿宋_GB2312" w:eastAsia="仿宋_GB2312" w:cs="仿宋_GB2312"/>
                <w:b w:val="0"/>
                <w:bCs w:val="0"/>
                <w:i w:val="0"/>
                <w:iCs w:val="0"/>
                <w:color w:val="000000"/>
                <w:kern w:val="0"/>
                <w:sz w:val="20"/>
                <w:szCs w:val="20"/>
                <w:lang w:val="en-US" w:eastAsia="zh-CN" w:bidi="ar"/>
              </w:rPr>
              <w:t>23%</w:t>
            </w:r>
          </w:p>
        </w:tc>
      </w:tr>
      <w:tr w14:paraId="09E3B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669" w:type="pct"/>
            <w:vMerge w:val="continue"/>
            <w:tcBorders>
              <w:top w:val="single" w:color="auto" w:sz="4" w:space="0"/>
              <w:left w:val="single" w:color="auto" w:sz="4" w:space="0"/>
              <w:bottom w:val="single" w:color="auto" w:sz="4" w:space="0"/>
              <w:right w:val="single" w:color="auto" w:sz="4" w:space="0"/>
            </w:tcBorders>
            <w:shd w:val="clear" w:color="auto" w:fill="FFFFFF"/>
            <w:noWrap/>
            <w:vAlign w:val="center"/>
          </w:tcPr>
          <w:p w14:paraId="1745225F">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
              </w:rPr>
            </w:pPr>
          </w:p>
        </w:tc>
        <w:tc>
          <w:tcPr>
            <w:tcW w:w="732"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4497A6F1">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SA"/>
              </w:rPr>
            </w:pPr>
            <w:r>
              <w:rPr>
                <w:rFonts w:hint="eastAsia" w:ascii="仿宋_GB2312" w:hAnsi="仿宋_GB2312" w:eastAsia="仿宋_GB2312" w:cs="仿宋_GB2312"/>
                <w:b w:val="0"/>
                <w:bCs w:val="0"/>
                <w:i w:val="0"/>
                <w:iCs w:val="0"/>
                <w:color w:val="000000"/>
                <w:kern w:val="0"/>
                <w:sz w:val="20"/>
                <w:szCs w:val="20"/>
                <w:lang w:val="en-US" w:eastAsia="zh-CN" w:bidi="ar"/>
              </w:rPr>
              <w:t>2024年</w:t>
            </w:r>
          </w:p>
        </w:tc>
        <w:tc>
          <w:tcPr>
            <w:tcW w:w="675"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01EFE528">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SA"/>
              </w:rPr>
            </w:pPr>
            <w:r>
              <w:rPr>
                <w:rFonts w:hint="eastAsia" w:ascii="仿宋_GB2312" w:hAnsi="仿宋_GB2312" w:eastAsia="仿宋_GB2312" w:cs="仿宋_GB2312"/>
                <w:b w:val="0"/>
                <w:bCs w:val="0"/>
                <w:i w:val="0"/>
                <w:iCs w:val="0"/>
                <w:color w:val="000000"/>
                <w:kern w:val="0"/>
                <w:sz w:val="20"/>
                <w:szCs w:val="20"/>
                <w:lang w:val="en-US" w:eastAsia="zh-CN" w:bidi="ar"/>
              </w:rPr>
              <w:t>60</w:t>
            </w:r>
          </w:p>
        </w:tc>
        <w:tc>
          <w:tcPr>
            <w:tcW w:w="506" w:type="pct"/>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C7196DE">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bCs/>
                <w:i w:val="0"/>
                <w:iCs w:val="0"/>
                <w:color w:val="000000"/>
                <w:kern w:val="0"/>
                <w:sz w:val="20"/>
                <w:szCs w:val="20"/>
                <w:lang w:val="en-US" w:eastAsia="zh-CN" w:bidi="ar-SA"/>
              </w:rPr>
            </w:pPr>
            <w:r>
              <w:rPr>
                <w:rFonts w:hint="eastAsia" w:ascii="仿宋_GB2312" w:hAnsi="仿宋_GB2312" w:eastAsia="仿宋_GB2312" w:cs="仿宋_GB2312"/>
                <w:b/>
                <w:bCs/>
                <w:i w:val="0"/>
                <w:iCs w:val="0"/>
                <w:color w:val="000000"/>
                <w:kern w:val="0"/>
                <w:sz w:val="20"/>
                <w:szCs w:val="20"/>
                <w:lang w:val="en-US" w:eastAsia="zh-CN" w:bidi="ar"/>
              </w:rPr>
              <w:t>23</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8DF7759">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bCs/>
                <w:i w:val="0"/>
                <w:iCs w:val="0"/>
                <w:color w:val="000000"/>
                <w:kern w:val="0"/>
                <w:sz w:val="20"/>
                <w:szCs w:val="20"/>
                <w:lang w:val="en-US" w:eastAsia="zh-CN" w:bidi="ar-SA"/>
              </w:rPr>
            </w:pPr>
            <w:r>
              <w:rPr>
                <w:rFonts w:hint="eastAsia" w:ascii="仿宋_GB2312" w:hAnsi="仿宋_GB2312" w:eastAsia="仿宋_GB2312" w:cs="仿宋_GB2312"/>
                <w:b/>
                <w:bCs/>
                <w:i w:val="0"/>
                <w:iCs w:val="0"/>
                <w:color w:val="000000"/>
                <w:kern w:val="0"/>
                <w:sz w:val="20"/>
                <w:szCs w:val="20"/>
                <w:lang w:val="en-US" w:eastAsia="zh-CN" w:bidi="ar"/>
              </w:rPr>
              <w:t>38%</w:t>
            </w:r>
          </w:p>
        </w:tc>
        <w:tc>
          <w:tcPr>
            <w:tcW w:w="521" w:type="pct"/>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0636E07">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SA"/>
              </w:rPr>
            </w:pPr>
            <w:r>
              <w:rPr>
                <w:rFonts w:hint="eastAsia" w:ascii="仿宋_GB2312" w:hAnsi="仿宋_GB2312" w:eastAsia="仿宋_GB2312" w:cs="仿宋_GB2312"/>
                <w:b w:val="0"/>
                <w:bCs w:val="0"/>
                <w:i w:val="0"/>
                <w:iCs w:val="0"/>
                <w:color w:val="000000"/>
                <w:kern w:val="0"/>
                <w:sz w:val="20"/>
                <w:szCs w:val="20"/>
                <w:lang w:val="en-US" w:eastAsia="zh-CN" w:bidi="ar"/>
              </w:rPr>
              <w:t>18</w:t>
            </w:r>
          </w:p>
        </w:tc>
        <w:tc>
          <w:tcPr>
            <w:tcW w:w="408"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11CC0195">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SA"/>
              </w:rPr>
            </w:pPr>
            <w:r>
              <w:rPr>
                <w:rFonts w:hint="eastAsia" w:ascii="仿宋_GB2312" w:hAnsi="仿宋_GB2312" w:eastAsia="仿宋_GB2312" w:cs="仿宋_GB2312"/>
                <w:b w:val="0"/>
                <w:bCs w:val="0"/>
                <w:i w:val="0"/>
                <w:iCs w:val="0"/>
                <w:color w:val="000000"/>
                <w:kern w:val="0"/>
                <w:sz w:val="20"/>
                <w:szCs w:val="20"/>
                <w:lang w:val="en-US" w:eastAsia="zh-CN" w:bidi="ar"/>
              </w:rPr>
              <w:t>32%</w:t>
            </w:r>
          </w:p>
        </w:tc>
        <w:tc>
          <w:tcPr>
            <w:tcW w:w="513"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55A11E9C">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SA"/>
              </w:rPr>
            </w:pPr>
            <w:r>
              <w:rPr>
                <w:rFonts w:hint="eastAsia" w:ascii="仿宋_GB2312" w:hAnsi="仿宋_GB2312" w:eastAsia="仿宋_GB2312" w:cs="仿宋_GB2312"/>
                <w:b w:val="0"/>
                <w:bCs w:val="0"/>
                <w:i w:val="0"/>
                <w:iCs w:val="0"/>
                <w:color w:val="000000"/>
                <w:kern w:val="0"/>
                <w:sz w:val="20"/>
                <w:szCs w:val="20"/>
                <w:lang w:val="en-US" w:eastAsia="zh-CN" w:bidi="ar"/>
              </w:rPr>
              <w:t>19</w:t>
            </w:r>
          </w:p>
        </w:tc>
        <w:tc>
          <w:tcPr>
            <w:tcW w:w="479"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0E792114">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SA"/>
              </w:rPr>
            </w:pPr>
            <w:r>
              <w:rPr>
                <w:rFonts w:hint="eastAsia" w:ascii="仿宋_GB2312" w:hAnsi="仿宋_GB2312" w:eastAsia="仿宋_GB2312" w:cs="仿宋_GB2312"/>
                <w:b w:val="0"/>
                <w:bCs w:val="0"/>
                <w:i w:val="0"/>
                <w:iCs w:val="0"/>
                <w:color w:val="000000"/>
                <w:kern w:val="0"/>
                <w:sz w:val="20"/>
                <w:szCs w:val="20"/>
                <w:lang w:val="en-US" w:eastAsia="zh-CN" w:bidi="ar"/>
              </w:rPr>
              <w:t>30%</w:t>
            </w:r>
          </w:p>
        </w:tc>
      </w:tr>
      <w:tr w14:paraId="3FC4C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669" w:type="pct"/>
            <w:vMerge w:val="continue"/>
            <w:tcBorders>
              <w:top w:val="single" w:color="auto" w:sz="4" w:space="0"/>
              <w:left w:val="single" w:color="auto" w:sz="4" w:space="0"/>
              <w:bottom w:val="single" w:color="auto" w:sz="4" w:space="0"/>
              <w:right w:val="single" w:color="auto" w:sz="4" w:space="0"/>
            </w:tcBorders>
            <w:shd w:val="clear" w:color="auto" w:fill="FFFFFF"/>
            <w:noWrap/>
            <w:vAlign w:val="center"/>
          </w:tcPr>
          <w:p w14:paraId="6DAAADC6">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
              </w:rPr>
            </w:pPr>
          </w:p>
        </w:tc>
        <w:tc>
          <w:tcPr>
            <w:tcW w:w="732"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6C2D5250">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
              </w:rPr>
            </w:pPr>
            <w:r>
              <w:rPr>
                <w:rFonts w:hint="eastAsia" w:ascii="仿宋_GB2312" w:hAnsi="仿宋_GB2312" w:eastAsia="仿宋_GB2312" w:cs="仿宋_GB2312"/>
                <w:b w:val="0"/>
                <w:bCs w:val="0"/>
                <w:i w:val="0"/>
                <w:iCs w:val="0"/>
                <w:color w:val="000000"/>
                <w:kern w:val="0"/>
                <w:sz w:val="20"/>
                <w:szCs w:val="20"/>
                <w:lang w:val="en-US" w:eastAsia="zh-CN" w:bidi="ar"/>
              </w:rPr>
              <w:t>2025年</w:t>
            </w:r>
          </w:p>
        </w:tc>
        <w:tc>
          <w:tcPr>
            <w:tcW w:w="675"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7ABAE96A">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
              </w:rPr>
            </w:pPr>
            <w:r>
              <w:rPr>
                <w:rFonts w:hint="eastAsia" w:ascii="仿宋_GB2312" w:hAnsi="仿宋_GB2312" w:eastAsia="仿宋_GB2312" w:cs="仿宋_GB2312"/>
                <w:b w:val="0"/>
                <w:bCs w:val="0"/>
                <w:i w:val="0"/>
                <w:iCs w:val="0"/>
                <w:color w:val="000000"/>
                <w:kern w:val="0"/>
                <w:sz w:val="20"/>
                <w:szCs w:val="20"/>
                <w:lang w:val="en-US" w:eastAsia="zh-CN" w:bidi="ar"/>
              </w:rPr>
              <w:t>60</w:t>
            </w:r>
          </w:p>
        </w:tc>
        <w:tc>
          <w:tcPr>
            <w:tcW w:w="506" w:type="pct"/>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C053246">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bCs/>
                <w:i w:val="0"/>
                <w:iCs w:val="0"/>
                <w:color w:val="000000"/>
                <w:kern w:val="0"/>
                <w:sz w:val="20"/>
                <w:szCs w:val="20"/>
                <w:lang w:val="en-US" w:eastAsia="zh-CN" w:bidi="ar"/>
              </w:rPr>
            </w:pPr>
            <w:r>
              <w:rPr>
                <w:rFonts w:hint="eastAsia" w:ascii="仿宋_GB2312" w:hAnsi="仿宋_GB2312" w:eastAsia="仿宋_GB2312" w:cs="仿宋_GB2312"/>
                <w:b/>
                <w:bCs/>
                <w:i w:val="0"/>
                <w:iCs w:val="0"/>
                <w:color w:val="000000"/>
                <w:kern w:val="0"/>
                <w:sz w:val="20"/>
                <w:szCs w:val="20"/>
                <w:lang w:val="en-US" w:eastAsia="zh-CN" w:bidi="ar"/>
              </w:rPr>
              <w:t>19</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0C90A6B">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bCs/>
                <w:i w:val="0"/>
                <w:iCs w:val="0"/>
                <w:color w:val="000000"/>
                <w:kern w:val="0"/>
                <w:sz w:val="20"/>
                <w:szCs w:val="20"/>
                <w:lang w:val="en-US" w:eastAsia="zh-CN" w:bidi="ar"/>
              </w:rPr>
            </w:pPr>
            <w:r>
              <w:rPr>
                <w:rFonts w:hint="eastAsia" w:ascii="仿宋_GB2312" w:hAnsi="仿宋_GB2312" w:eastAsia="仿宋_GB2312" w:cs="仿宋_GB2312"/>
                <w:b/>
                <w:bCs/>
                <w:i w:val="0"/>
                <w:iCs w:val="0"/>
                <w:color w:val="000000"/>
                <w:kern w:val="0"/>
                <w:sz w:val="20"/>
                <w:szCs w:val="20"/>
                <w:lang w:val="en-US" w:eastAsia="zh-CN" w:bidi="ar"/>
              </w:rPr>
              <w:t>32%</w:t>
            </w:r>
          </w:p>
        </w:tc>
        <w:tc>
          <w:tcPr>
            <w:tcW w:w="521" w:type="pct"/>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26DB85C">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
              </w:rPr>
            </w:pPr>
            <w:r>
              <w:rPr>
                <w:rFonts w:hint="eastAsia" w:ascii="仿宋_GB2312" w:hAnsi="仿宋_GB2312" w:eastAsia="仿宋_GB2312" w:cs="仿宋_GB2312"/>
                <w:b w:val="0"/>
                <w:bCs w:val="0"/>
                <w:i w:val="0"/>
                <w:iCs w:val="0"/>
                <w:color w:val="000000"/>
                <w:kern w:val="0"/>
                <w:sz w:val="20"/>
                <w:szCs w:val="20"/>
                <w:lang w:val="en-US" w:eastAsia="zh-CN" w:bidi="ar"/>
              </w:rPr>
              <w:t>14</w:t>
            </w:r>
          </w:p>
        </w:tc>
        <w:tc>
          <w:tcPr>
            <w:tcW w:w="408"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3454F5D1">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
              </w:rPr>
            </w:pPr>
            <w:r>
              <w:rPr>
                <w:rFonts w:hint="eastAsia" w:ascii="仿宋_GB2312" w:hAnsi="仿宋_GB2312" w:eastAsia="仿宋_GB2312" w:cs="仿宋_GB2312"/>
                <w:b w:val="0"/>
                <w:bCs w:val="0"/>
                <w:i w:val="0"/>
                <w:iCs w:val="0"/>
                <w:color w:val="000000"/>
                <w:kern w:val="0"/>
                <w:sz w:val="20"/>
                <w:szCs w:val="20"/>
                <w:lang w:val="en-US" w:eastAsia="zh-CN" w:bidi="ar"/>
              </w:rPr>
              <w:t>23%</w:t>
            </w:r>
          </w:p>
        </w:tc>
        <w:tc>
          <w:tcPr>
            <w:tcW w:w="513"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53BA8BBF">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
              </w:rPr>
            </w:pPr>
            <w:r>
              <w:rPr>
                <w:rFonts w:hint="eastAsia" w:ascii="仿宋_GB2312" w:hAnsi="仿宋_GB2312" w:eastAsia="仿宋_GB2312" w:cs="仿宋_GB2312"/>
                <w:b w:val="0"/>
                <w:bCs w:val="0"/>
                <w:i w:val="0"/>
                <w:iCs w:val="0"/>
                <w:color w:val="000000"/>
                <w:kern w:val="0"/>
                <w:sz w:val="20"/>
                <w:szCs w:val="20"/>
                <w:lang w:val="en-US" w:eastAsia="zh-CN" w:bidi="ar"/>
              </w:rPr>
              <w:t>24</w:t>
            </w:r>
          </w:p>
        </w:tc>
        <w:tc>
          <w:tcPr>
            <w:tcW w:w="479"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2678BD73">
            <w:pPr>
              <w:keepNext w:val="0"/>
              <w:keepLines w:val="0"/>
              <w:pageBreakBefore w:val="0"/>
              <w:widowControl/>
              <w:suppressLineNumbers w:val="0"/>
              <w:shd w:val="clear"/>
              <w:kinsoku/>
              <w:wordWrap/>
              <w:overflowPunct/>
              <w:topLinePunct w:val="0"/>
              <w:autoSpaceDE/>
              <w:autoSpaceDN/>
              <w:bidi w:val="0"/>
              <w:adjustRightInd/>
              <w:spacing w:before="0" w:beforeAutospacing="0" w:after="0" w:afterAutospacing="0" w:line="560" w:lineRule="exact"/>
              <w:ind w:left="0" w:leftChars="0" w:right="0" w:rightChars="0"/>
              <w:jc w:val="center"/>
              <w:textAlignment w:val="center"/>
              <w:rPr>
                <w:rFonts w:hint="eastAsia" w:ascii="仿宋_GB2312" w:hAnsi="仿宋_GB2312" w:eastAsia="仿宋_GB2312" w:cs="仿宋_GB2312"/>
                <w:b w:val="0"/>
                <w:bCs w:val="0"/>
                <w:i w:val="0"/>
                <w:iCs w:val="0"/>
                <w:color w:val="000000"/>
                <w:kern w:val="0"/>
                <w:sz w:val="20"/>
                <w:szCs w:val="20"/>
                <w:lang w:val="en-US" w:eastAsia="zh-CN" w:bidi="ar"/>
              </w:rPr>
            </w:pPr>
            <w:r>
              <w:rPr>
                <w:rFonts w:hint="eastAsia" w:ascii="仿宋_GB2312" w:hAnsi="仿宋_GB2312" w:eastAsia="仿宋_GB2312" w:cs="仿宋_GB2312"/>
                <w:b w:val="0"/>
                <w:bCs w:val="0"/>
                <w:i w:val="0"/>
                <w:iCs w:val="0"/>
                <w:color w:val="000000"/>
                <w:kern w:val="0"/>
                <w:sz w:val="20"/>
                <w:szCs w:val="20"/>
                <w:lang w:val="en-US" w:eastAsia="zh-CN" w:bidi="ar"/>
              </w:rPr>
              <w:t>40%</w:t>
            </w:r>
          </w:p>
        </w:tc>
      </w:tr>
    </w:tbl>
    <w:p w14:paraId="2A3E1337">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bCs/>
          <w:sz w:val="30"/>
          <w:lang w:val="en-US" w:eastAsia="zh-CN"/>
        </w:rPr>
      </w:pPr>
      <w:r>
        <w:rPr>
          <w:rFonts w:hint="eastAsia" w:ascii="Times New Roman" w:hAnsi="Times New Roman" w:eastAsia="仿宋_GB2312"/>
          <w:b/>
          <w:bCs/>
          <w:sz w:val="30"/>
          <w:lang w:val="en-US" w:eastAsia="zh-CN"/>
        </w:rPr>
        <w:t>新兴产业和未来产业：</w:t>
      </w:r>
    </w:p>
    <w:p w14:paraId="48B96353">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bCs/>
          <w:sz w:val="30"/>
          <w:lang w:val="en-US" w:eastAsia="zh-CN"/>
        </w:rPr>
      </w:pPr>
      <w:r>
        <w:rPr>
          <w:rFonts w:hint="eastAsia" w:ascii="Times New Roman" w:hAnsi="Times New Roman" w:eastAsia="仿宋_GB2312"/>
          <w:b/>
          <w:bCs/>
          <w:sz w:val="30"/>
          <w:lang w:val="en-US" w:eastAsia="zh-CN"/>
        </w:rPr>
        <w:t>低空经济：</w:t>
      </w:r>
      <w:r>
        <w:rPr>
          <w:rFonts w:hint="eastAsia" w:ascii="Times New Roman" w:hAnsi="Times New Roman" w:eastAsia="仿宋_GB2312"/>
          <w:b w:val="0"/>
          <w:bCs w:val="0"/>
          <w:sz w:val="30"/>
          <w:lang w:val="en-US" w:eastAsia="zh-CN"/>
        </w:rPr>
        <w:t>率先部署5G-A通感一体网络，构建“低空智联网”，在武汉、十堰、荆门等地助力打造5G-A低空经济示范区。</w:t>
      </w:r>
    </w:p>
    <w:p w14:paraId="578C7578">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val="0"/>
          <w:bCs w:val="0"/>
          <w:sz w:val="30"/>
          <w:lang w:val="en-US" w:eastAsia="zh-CN"/>
        </w:rPr>
        <w:t>在全国首个专业货运枢纽鄂州花湖机场部署5G-A通感一体基站，提升低空安防领域防控精度，实现广域精密感知（无人机探测距离达2公里、三维定位精度0.5米）。依托“中移凌云”低空监管平台，动态接入18类无人机飞行参数，覆盖全域47条常态化巡检航线，保障智能空域调度及自动化异常监测，大幅提升机场运行安全水平，为履行中国“空中出海口”的重要战略使命提供坚实支撑。</w:t>
      </w:r>
    </w:p>
    <w:p w14:paraId="6D23EA74">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val="0"/>
          <w:bCs w:val="0"/>
          <w:sz w:val="30"/>
          <w:lang w:val="en-US" w:eastAsia="zh-CN"/>
        </w:rPr>
        <w:t>在武汉汉南机场周边选取3个站点7个小区，完成1.4平方公里空域的5G-A通感一体网络部署，为低空飞行器提供高速率通信，保障实时图传与指令交互，并通过智能算法和数据分析区分无人机、鸟类、风筝等不同目标，有效预防飞行冲突，保障机场空域安全与高效运营。助力湖北加快建成具有全国重要影响力的低空经济发展高地。</w:t>
      </w:r>
    </w:p>
    <w:p w14:paraId="7B7EB00A">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left="0" w:leftChars="0"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智能网联汽车：</w:t>
      </w:r>
      <w:r>
        <w:rPr>
          <w:rFonts w:hint="eastAsia" w:ascii="Times New Roman" w:hAnsi="Times New Roman" w:eastAsia="仿宋_GB2312"/>
          <w:b w:val="0"/>
          <w:bCs w:val="0"/>
          <w:sz w:val="30"/>
          <w:lang w:val="en-US" w:eastAsia="zh-CN"/>
        </w:rPr>
        <w:t>2025年3月，中国移动与东风汽车在武汉签订战略合作协议，进入全面战略合作新阶段未来，共同探索在“AI+智能网联汽车”领域的创新合作，积极落实信息消费“新三样”，推动智能网联新能源汽车产业蓬勃发展。助力武汉建成国内最大5G自动驾驶测试区，建设176公里开放道路，完成3000余个重点路口智能化改造，路侧设备与信号灯100%直连通信，车联网规模累计达220万。</w:t>
      </w:r>
    </w:p>
    <w:p w14:paraId="3179563E">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val="0"/>
          <w:bCs w:val="0"/>
          <w:sz w:val="30"/>
          <w:lang w:val="en-US" w:eastAsia="zh-CN"/>
        </w:rPr>
        <w:t>2025年6月，携手东风汽车集团旗下东风畅行科技股份有限公司、十堰大数据运营有限公司及中信科智联科技有限公司，共同注资5.1亿元成立东信车路云（十堰）科技有限公司，推进十堰市智能网联车路云试点项目。</w:t>
      </w:r>
    </w:p>
    <w:p w14:paraId="04DBD0E0">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（3）6G&amp;卫星互联网：</w:t>
      </w:r>
      <w:r>
        <w:rPr>
          <w:rFonts w:hint="eastAsia" w:ascii="Times New Roman" w:hAnsi="Times New Roman" w:eastAsia="仿宋_GB2312"/>
          <w:b w:val="0"/>
          <w:bCs w:val="0"/>
          <w:sz w:val="30"/>
          <w:lang w:val="en-US" w:eastAsia="zh-CN"/>
        </w:rPr>
        <w:t>聚焦6G核心技术攻关。与中信科在湖北建设6G试验网（全国唯二），计划在汉落地6G开放试验装置，打造国家级6G大型综合性验证平台。牵头承担武汉市卫星物联网业务商用试验建设工作，积极参与国产低轨宽带通信卫星组网建设，建立北斗四代导航系统（全国唯一）。</w:t>
      </w:r>
    </w:p>
    <w:p w14:paraId="6F053D3E">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lang w:val="en-US" w:eastAsia="zh-CN"/>
        </w:rPr>
      </w:pPr>
      <w:r>
        <w:rPr>
          <w:rFonts w:hint="default" w:ascii="Times New Roman" w:hAnsi="Times New Roman" w:eastAsia="仿宋_GB2312"/>
          <w:b/>
          <w:bCs/>
          <w:sz w:val="30"/>
          <w:lang w:val="en-US" w:eastAsia="zh-CN"/>
        </w:rPr>
        <w:t>提质服务业</w:t>
      </w:r>
      <w:r>
        <w:rPr>
          <w:rFonts w:hint="eastAsia" w:ascii="Times New Roman" w:hAnsi="Times New Roman" w:eastAsia="仿宋_GB2312"/>
          <w:b/>
          <w:bCs/>
          <w:sz w:val="30"/>
          <w:lang w:val="en-US" w:eastAsia="zh-CN"/>
        </w:rPr>
        <w:t>：</w:t>
      </w:r>
      <w:r>
        <w:rPr>
          <w:rFonts w:hint="eastAsia" w:ascii="Times New Roman" w:hAnsi="Times New Roman" w:eastAsia="仿宋_GB2312"/>
          <w:b w:val="0"/>
          <w:bCs w:val="0"/>
          <w:sz w:val="30"/>
          <w:lang w:val="en-US" w:eastAsia="zh-CN"/>
        </w:rPr>
        <w:t>自2024年12月成立湖北公司工业军团，牵引全省制造业及中小企数转，工作开展至今，现已沉淀形成“1+1+1”能力体系。全省累计22人已通过CMMM（智能制造能力成熟度模型）培训认证，夯实全省数字化转型诊断人才根基。即一份能力外宣手册，用于对外展示及客户拜访；一套解决方案模板，用于对内赋能及客户经理培训。一份合作伙伴库，用于专业细分制造领域的多元支撑。后续进一步强化“诊断+咨询+网云智+平台”全栈能力供给与企业生产管理流程深度融合，实现“扩面”规模化发展。</w:t>
      </w:r>
    </w:p>
    <w:p w14:paraId="64344985">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bCs/>
          <w:sz w:val="30"/>
          <w:lang w:val="en-US" w:eastAsia="zh-CN"/>
        </w:rPr>
      </w:pPr>
      <w:r>
        <w:rPr>
          <w:rFonts w:hint="default" w:ascii="Times New Roman" w:hAnsi="Times New Roman" w:eastAsia="仿宋_GB2312"/>
          <w:b/>
          <w:bCs/>
          <w:sz w:val="30"/>
          <w:lang w:val="en-US" w:eastAsia="zh-CN"/>
        </w:rPr>
        <w:t>智能经济</w:t>
      </w:r>
      <w:r>
        <w:rPr>
          <w:rFonts w:hint="eastAsia" w:ascii="Times New Roman" w:hAnsi="Times New Roman" w:eastAsia="仿宋_GB2312"/>
          <w:b/>
          <w:bCs/>
          <w:sz w:val="30"/>
          <w:lang w:val="en-US" w:eastAsia="zh-CN"/>
        </w:rPr>
        <w:t>新形态：</w:t>
      </w:r>
    </w:p>
    <w:p w14:paraId="67606EE6">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（1）“人工智能+”：</w:t>
      </w:r>
      <w:r>
        <w:rPr>
          <w:rFonts w:hint="eastAsia" w:ascii="Times New Roman" w:hAnsi="Times New Roman" w:eastAsia="仿宋_GB2312"/>
          <w:b w:val="0"/>
          <w:bCs w:val="0"/>
          <w:sz w:val="30"/>
          <w:lang w:val="en-US" w:eastAsia="zh-CN"/>
        </w:rPr>
        <w:t>联合多家央企共同研发面向水利、能源、交通等关键行业的专业大模型。推动全集团首个本地化“九天”MaaS平台在汉部署，引入九天MoMA（Mixture of Models and Agents：模型和智能体超市）框架，进一步降低AI应用门槛。</w:t>
      </w:r>
    </w:p>
    <w:p w14:paraId="5DB8B3AE">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val="0"/>
          <w:bCs w:val="0"/>
          <w:sz w:val="30"/>
          <w:lang w:val="en-US" w:eastAsia="zh-CN"/>
        </w:rPr>
        <w:t>在水利行业，联合长江水利委员会、三峡大学，依托九天+DeepSeeK基座大模型，结合湖北移动丰富的算网资源打造的水利大模型，涵盖水文情况、水质情况、防洪决策等多环节。目前已积累6万对问答对和4GB防洪调度专业数据集，防洪大模型形成CoT思维链，嵌入数字孪生水利平台协助防洪决策，并从长江流域逐步向全国六大流域委进行成果推广。</w:t>
      </w:r>
    </w:p>
    <w:p w14:paraId="2F67978E">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val="0"/>
          <w:bCs w:val="0"/>
          <w:sz w:val="30"/>
          <w:lang w:val="en-US" w:eastAsia="zh-CN"/>
        </w:rPr>
        <w:t>在教育行业，联合华中师范大学发布“盘龙”中小学数学教育智能体。依托多模态大语言模型技术，建设数学教学语料库，聚焦“教—学—练—测”关键环节，实现数学资源自动生成、学情智能诊断、个性化学习与教学辅助决策等功能，达到行业领先的数学解题水平。</w:t>
      </w:r>
    </w:p>
    <w:p w14:paraId="025C984E">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val="0"/>
          <w:bCs w:val="0"/>
          <w:sz w:val="30"/>
          <w:lang w:val="en-US" w:eastAsia="zh-CN"/>
        </w:rPr>
        <w:t>在工业领域，携手华为等产业合作伙伴共同发布“工业专网智能体”，通过打造智能化的网络引擎，为工业制造、能源电力等行业提供算网智一体化能力，助力数字经济时代下智慧场景的高质量发展。</w:t>
      </w:r>
    </w:p>
    <w:p w14:paraId="2D3F64C0">
      <w:pPr>
        <w:keepNext w:val="0"/>
        <w:keepLines w:val="0"/>
        <w:pageBreakBefore w:val="0"/>
        <w:widowControl w:val="0"/>
        <w:numPr>
          <w:numId w:val="0"/>
        </w:numPr>
        <w:kinsoku/>
        <w:wordWrap/>
        <w:overflowPunct/>
        <w:topLinePunct w:val="0"/>
        <w:autoSpaceDE/>
        <w:autoSpaceDN/>
        <w:bidi w:val="0"/>
        <w:adjustRightInd/>
        <w:snapToGrid/>
        <w:spacing w:line="560" w:lineRule="exact"/>
        <w:ind w:firstLine="602" w:firstLineChars="200"/>
        <w:textAlignment w:val="auto"/>
        <w:rPr>
          <w:rFonts w:hint="default"/>
          <w:lang w:val="en-US" w:eastAsia="zh-CN"/>
        </w:rPr>
      </w:pPr>
      <w:r>
        <w:rPr>
          <w:rFonts w:hint="eastAsia" w:ascii="Times New Roman" w:hAnsi="Times New Roman" w:eastAsia="仿宋_GB2312"/>
          <w:b/>
          <w:bCs/>
          <w:sz w:val="30"/>
          <w:lang w:val="en-US" w:eastAsia="zh-CN"/>
        </w:rPr>
        <w:t>（2）超大规模智算集群：</w:t>
      </w:r>
      <w:r>
        <w:rPr>
          <w:rFonts w:hint="eastAsia" w:ascii="Times New Roman" w:hAnsi="Times New Roman" w:eastAsia="仿宋_GB2312"/>
          <w:b w:val="0"/>
          <w:bCs w:val="0"/>
          <w:sz w:val="30"/>
          <w:lang w:val="en-US" w:eastAsia="zh-CN"/>
        </w:rPr>
        <w:t>创新布局“1+3+X”（1个中国移动智算中心（武汉），武汉未来城、武汉楚平路、襄阳云计算3大省级节点中心，全省X（20余个）地市级数据中心）的通智超量算力体系，部署行业专属云、网络边缘云、全栈信创云等多形态算力资源，形成了地域协同、云边多级联动的高效算力布局，为千行百业提供多样化的算力服务。建成华中最大、集团首个的智算中心——中国移动智算中心（武汉），现网智算算力规模累计达2588P（集团排名第三，华中片区首位)，部署了国际主流、国产可控双千卡、双平面集群，最大可容纳2.7万张GPU。建成集团首套对外商用的国产昇腾超节点算力基础设施，部署华中首套昇腾384超节点，实现单超节点规模提升48倍，超节点通信带宽提升15倍，超节点内通信时延降至1/10。通过构建业界最大384卡全互联集群，突破传统算力瓶颈，训练单卡吞吐提升3倍，推理单卡吞吐提升4倍。同时，下沉建设国产先进推理算力，打造一城一智算池，一县一AIDC，实现“省-市-县（区）”的AI智算能力贯通；率先完成400G全光网建设，支撑三大城市圈智算互联，实现“一跳入算”，直达全国所有大中城市。打造省内“1-3-5”、省际“7-10”毫秒级超低时延圈。2025年11月落地“云枢”算力调度平台，实现算力资源高效调度。</w:t>
      </w:r>
    </w:p>
    <w:p w14:paraId="3388D320">
      <w:pPr>
        <w:pStyle w:val="2"/>
        <w:keepNext w:val="0"/>
        <w:keepLines w:val="0"/>
        <w:pageBreakBefore w:val="0"/>
        <w:widowControl w:val="0"/>
        <w:kinsoku/>
        <w:wordWrap/>
        <w:overflowPunct/>
        <w:topLinePunct w:val="0"/>
        <w:autoSpaceDE/>
        <w:autoSpaceDN/>
        <w:bidi w:val="0"/>
        <w:adjustRightInd/>
        <w:spacing w:line="560" w:lineRule="exact"/>
        <w:ind w:firstLine="602" w:firstLineChars="200"/>
        <w:jc w:val="both"/>
        <w:textAlignment w:val="auto"/>
        <w:rPr>
          <w:rFonts w:hint="eastAsia" w:ascii="Times New Roman" w:hAnsi="Times New Roman" w:eastAsia="仿宋_GB2312" w:cstheme="minorBidi"/>
          <w:b w:val="0"/>
          <w:bCs w:val="0"/>
          <w:kern w:val="2"/>
          <w:sz w:val="30"/>
          <w:szCs w:val="24"/>
          <w:lang w:val="en-US" w:eastAsia="zh-CN" w:bidi="ar-SA"/>
        </w:rPr>
      </w:pPr>
      <w:r>
        <w:rPr>
          <w:rFonts w:hint="eastAsia" w:ascii="Times New Roman" w:hAnsi="Times New Roman" w:eastAsia="仿宋_GB2312" w:cstheme="minorBidi"/>
          <w:b/>
          <w:bCs/>
          <w:kern w:val="2"/>
          <w:sz w:val="30"/>
          <w:szCs w:val="24"/>
          <w:lang w:val="en-US" w:eastAsia="zh-CN" w:bidi="ar-SA"/>
        </w:rPr>
        <w:t>（3）</w:t>
      </w:r>
      <w:r>
        <w:rPr>
          <w:rFonts w:hint="default" w:ascii="Times New Roman" w:hAnsi="Times New Roman" w:eastAsia="仿宋_GB2312" w:cstheme="minorBidi"/>
          <w:b/>
          <w:bCs/>
          <w:kern w:val="2"/>
          <w:sz w:val="30"/>
          <w:szCs w:val="24"/>
          <w:lang w:val="en-US" w:eastAsia="zh-CN" w:bidi="ar-SA"/>
        </w:rPr>
        <w:t>算电协同</w:t>
      </w:r>
      <w:r>
        <w:rPr>
          <w:rFonts w:hint="eastAsia" w:ascii="Times New Roman" w:hAnsi="Times New Roman" w:eastAsia="仿宋_GB2312" w:cstheme="minorBidi"/>
          <w:b/>
          <w:bCs/>
          <w:kern w:val="2"/>
          <w:sz w:val="30"/>
          <w:szCs w:val="24"/>
          <w:lang w:val="en-US" w:eastAsia="zh-CN" w:bidi="ar-SA"/>
        </w:rPr>
        <w:t>：</w:t>
      </w:r>
      <w:r>
        <w:rPr>
          <w:rFonts w:hint="eastAsia" w:ascii="Times New Roman" w:hAnsi="Times New Roman" w:eastAsia="仿宋_GB2312" w:cstheme="minorBidi"/>
          <w:b w:val="0"/>
          <w:bCs w:val="0"/>
          <w:kern w:val="2"/>
          <w:sz w:val="30"/>
          <w:szCs w:val="24"/>
          <w:lang w:val="en-US" w:eastAsia="zh-CN" w:bidi="ar-SA"/>
        </w:rPr>
        <w:t>作为全国一体化算力网络重要节点，湖北移动近年来坚持适度超前建设新型基础设施，加速绿色算力、高效算力落子布局。聚焦绿电赋能与技术节能，探索自然风冷、智能切换等运行模式。能源端，在襄阳云计算中心等部署分布式光伏发电系统，为园区注入绿色能源；管控端，布局绿色园区，应用数字孪生技术，实现精细化能耗管理。</w:t>
      </w:r>
      <w:r>
        <w:rPr>
          <w:rFonts w:hint="eastAsia" w:ascii="Times New Roman" w:hAnsi="Times New Roman" w:eastAsia="仿宋_GB2312" w:cstheme="minorBidi"/>
          <w:b w:val="0"/>
          <w:bCs w:val="0"/>
          <w:kern w:val="2"/>
          <w:sz w:val="30"/>
          <w:szCs w:val="24"/>
          <w:lang w:val="en-US" w:eastAsia="zh-CN" w:bidi="ar-SA"/>
        </w:rPr>
        <w:t>积极探索“在宜训推、在汉研发”的远距离算电协同创新模式。</w:t>
      </w:r>
    </w:p>
    <w:p w14:paraId="47C1A70F">
      <w:pPr>
        <w:pStyle w:val="2"/>
        <w:keepNext w:val="0"/>
        <w:keepLines w:val="0"/>
        <w:pageBreakBefore w:val="0"/>
        <w:widowControl w:val="0"/>
        <w:kinsoku/>
        <w:wordWrap/>
        <w:overflowPunct/>
        <w:topLinePunct w:val="0"/>
        <w:autoSpaceDE/>
        <w:autoSpaceDN/>
        <w:bidi w:val="0"/>
        <w:adjustRightInd/>
        <w:spacing w:line="560" w:lineRule="exact"/>
        <w:ind w:firstLine="600" w:firstLineChars="200"/>
        <w:jc w:val="both"/>
        <w:textAlignment w:val="auto"/>
        <w:rPr>
          <w:rFonts w:hint="eastAsia" w:ascii="Times New Roman" w:hAnsi="Times New Roman" w:eastAsia="仿宋_GB2312" w:cstheme="minorBidi"/>
          <w:b w:val="0"/>
          <w:bCs w:val="0"/>
          <w:kern w:val="2"/>
          <w:sz w:val="30"/>
          <w:szCs w:val="24"/>
          <w:lang w:val="en-US" w:eastAsia="zh-CN" w:bidi="ar-SA"/>
        </w:rPr>
      </w:pPr>
      <w:r>
        <w:rPr>
          <w:rFonts w:hint="eastAsia" w:ascii="Times New Roman" w:hAnsi="Times New Roman" w:eastAsia="仿宋_GB2312" w:cstheme="minorBidi"/>
          <w:b w:val="0"/>
          <w:bCs w:val="0"/>
          <w:kern w:val="2"/>
          <w:sz w:val="30"/>
          <w:szCs w:val="24"/>
          <w:lang w:val="en-US" w:eastAsia="zh-CN" w:bidi="ar-SA"/>
        </w:rPr>
        <w:t>同时，承担省级算力互联互通平台建设任务，通过对接全省算力中心，高质量整合全省算力资源，优化区域算力供需配置，提升省内算力应用水平。平台建成后，以算力为抓手，通过构建算、数、产深度融合的服务体系，形成“以算育数、以数育产”的发展新格局。</w:t>
      </w:r>
    </w:p>
    <w:p w14:paraId="2B700E3C">
      <w:pPr>
        <w:pStyle w:val="2"/>
        <w:keepNext w:val="0"/>
        <w:keepLines w:val="0"/>
        <w:pageBreakBefore w:val="0"/>
        <w:widowControl w:val="0"/>
        <w:kinsoku/>
        <w:wordWrap/>
        <w:overflowPunct/>
        <w:topLinePunct w:val="0"/>
        <w:autoSpaceDE/>
        <w:autoSpaceDN/>
        <w:bidi w:val="0"/>
        <w:adjustRightInd/>
        <w:spacing w:line="560" w:lineRule="exact"/>
        <w:ind w:firstLine="602" w:firstLineChars="200"/>
        <w:jc w:val="both"/>
        <w:textAlignment w:val="auto"/>
        <w:rPr>
          <w:rFonts w:hint="eastAsia" w:ascii="Times New Roman" w:hAnsi="Times New Roman" w:eastAsia="仿宋_GB2312" w:cstheme="minorBidi"/>
          <w:b w:val="0"/>
          <w:bCs w:val="0"/>
          <w:kern w:val="2"/>
          <w:sz w:val="30"/>
          <w:szCs w:val="24"/>
          <w:lang w:val="en-US" w:eastAsia="zh-CN" w:bidi="ar-SA"/>
        </w:rPr>
      </w:pPr>
      <w:r>
        <w:rPr>
          <w:rFonts w:hint="eastAsia" w:ascii="Times New Roman" w:hAnsi="Times New Roman" w:eastAsia="仿宋_GB2312" w:cstheme="minorBidi"/>
          <w:b/>
          <w:bCs/>
          <w:kern w:val="2"/>
          <w:sz w:val="30"/>
          <w:szCs w:val="24"/>
          <w:lang w:val="en-US" w:eastAsia="zh-CN" w:bidi="ar-SA"/>
        </w:rPr>
        <w:t>（4）数据要素：</w:t>
      </w:r>
      <w:r>
        <w:rPr>
          <w:rFonts w:hint="eastAsia" w:ascii="Times New Roman" w:hAnsi="Times New Roman" w:eastAsia="仿宋_GB2312" w:cstheme="minorBidi"/>
          <w:b w:val="0"/>
          <w:bCs w:val="0"/>
          <w:kern w:val="2"/>
          <w:sz w:val="30"/>
          <w:szCs w:val="24"/>
          <w:lang w:val="en-US" w:eastAsia="zh-CN" w:bidi="ar-SA"/>
        </w:rPr>
        <w:t>作为湖北“数公基”开源联盟副理事长、</w:t>
      </w:r>
      <w:r>
        <w:rPr>
          <w:rFonts w:hint="eastAsia" w:ascii="Times New Roman" w:hAnsi="Times New Roman" w:eastAsia="仿宋_GB2312" w:cstheme="minorBidi"/>
          <w:b w:val="0"/>
          <w:bCs w:val="0"/>
          <w:kern w:val="2"/>
          <w:sz w:val="30"/>
          <w:szCs w:val="24"/>
          <w:lang w:val="en-US" w:eastAsia="zh-CN" w:bidi="ar-SA"/>
        </w:rPr>
        <w:t>可信数据空间联盟副理事长、湖北“数标委”（负责湖北数据标准制定）副秘书长、数商联合会副秘书长单位</w:t>
      </w:r>
      <w:r>
        <w:rPr>
          <w:rFonts w:hint="eastAsia" w:ascii="Times New Roman" w:hAnsi="Times New Roman" w:eastAsia="仿宋_GB2312" w:cstheme="minorBidi"/>
          <w:b w:val="0"/>
          <w:bCs w:val="0"/>
          <w:kern w:val="2"/>
          <w:sz w:val="30"/>
          <w:szCs w:val="24"/>
          <w:lang w:val="en-US" w:eastAsia="zh-CN" w:bidi="ar-SA"/>
        </w:rPr>
        <w:t>，按照省数据局“一省一市一区”的策略，积极推进并落地区级标杆打造。提交6项数据要素相关标准，支撑省数据局完成省级高质量数据集公共服务平台搭建、参与湖北省算力互联互通平台规划建设。</w:t>
      </w:r>
    </w:p>
    <w:p w14:paraId="7019462C">
      <w:pPr>
        <w:pStyle w:val="2"/>
        <w:keepNext w:val="0"/>
        <w:keepLines w:val="0"/>
        <w:pageBreakBefore w:val="0"/>
        <w:widowControl w:val="0"/>
        <w:kinsoku/>
        <w:wordWrap/>
        <w:overflowPunct/>
        <w:topLinePunct w:val="0"/>
        <w:autoSpaceDE/>
        <w:autoSpaceDN/>
        <w:bidi w:val="0"/>
        <w:adjustRightInd/>
        <w:spacing w:line="560" w:lineRule="exact"/>
        <w:ind w:firstLine="600" w:firstLineChars="200"/>
        <w:jc w:val="both"/>
        <w:textAlignment w:val="auto"/>
        <w:rPr>
          <w:rFonts w:hint="eastAsia" w:ascii="Times New Roman" w:hAnsi="Times New Roman" w:eastAsia="仿宋_GB2312" w:cstheme="minorBidi"/>
          <w:b w:val="0"/>
          <w:bCs w:val="0"/>
          <w:kern w:val="2"/>
          <w:sz w:val="30"/>
          <w:szCs w:val="24"/>
          <w:lang w:val="en-US" w:eastAsia="zh-CN" w:bidi="ar-SA"/>
        </w:rPr>
      </w:pPr>
      <w:r>
        <w:rPr>
          <w:rFonts w:hint="eastAsia" w:ascii="Times New Roman" w:hAnsi="Times New Roman" w:eastAsia="仿宋_GB2312" w:cstheme="minorBidi"/>
          <w:b w:val="0"/>
          <w:bCs w:val="0"/>
          <w:kern w:val="2"/>
          <w:sz w:val="30"/>
          <w:szCs w:val="24"/>
          <w:lang w:val="en-US" w:eastAsia="zh-CN" w:bidi="ar-SA"/>
        </w:rPr>
        <w:t>省级高质量数据集公共服务平台：湖北移动牵头完成平台建设，并上线试运行，支撑第三批高质量数据集申报工作。</w:t>
      </w:r>
    </w:p>
    <w:p w14:paraId="2421229D">
      <w:pPr>
        <w:pStyle w:val="2"/>
        <w:keepNext w:val="0"/>
        <w:keepLines w:val="0"/>
        <w:pageBreakBefore w:val="0"/>
        <w:widowControl w:val="0"/>
        <w:kinsoku/>
        <w:wordWrap/>
        <w:overflowPunct/>
        <w:topLinePunct w:val="0"/>
        <w:autoSpaceDE/>
        <w:autoSpaceDN/>
        <w:bidi w:val="0"/>
        <w:adjustRightInd/>
        <w:spacing w:line="560" w:lineRule="exact"/>
        <w:ind w:firstLine="600" w:firstLineChars="200"/>
        <w:jc w:val="both"/>
        <w:textAlignment w:val="auto"/>
        <w:rPr>
          <w:rFonts w:hint="eastAsia" w:ascii="Times New Roman" w:hAnsi="Times New Roman" w:eastAsia="仿宋_GB2312" w:cstheme="minorBidi"/>
          <w:b w:val="0"/>
          <w:bCs w:val="0"/>
          <w:kern w:val="2"/>
          <w:sz w:val="30"/>
          <w:szCs w:val="24"/>
          <w:lang w:val="en-US" w:eastAsia="zh-CN" w:bidi="ar-SA"/>
        </w:rPr>
      </w:pPr>
      <w:r>
        <w:rPr>
          <w:rFonts w:hint="eastAsia" w:ascii="Times New Roman" w:hAnsi="Times New Roman" w:eastAsia="仿宋_GB2312" w:cstheme="minorBidi"/>
          <w:b w:val="0"/>
          <w:bCs w:val="0"/>
          <w:kern w:val="2"/>
          <w:sz w:val="30"/>
          <w:szCs w:val="24"/>
          <w:lang w:val="en-US" w:eastAsia="zh-CN" w:bidi="ar-SA"/>
        </w:rPr>
        <w:t>湖北省算力互联互通平台规划建设：已中标，参与支撑智边资源调度、AI训推、算力运营系统等方面内容建设。</w:t>
      </w:r>
    </w:p>
    <w:p w14:paraId="1094B66F">
      <w:pPr>
        <w:pStyle w:val="2"/>
        <w:keepNext w:val="0"/>
        <w:keepLines w:val="0"/>
        <w:pageBreakBefore w:val="0"/>
        <w:widowControl w:val="0"/>
        <w:kinsoku/>
        <w:wordWrap/>
        <w:overflowPunct/>
        <w:topLinePunct w:val="0"/>
        <w:autoSpaceDE/>
        <w:autoSpaceDN/>
        <w:bidi w:val="0"/>
        <w:adjustRightInd/>
        <w:spacing w:line="560" w:lineRule="exact"/>
        <w:ind w:firstLine="600" w:firstLineChars="200"/>
        <w:jc w:val="both"/>
        <w:textAlignment w:val="auto"/>
        <w:rPr>
          <w:rFonts w:hint="eastAsia" w:ascii="Times New Roman" w:hAnsi="Times New Roman" w:eastAsia="仿宋_GB2312" w:cstheme="minorBidi"/>
          <w:b w:val="0"/>
          <w:bCs w:val="0"/>
          <w:kern w:val="2"/>
          <w:sz w:val="30"/>
          <w:szCs w:val="24"/>
          <w:lang w:val="en-US" w:eastAsia="zh-CN" w:bidi="ar-SA"/>
        </w:rPr>
      </w:pPr>
      <w:r>
        <w:rPr>
          <w:rFonts w:hint="eastAsia" w:ascii="Times New Roman" w:hAnsi="Times New Roman" w:eastAsia="仿宋_GB2312" w:cstheme="minorBidi"/>
          <w:b w:val="0"/>
          <w:bCs w:val="0"/>
          <w:kern w:val="2"/>
          <w:sz w:val="30"/>
          <w:szCs w:val="24"/>
          <w:lang w:val="en-US" w:eastAsia="zh-CN" w:bidi="ar-SA"/>
        </w:rPr>
        <w:t>宜昌数据局达成省内首笔数字公共基础设施场内数据交易；十堰数据资源产权化探索，完成“数字孪生地图数据集”产权登记（“数产证”）；咸宁市公共数据授权运营平台项目（236万）是全国首个公共数据授权运营平台项目；中标“汉数通”数据流通交易基础设施项目（297万），省内首个运营商专区项目；孝感市可信数据空间项目（329.9万），省内首个可信数据空间项目。</w:t>
      </w:r>
    </w:p>
    <w:p w14:paraId="6E5D570F">
      <w:pPr>
        <w:pStyle w:val="2"/>
        <w:keepNext w:val="0"/>
        <w:keepLines w:val="0"/>
        <w:pageBreakBefore w:val="0"/>
        <w:widowControl w:val="0"/>
        <w:kinsoku/>
        <w:wordWrap/>
        <w:overflowPunct/>
        <w:topLinePunct w:val="0"/>
        <w:autoSpaceDE/>
        <w:autoSpaceDN/>
        <w:bidi w:val="0"/>
        <w:adjustRightInd/>
        <w:spacing w:line="560" w:lineRule="exact"/>
        <w:ind w:firstLine="600" w:firstLineChars="200"/>
        <w:jc w:val="both"/>
        <w:textAlignment w:val="auto"/>
        <w:rPr>
          <w:rFonts w:hint="default" w:ascii="Times New Roman" w:hAnsi="Times New Roman" w:eastAsia="仿宋_GB2312" w:cstheme="minorBidi"/>
          <w:b w:val="0"/>
          <w:bCs w:val="0"/>
          <w:kern w:val="2"/>
          <w:sz w:val="30"/>
          <w:szCs w:val="24"/>
          <w:lang w:val="en-US" w:eastAsia="zh-CN" w:bidi="ar-SA"/>
        </w:rPr>
      </w:pPr>
    </w:p>
    <w:p w14:paraId="601374AE">
      <w:pPr>
        <w:pStyle w:val="3"/>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仿宋_GB2312" w:hAnsi="仿宋_GB2312" w:eastAsia="仿宋_GB2312" w:cs="仿宋_GB2312"/>
          <w:b/>
          <w:bCs/>
          <w:sz w:val="32"/>
          <w:szCs w:val="32"/>
          <w:lang w:val="en-US" w:eastAsia="zh-CN" w:bidi="ar-SA"/>
        </w:rPr>
      </w:pPr>
      <w:r>
        <w:rPr>
          <w:rFonts w:hint="eastAsia" w:ascii="仿宋_GB2312" w:hAnsi="仿宋_GB2312" w:eastAsia="仿宋_GB2312" w:cs="仿宋_GB2312"/>
          <w:b/>
          <w:bCs/>
          <w:sz w:val="32"/>
          <w:szCs w:val="32"/>
          <w:lang w:val="en-US" w:eastAsia="zh-CN" w:bidi="ar-SA"/>
        </w:rPr>
        <w:t>三、</w:t>
      </w:r>
      <w:r>
        <w:rPr>
          <w:rFonts w:hint="default" w:ascii="仿宋_GB2312" w:hAnsi="仿宋_GB2312" w:eastAsia="仿宋_GB2312" w:cs="仿宋_GB2312"/>
          <w:b/>
          <w:bCs/>
          <w:sz w:val="32"/>
          <w:szCs w:val="32"/>
          <w:lang w:val="en-US" w:eastAsia="zh-CN" w:bidi="ar-SA"/>
        </w:rPr>
        <w:t>加快高水平科技自立自强</w:t>
      </w:r>
    </w:p>
    <w:p w14:paraId="4C46B441">
      <w:pPr>
        <w:pStyle w:val="4"/>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仿宋_GB2312" w:hAnsi="仿宋_GB2312" w:eastAsia="仿宋_GB2312" w:cs="仿宋_GB2312"/>
          <w:b/>
          <w:bCs/>
          <w:sz w:val="32"/>
          <w:szCs w:val="32"/>
          <w:lang w:bidi="ar-SA"/>
        </w:rPr>
      </w:pPr>
      <w:r>
        <w:rPr>
          <w:rFonts w:hint="default" w:ascii="仿宋_GB2312" w:hAnsi="仿宋_GB2312" w:eastAsia="仿宋_GB2312" w:cs="仿宋_GB2312"/>
          <w:b/>
          <w:bCs/>
          <w:sz w:val="32"/>
          <w:szCs w:val="32"/>
          <w:lang w:bidi="ar-SA"/>
        </w:rPr>
        <w:t>1. 国家层面</w:t>
      </w:r>
    </w:p>
    <w:p w14:paraId="6FA128B1">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加强原始创新和关键核心技术攻关：</w:t>
      </w:r>
      <w:r>
        <w:rPr>
          <w:rFonts w:hint="default" w:ascii="Times New Roman" w:hAnsi="Times New Roman" w:eastAsia="仿宋_GB2312"/>
          <w:b w:val="0"/>
          <w:bCs w:val="0"/>
          <w:sz w:val="30"/>
          <w:lang w:val="en-US" w:eastAsia="zh-CN"/>
        </w:rPr>
        <w:t>继续提高基础研究投入比重；加强国家实验室和重大科技任务、重大科技基础设施统筹部署</w:t>
      </w:r>
      <w:r>
        <w:rPr>
          <w:rFonts w:hint="eastAsia" w:ascii="Times New Roman" w:hAnsi="Times New Roman" w:eastAsia="仿宋_GB2312"/>
          <w:b w:val="0"/>
          <w:bCs w:val="0"/>
          <w:sz w:val="30"/>
          <w:lang w:val="en-US" w:eastAsia="zh-CN"/>
        </w:rPr>
        <w:t>；加强科学技术普及。</w:t>
      </w:r>
    </w:p>
    <w:p w14:paraId="54EE0EEF">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推动科技创新和产业创新深度融合：</w:t>
      </w:r>
      <w:r>
        <w:rPr>
          <w:rFonts w:hint="default" w:ascii="Times New Roman" w:hAnsi="Times New Roman" w:eastAsia="仿宋_GB2312"/>
          <w:b w:val="0"/>
          <w:bCs w:val="0"/>
          <w:sz w:val="30"/>
          <w:lang w:val="en-US" w:eastAsia="zh-CN"/>
        </w:rPr>
        <w:t>强化企业创新主体地位,支持科技领军企业牵头组建创新联合体</w:t>
      </w:r>
      <w:r>
        <w:rPr>
          <w:rFonts w:hint="eastAsia" w:ascii="Times New Roman" w:hAnsi="Times New Roman" w:eastAsia="仿宋_GB2312"/>
          <w:b w:val="0"/>
          <w:bCs w:val="0"/>
          <w:sz w:val="30"/>
          <w:lang w:val="en-US" w:eastAsia="zh-CN"/>
        </w:rPr>
        <w:t>，</w:t>
      </w:r>
      <w:r>
        <w:rPr>
          <w:rFonts w:hint="default" w:ascii="Times New Roman" w:hAnsi="Times New Roman" w:eastAsia="仿宋_GB2312"/>
          <w:b w:val="0"/>
          <w:bCs w:val="0"/>
          <w:sz w:val="30"/>
          <w:lang w:val="en-US" w:eastAsia="zh-CN"/>
        </w:rPr>
        <w:t>提高承担国家重大科技项目比例；加强中试验证平台建设。</w:t>
      </w:r>
    </w:p>
    <w:p w14:paraId="09B3BA04">
      <w:pPr>
        <w:pStyle w:val="4"/>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仿宋_GB2312" w:hAnsi="仿宋_GB2312" w:eastAsia="仿宋_GB2312" w:cs="仿宋_GB2312"/>
          <w:b/>
          <w:bCs/>
          <w:sz w:val="32"/>
          <w:szCs w:val="32"/>
          <w:lang w:val="en-US" w:eastAsia="zh-CN" w:bidi="ar-SA"/>
        </w:rPr>
      </w:pPr>
      <w:r>
        <w:rPr>
          <w:rFonts w:hint="default" w:ascii="仿宋_GB2312" w:hAnsi="仿宋_GB2312" w:eastAsia="仿宋_GB2312" w:cs="仿宋_GB2312"/>
          <w:b/>
          <w:bCs/>
          <w:sz w:val="32"/>
          <w:szCs w:val="32"/>
          <w:lang w:bidi="ar-SA"/>
        </w:rPr>
        <w:t>2. 湖北省</w:t>
      </w:r>
      <w:r>
        <w:rPr>
          <w:rFonts w:hint="eastAsia" w:ascii="仿宋_GB2312" w:hAnsi="仿宋_GB2312" w:eastAsia="仿宋_GB2312" w:cs="仿宋_GB2312"/>
          <w:b/>
          <w:bCs/>
          <w:sz w:val="32"/>
          <w:szCs w:val="32"/>
          <w:lang w:val="en-US" w:eastAsia="zh-CN" w:bidi="ar-SA"/>
        </w:rPr>
        <w:t>工作要点</w:t>
      </w:r>
    </w:p>
    <w:p w14:paraId="2B3E97DD">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科技创新高地建设：</w:t>
      </w:r>
      <w:r>
        <w:rPr>
          <w:rFonts w:hint="eastAsia" w:ascii="Times New Roman" w:hAnsi="Times New Roman" w:eastAsia="仿宋_GB2312"/>
          <w:b w:val="0"/>
          <w:bCs w:val="0"/>
          <w:sz w:val="30"/>
          <w:lang w:val="en-US" w:eastAsia="zh-CN"/>
        </w:rPr>
        <w:t>加快构建具有全国影响力的科技创新高地；建强用好国家技术转移中部中心。</w:t>
      </w:r>
    </w:p>
    <w:p w14:paraId="6C6BB56B">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科技力量矩阵：</w:t>
      </w:r>
      <w:r>
        <w:rPr>
          <w:rFonts w:hint="eastAsia" w:ascii="Times New Roman" w:hAnsi="Times New Roman" w:eastAsia="仿宋_GB2312"/>
          <w:b w:val="0"/>
          <w:bCs w:val="0"/>
          <w:sz w:val="30"/>
          <w:lang w:val="en-US" w:eastAsia="zh-CN"/>
        </w:rPr>
        <w:t>重大科技基础设施达到8个、全国重点实验室45家、新型研发机构547家，均居全国前列；两院院士增至93位；武汉具有全国影响力的科技创新中心加快建设。</w:t>
      </w:r>
    </w:p>
    <w:p w14:paraId="05DBC128">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创新主体培育：</w:t>
      </w:r>
      <w:r>
        <w:rPr>
          <w:rFonts w:hint="eastAsia" w:ascii="Times New Roman" w:hAnsi="Times New Roman" w:eastAsia="仿宋_GB2312"/>
          <w:b w:val="0"/>
          <w:bCs w:val="0"/>
          <w:sz w:val="30"/>
          <w:lang w:val="en-US" w:eastAsia="zh-CN"/>
        </w:rPr>
        <w:t>高新技术企业增至3.5万家；科技型中小企业增至5万家；国家级专精特新“小巨人”企业达到785家。</w:t>
      </w:r>
    </w:p>
    <w:p w14:paraId="0724DE18">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科技金融：</w:t>
      </w:r>
      <w:r>
        <w:rPr>
          <w:rFonts w:hint="eastAsia" w:ascii="Times New Roman" w:hAnsi="Times New Roman" w:eastAsia="仿宋_GB2312"/>
          <w:b w:val="0"/>
          <w:bCs w:val="0"/>
          <w:sz w:val="30"/>
          <w:lang w:val="en-US" w:eastAsia="zh-CN"/>
        </w:rPr>
        <w:t>以重塑现代科技金融体系为支撑，整合财政、国资、金融资源，进一步完善政府股权投资引导、债权融资增信与资本市场募资培育功能，为各类创新主体和产业主体提供全业态全链条的金融支持。</w:t>
      </w:r>
    </w:p>
    <w:p w14:paraId="057E5DAE">
      <w:pPr>
        <w:pStyle w:val="4"/>
        <w:keepNext/>
        <w:keepLines/>
        <w:pageBreakBefore w:val="0"/>
        <w:numPr>
          <w:ilvl w:val="0"/>
          <w:numId w:val="1"/>
        </w:numPr>
        <w:kinsoku/>
        <w:wordWrap/>
        <w:overflowPunct/>
        <w:topLinePunct w:val="0"/>
        <w:autoSpaceDE/>
        <w:autoSpaceDN/>
        <w:bidi w:val="0"/>
        <w:adjustRightInd/>
        <w:snapToGrid/>
        <w:spacing w:before="0" w:beforeAutospacing="0" w:after="0" w:afterAutospacing="0" w:line="560" w:lineRule="exact"/>
        <w:ind w:left="0" w:leftChars="0" w:firstLine="640" w:firstLineChars="0"/>
        <w:jc w:val="both"/>
        <w:textAlignment w:val="auto"/>
        <w:outlineLvl w:val="0"/>
        <w:rPr>
          <w:rFonts w:hint="eastAsia" w:ascii="仿宋_GB2312" w:hAnsi="仿宋_GB2312" w:eastAsia="仿宋_GB2312" w:cs="仿宋_GB2312"/>
          <w:b/>
          <w:bCs/>
          <w:sz w:val="32"/>
          <w:szCs w:val="32"/>
          <w:lang w:val="en-US" w:eastAsia="zh-CN" w:bidi="ar-SA"/>
        </w:rPr>
      </w:pPr>
      <w:r>
        <w:rPr>
          <w:rFonts w:hint="default" w:ascii="仿宋_GB2312" w:hAnsi="仿宋_GB2312" w:eastAsia="仿宋_GB2312" w:cs="仿宋_GB2312"/>
          <w:b/>
          <w:bCs/>
          <w:sz w:val="32"/>
          <w:szCs w:val="32"/>
          <w:lang w:bidi="ar-SA"/>
        </w:rPr>
        <w:t>湖北</w:t>
      </w:r>
      <w:r>
        <w:rPr>
          <w:rFonts w:hint="eastAsia" w:ascii="仿宋_GB2312" w:hAnsi="仿宋_GB2312" w:eastAsia="仿宋_GB2312" w:cs="仿宋_GB2312"/>
          <w:b/>
          <w:bCs/>
          <w:sz w:val="32"/>
          <w:szCs w:val="32"/>
          <w:lang w:val="en-US" w:eastAsia="zh-CN" w:bidi="ar-SA"/>
        </w:rPr>
        <w:t>移动落实情况</w:t>
      </w:r>
    </w:p>
    <w:p w14:paraId="2634BF77">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bCs/>
          <w:sz w:val="30"/>
          <w:lang w:val="en-US" w:eastAsia="zh-CN"/>
        </w:rPr>
      </w:pPr>
      <w:r>
        <w:rPr>
          <w:rFonts w:hint="default" w:ascii="Times New Roman" w:hAnsi="Times New Roman" w:eastAsia="仿宋_GB2312"/>
          <w:b/>
          <w:bCs/>
          <w:sz w:val="30"/>
          <w:lang w:val="en-US" w:eastAsia="zh-CN"/>
        </w:rPr>
        <w:t>原始创新和关键核心技术攻关</w:t>
      </w:r>
      <w:r>
        <w:rPr>
          <w:rFonts w:hint="eastAsia" w:ascii="Times New Roman" w:hAnsi="Times New Roman" w:eastAsia="仿宋_GB2312"/>
          <w:b/>
          <w:bCs/>
          <w:sz w:val="30"/>
          <w:lang w:val="en-US" w:eastAsia="zh-CN"/>
        </w:rPr>
        <w:t>：</w:t>
      </w:r>
    </w:p>
    <w:p w14:paraId="2BC16689">
      <w:pPr>
        <w:keepNext w:val="0"/>
        <w:keepLines w:val="0"/>
        <w:pageBreakBefore w:val="0"/>
        <w:widowControl w:val="0"/>
        <w:numPr>
          <w:ilvl w:val="0"/>
          <w:numId w:val="3"/>
        </w:numPr>
        <w:kinsoku/>
        <w:wordWrap/>
        <w:overflowPunct/>
        <w:topLinePunct w:val="0"/>
        <w:autoSpaceDE/>
        <w:autoSpaceDN/>
        <w:bidi w:val="0"/>
        <w:adjustRightInd/>
        <w:snapToGrid/>
        <w:spacing w:line="560" w:lineRule="exact"/>
        <w:ind w:firstLine="602" w:firstLineChars="200"/>
        <w:textAlignment w:val="auto"/>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b/>
          <w:bCs/>
          <w:sz w:val="30"/>
          <w:szCs w:val="30"/>
          <w:lang w:val="en-US" w:eastAsia="zh-CN"/>
        </w:rPr>
        <w:t>提高研究投入比重：</w:t>
      </w:r>
      <w:r>
        <w:rPr>
          <w:rFonts w:hint="eastAsia" w:ascii="仿宋_GB2312" w:hAnsi="仿宋_GB2312" w:eastAsia="仿宋_GB2312" w:cs="仿宋_GB2312"/>
          <w:b w:val="0"/>
          <w:bCs w:val="0"/>
          <w:sz w:val="30"/>
          <w:szCs w:val="30"/>
          <w:lang w:val="en-US" w:eastAsia="zh-CN"/>
        </w:rPr>
        <w:t>2025年投入研发资金4.4亿元，立足服务科创湖北大局，推动实现动能转换。</w:t>
      </w:r>
      <w:r>
        <w:rPr>
          <w:rFonts w:hint="eastAsia" w:ascii="仿宋_GB2312" w:hAnsi="仿宋_GB2312" w:eastAsia="仿宋_GB2312" w:cs="仿宋_GB2312"/>
          <w:b w:val="0"/>
          <w:bCs w:val="0"/>
          <w:sz w:val="30"/>
          <w:szCs w:val="30"/>
          <w:lang w:val="en-US" w:eastAsia="zh-CN"/>
        </w:rPr>
        <w:t>建立长江研究院，以“一体三环”科创体系（内环：长江研究院，中环：省公司+直属单位+地市分公司+专业公司，合作环：知名高校、属地央国企、科研型企业），构建以”链长+链主+链创”为核心的创新生态机制。</w:t>
      </w:r>
    </w:p>
    <w:p w14:paraId="61F1BBF3">
      <w:pPr>
        <w:keepNext w:val="0"/>
        <w:keepLines w:val="0"/>
        <w:pageBreakBefore w:val="0"/>
        <w:widowControl w:val="0"/>
        <w:numPr>
          <w:ilvl w:val="0"/>
          <w:numId w:val="3"/>
        </w:numPr>
        <w:kinsoku/>
        <w:wordWrap/>
        <w:overflowPunct/>
        <w:topLinePunct w:val="0"/>
        <w:autoSpaceDE/>
        <w:autoSpaceDN/>
        <w:bidi w:val="0"/>
        <w:adjustRightInd/>
        <w:snapToGrid/>
        <w:spacing w:line="560" w:lineRule="exact"/>
        <w:ind w:firstLine="602" w:firstLineChars="200"/>
        <w:textAlignment w:val="auto"/>
        <w:rPr>
          <w:rFonts w:hint="eastAsia" w:ascii="仿宋_GB2312" w:hAnsi="仿宋_GB2312" w:eastAsia="仿宋_GB2312" w:cs="仿宋_GB2312"/>
          <w:b/>
          <w:bCs/>
          <w:sz w:val="30"/>
          <w:szCs w:val="30"/>
          <w:lang w:val="en-US" w:eastAsia="zh-CN"/>
        </w:rPr>
      </w:pPr>
      <w:r>
        <w:rPr>
          <w:rFonts w:hint="eastAsia" w:ascii="仿宋_GB2312" w:hAnsi="仿宋_GB2312" w:eastAsia="仿宋_GB2312" w:cs="仿宋_GB2312"/>
          <w:b/>
          <w:bCs/>
          <w:sz w:val="30"/>
          <w:szCs w:val="30"/>
          <w:lang w:val="en-US" w:eastAsia="zh-CN"/>
        </w:rPr>
        <w:t>承担重大科技任务：</w:t>
      </w:r>
    </w:p>
    <w:p w14:paraId="4903B56D">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val="0"/>
          <w:bCs w:val="0"/>
          <w:sz w:val="30"/>
          <w:lang w:val="en-US" w:eastAsia="zh-CN"/>
        </w:rPr>
        <w:t>5G及下一代移动通信创新联合体：参与面向汽车智能制造的5G全无线工控技术研究与验证、5G新通话关键技术攻关及应用、基于5G的低空智联网关键技术攻关、面向文旅行业的5G新通信应用互联及推荐关键技术研发及应用、基于5G-A/6G的网络智能化关键技术攻关。</w:t>
      </w:r>
    </w:p>
    <w:p w14:paraId="02A1CF53">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val="0"/>
          <w:bCs w:val="0"/>
          <w:sz w:val="30"/>
          <w:lang w:val="en-US" w:eastAsia="zh-CN"/>
        </w:rPr>
        <w:t>算力网络创新联合体：参与分布式异构算力混合训练技术研发、分布式算力管控与协同技术研发。</w:t>
      </w:r>
    </w:p>
    <w:p w14:paraId="1DA9F035">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val="0"/>
          <w:bCs w:val="0"/>
          <w:sz w:val="30"/>
          <w:lang w:val="en-US" w:eastAsia="zh-CN"/>
        </w:rPr>
        <w:t>战新未来和四大专项：参与3期试验毫米波第一批试验网建设（LHT）、IP网数字孪生战新项目。</w:t>
      </w:r>
    </w:p>
    <w:p w14:paraId="76E8EC6E">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val="0"/>
          <w:bCs w:val="0"/>
          <w:sz w:val="30"/>
          <w:lang w:val="en-US" w:eastAsia="zh-CN"/>
        </w:rPr>
        <w:t>工信部算力强基揭榜行动（湖北）：湖北省共5个揭榜产品，其中湖北移动占3个，分别为：基于RoCE的分布式智算集群网络智能优化解决方案、绿色算力技术研究及应用、企业绿色计算碳感知平台。</w:t>
      </w:r>
    </w:p>
    <w:p w14:paraId="4CC144BF">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bCs/>
          <w:sz w:val="30"/>
          <w:lang w:val="en-US" w:eastAsia="zh-CN"/>
        </w:rPr>
      </w:pPr>
      <w:r>
        <w:rPr>
          <w:rFonts w:hint="default" w:ascii="Times New Roman" w:hAnsi="Times New Roman" w:eastAsia="仿宋_GB2312"/>
          <w:b/>
          <w:bCs/>
          <w:sz w:val="30"/>
          <w:lang w:val="en-US" w:eastAsia="zh-CN"/>
        </w:rPr>
        <w:t>科技创新和产业创新深度融合</w:t>
      </w:r>
      <w:r>
        <w:rPr>
          <w:rFonts w:hint="eastAsia" w:ascii="Times New Roman" w:hAnsi="Times New Roman" w:eastAsia="仿宋_GB2312"/>
          <w:b/>
          <w:bCs/>
          <w:sz w:val="30"/>
          <w:lang w:val="en-US" w:eastAsia="zh-CN"/>
        </w:rPr>
        <w:t>：</w:t>
      </w:r>
    </w:p>
    <w:p w14:paraId="4EAC222D">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（1）</w:t>
      </w:r>
      <w:r>
        <w:rPr>
          <w:rFonts w:hint="default" w:ascii="Times New Roman" w:hAnsi="Times New Roman" w:eastAsia="仿宋_GB2312"/>
          <w:b/>
          <w:bCs/>
          <w:sz w:val="30"/>
          <w:lang w:val="en-US" w:eastAsia="zh-CN"/>
        </w:rPr>
        <w:t>创新平台建设：</w:t>
      </w:r>
      <w:r>
        <w:rPr>
          <w:rFonts w:hint="default" w:ascii="Times New Roman" w:hAnsi="Times New Roman" w:eastAsia="仿宋_GB2312"/>
          <w:b w:val="0"/>
          <w:bCs w:val="0"/>
          <w:sz w:val="30"/>
          <w:lang w:val="en-US" w:eastAsia="zh-CN"/>
        </w:rPr>
        <w:t>发起组建“湖北省6G创新发展联盟”，与中信科移动联合成立“6G技术及产业应用联合创新中心”</w:t>
      </w:r>
      <w:r>
        <w:rPr>
          <w:rFonts w:hint="eastAsia" w:ascii="Times New Roman" w:hAnsi="Times New Roman" w:eastAsia="仿宋_GB2312"/>
          <w:b w:val="0"/>
          <w:bCs w:val="0"/>
          <w:sz w:val="30"/>
          <w:lang w:val="en-US" w:eastAsia="zh-CN"/>
        </w:rPr>
        <w:t>。</w:t>
      </w:r>
      <w:r>
        <w:rPr>
          <w:rFonts w:hint="default" w:ascii="Times New Roman" w:hAnsi="Times New Roman" w:eastAsia="仿宋_GB2312"/>
          <w:b w:val="0"/>
          <w:bCs w:val="0"/>
          <w:sz w:val="30"/>
          <w:lang w:val="en-US" w:eastAsia="zh-CN"/>
        </w:rPr>
        <w:t>中国移动大模型产业创新基地（集团4个）、工业和水利大模型研发基地（集团唯一）、5G-A创新示范基地（集团7个）、低空经济创新基地（集团10个）落地武汉。建设省级新一代移动通信（6G/B6G）湖北工程研究中心、水利水电工程研究中心、武汉市智能网联汽车产业联合创新实验室等研发载体。</w:t>
      </w:r>
    </w:p>
    <w:p w14:paraId="29534FD6">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（2）高校联合实验室:</w:t>
      </w:r>
      <w:r>
        <w:rPr>
          <w:rFonts w:hint="eastAsia" w:ascii="Times New Roman" w:hAnsi="Times New Roman" w:eastAsia="仿宋_GB2312"/>
          <w:b w:val="0"/>
          <w:bCs w:val="0"/>
          <w:sz w:val="30"/>
          <w:lang w:val="en-US" w:eastAsia="zh-CN"/>
        </w:rPr>
        <w:t>已与北京大学签署北大- 教育大模型联合实验室、三峡大学签署三峡大学-水利大模型联合实验室；正在推进与华中科技大学联合的华科-先进制造具身智能联合实验室、武汉大学联合的武大-时空智能联合实验室。</w:t>
      </w:r>
    </w:p>
    <w:p w14:paraId="2EB94C57">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（3）中试验证平台建设：</w:t>
      </w:r>
      <w:r>
        <w:rPr>
          <w:rFonts w:hint="eastAsia" w:ascii="Times New Roman" w:hAnsi="Times New Roman" w:eastAsia="仿宋_GB2312"/>
          <w:b w:val="0"/>
          <w:bCs w:val="0"/>
          <w:sz w:val="30"/>
          <w:lang w:val="en-US" w:eastAsia="zh-CN"/>
        </w:rPr>
        <w:t>正在筹建市科技局武汉AI安全中试基地。</w:t>
      </w:r>
    </w:p>
    <w:p w14:paraId="6C4855B0">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b w:val="0"/>
          <w:bCs w:val="0"/>
          <w:lang w:val="en-US" w:eastAsia="zh-CN"/>
        </w:rPr>
      </w:pPr>
      <w:r>
        <w:rPr>
          <w:rFonts w:hint="eastAsia" w:ascii="Times New Roman" w:hAnsi="Times New Roman" w:eastAsia="仿宋_GB2312"/>
          <w:b/>
          <w:bCs/>
          <w:sz w:val="30"/>
          <w:lang w:val="en-US" w:eastAsia="zh-CN"/>
        </w:rPr>
        <w:t>（4）</w:t>
      </w:r>
      <w:r>
        <w:rPr>
          <w:rFonts w:hint="eastAsia" w:ascii="Times New Roman" w:hAnsi="Times New Roman" w:eastAsia="仿宋_GB2312"/>
          <w:b/>
          <w:bCs/>
          <w:sz w:val="30"/>
          <w:lang w:val="en-US" w:eastAsia="zh-CN"/>
        </w:rPr>
        <w:t>创新主体培育</w:t>
      </w:r>
      <w:r>
        <w:rPr>
          <w:rFonts w:hint="eastAsia" w:ascii="Times New Roman" w:hAnsi="Times New Roman" w:eastAsia="仿宋_GB2312"/>
          <w:b/>
          <w:bCs/>
          <w:sz w:val="30"/>
          <w:lang w:val="en-US" w:eastAsia="zh-CN"/>
        </w:rPr>
        <w:t>：推</w:t>
      </w:r>
      <w:r>
        <w:rPr>
          <w:rFonts w:hint="eastAsia" w:ascii="Times New Roman" w:hAnsi="Times New Roman" w:eastAsia="仿宋_GB2312"/>
          <w:b w:val="0"/>
          <w:bCs w:val="0"/>
          <w:sz w:val="30"/>
          <w:lang w:val="en-US" w:eastAsia="zh-CN"/>
        </w:rPr>
        <w:t>动中国移动集团独家投资湖北省量子技术产业链“链主”企业中科酷原，交付国内首台原子量子计算机。与武创院合作共建未来信息技术创新中心，为高校院所、科技企业提供资金、平台、成果引入支持，加速产业资源集聚。畅通价值链。</w:t>
      </w:r>
    </w:p>
    <w:p w14:paraId="70C5EB38">
      <w:pPr>
        <w:pStyle w:val="2"/>
        <w:pageBreakBefore w:val="0"/>
        <w:kinsoku/>
        <w:wordWrap/>
        <w:overflowPunct/>
        <w:topLinePunct w:val="0"/>
        <w:autoSpaceDE/>
        <w:autoSpaceDN/>
        <w:bidi w:val="0"/>
        <w:adjustRightInd/>
        <w:spacing w:line="560" w:lineRule="exact"/>
        <w:rPr>
          <w:rFonts w:hint="eastAsia"/>
          <w:lang w:val="en-US" w:eastAsia="zh-CN"/>
        </w:rPr>
      </w:pPr>
    </w:p>
    <w:p w14:paraId="7E9217B8">
      <w:pPr>
        <w:pStyle w:val="3"/>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仿宋_GB2312" w:hAnsi="仿宋_GB2312" w:eastAsia="仿宋_GB2312" w:cs="仿宋_GB2312"/>
          <w:b/>
          <w:bCs/>
          <w:sz w:val="32"/>
          <w:szCs w:val="32"/>
          <w:lang w:bidi="ar-SA"/>
        </w:rPr>
      </w:pPr>
      <w:r>
        <w:rPr>
          <w:rFonts w:hint="eastAsia" w:ascii="仿宋_GB2312" w:hAnsi="仿宋_GB2312" w:eastAsia="仿宋_GB2312" w:cs="仿宋_GB2312"/>
          <w:b/>
          <w:bCs/>
          <w:sz w:val="32"/>
          <w:szCs w:val="32"/>
          <w:lang w:val="en-US" w:eastAsia="zh-CN" w:bidi="ar-SA"/>
        </w:rPr>
        <w:t>四、</w:t>
      </w:r>
      <w:r>
        <w:rPr>
          <w:rFonts w:hint="default" w:ascii="仿宋_GB2312" w:hAnsi="仿宋_GB2312" w:eastAsia="仿宋_GB2312" w:cs="仿宋_GB2312"/>
          <w:b/>
          <w:bCs/>
          <w:sz w:val="32"/>
          <w:szCs w:val="32"/>
          <w:lang w:bidi="ar-SA"/>
        </w:rPr>
        <w:t>持续深化重点领域改革</w:t>
      </w:r>
    </w:p>
    <w:p w14:paraId="7C6A2254">
      <w:pPr>
        <w:pStyle w:val="4"/>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pPr>
      <w:r>
        <w:rPr>
          <w:rFonts w:hint="eastAsia" w:ascii="仿宋_GB2312" w:hAnsi="仿宋_GB2312" w:eastAsia="仿宋_GB2312" w:cs="仿宋_GB2312"/>
          <w:b/>
          <w:bCs/>
          <w:sz w:val="32"/>
          <w:szCs w:val="32"/>
          <w:lang w:val="en-US" w:eastAsia="zh-CN" w:bidi="ar-SA"/>
        </w:rPr>
        <w:t xml:space="preserve">1. </w:t>
      </w:r>
      <w:r>
        <w:rPr>
          <w:rFonts w:hint="default" w:ascii="仿宋_GB2312" w:hAnsi="仿宋_GB2312" w:eastAsia="仿宋_GB2312" w:cs="仿宋_GB2312"/>
          <w:b/>
          <w:bCs/>
          <w:sz w:val="32"/>
          <w:szCs w:val="32"/>
          <w:lang w:bidi="ar-SA"/>
        </w:rPr>
        <w:t>国家层面</w:t>
      </w:r>
    </w:p>
    <w:p w14:paraId="1B18E431">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rPr>
      </w:pPr>
      <w:r>
        <w:rPr>
          <w:rFonts w:hint="default" w:ascii="Times New Roman" w:hAnsi="Times New Roman" w:eastAsia="仿宋_GB2312"/>
          <w:b/>
          <w:bCs/>
          <w:sz w:val="30"/>
          <w:lang w:val="en-US" w:eastAsia="zh-CN"/>
        </w:rPr>
        <w:t>充分激发各类经营主体活力：</w:t>
      </w:r>
      <w:r>
        <w:rPr>
          <w:rFonts w:hint="default" w:ascii="Times New Roman" w:hAnsi="Times New Roman" w:eastAsia="仿宋_GB2312"/>
          <w:b w:val="0"/>
          <w:bCs w:val="0"/>
          <w:sz w:val="30"/>
          <w:lang w:val="en-US" w:eastAsia="zh-CN"/>
        </w:rPr>
        <w:t>制定深化国资国企改革方案；完善民营经济促进法配套法规政策</w:t>
      </w:r>
      <w:r>
        <w:rPr>
          <w:rFonts w:hint="eastAsia" w:ascii="Times New Roman" w:hAnsi="Times New Roman" w:eastAsia="仿宋_GB2312"/>
          <w:b w:val="0"/>
          <w:bCs w:val="0"/>
          <w:sz w:val="30"/>
          <w:lang w:val="en-US" w:eastAsia="zh-CN"/>
        </w:rPr>
        <w:t>；</w:t>
      </w:r>
      <w:r>
        <w:rPr>
          <w:rFonts w:hint="default" w:ascii="Times New Roman" w:hAnsi="Times New Roman" w:eastAsia="仿宋_GB2312"/>
          <w:b w:val="0"/>
          <w:bCs w:val="0"/>
          <w:sz w:val="30"/>
          <w:lang w:val="en-US" w:eastAsia="zh-CN"/>
        </w:rPr>
        <w:t>持续打造一流营商环境</w:t>
      </w:r>
      <w:r>
        <w:rPr>
          <w:rFonts w:hint="eastAsia" w:ascii="Times New Roman" w:hAnsi="Times New Roman" w:eastAsia="仿宋_GB2312"/>
          <w:b w:val="0"/>
          <w:bCs w:val="0"/>
          <w:sz w:val="30"/>
          <w:lang w:val="en-US" w:eastAsia="zh-CN"/>
        </w:rPr>
        <w:t>，</w:t>
      </w:r>
      <w:r>
        <w:rPr>
          <w:rFonts w:hint="default" w:ascii="Times New Roman" w:hAnsi="Times New Roman" w:eastAsia="仿宋_GB2312"/>
          <w:b w:val="0"/>
          <w:bCs w:val="0"/>
          <w:sz w:val="30"/>
          <w:lang w:val="en-US" w:eastAsia="zh-CN"/>
        </w:rPr>
        <w:t>更好支持企业安心经营、高质量发展</w:t>
      </w:r>
    </w:p>
    <w:p w14:paraId="4E64F189">
      <w:pPr>
        <w:pStyle w:val="4"/>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仿宋_GB2312" w:hAnsi="仿宋_GB2312" w:eastAsia="仿宋_GB2312" w:cs="仿宋_GB2312"/>
          <w:b/>
          <w:bCs/>
          <w:sz w:val="32"/>
          <w:szCs w:val="32"/>
          <w:lang w:val="en-US" w:eastAsia="zh-CN" w:bidi="ar-SA"/>
        </w:rPr>
      </w:pPr>
      <w:r>
        <w:rPr>
          <w:rFonts w:hint="default" w:ascii="仿宋_GB2312" w:hAnsi="仿宋_GB2312" w:eastAsia="仿宋_GB2312" w:cs="仿宋_GB2312"/>
          <w:b/>
          <w:bCs/>
          <w:sz w:val="32"/>
          <w:szCs w:val="32"/>
          <w:lang w:bidi="ar-SA"/>
        </w:rPr>
        <w:t>2. 湖北省</w:t>
      </w:r>
      <w:r>
        <w:rPr>
          <w:rFonts w:hint="eastAsia" w:ascii="仿宋_GB2312" w:hAnsi="仿宋_GB2312" w:eastAsia="仿宋_GB2312" w:cs="仿宋_GB2312"/>
          <w:b/>
          <w:bCs/>
          <w:sz w:val="32"/>
          <w:szCs w:val="32"/>
          <w:lang w:val="en-US" w:eastAsia="zh-CN" w:bidi="ar-SA"/>
        </w:rPr>
        <w:t>工作要点</w:t>
      </w:r>
    </w:p>
    <w:p w14:paraId="0F6959F2">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市场经营主体：</w:t>
      </w:r>
      <w:r>
        <w:rPr>
          <w:rFonts w:hint="eastAsia" w:ascii="Times New Roman" w:hAnsi="Times New Roman" w:eastAsia="仿宋_GB2312"/>
          <w:b w:val="0"/>
          <w:bCs w:val="0"/>
          <w:sz w:val="30"/>
          <w:lang w:val="en-US" w:eastAsia="zh-CN"/>
        </w:rPr>
        <w:t>总量突破1000万户；规上工业企业超过2万家。</w:t>
      </w:r>
    </w:p>
    <w:p w14:paraId="78EC019A">
      <w:pPr>
        <w:pStyle w:val="4"/>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Times New Roman" w:hAnsi="Times New Roman" w:eastAsia="仿宋_GB2312"/>
          <w:b w:val="0"/>
          <w:bCs w:val="0"/>
          <w:sz w:val="30"/>
          <w:lang w:val="en-US" w:eastAsia="zh-CN"/>
        </w:rPr>
      </w:pPr>
      <w:r>
        <w:rPr>
          <w:rFonts w:hint="eastAsia" w:ascii="仿宋_GB2312" w:hAnsi="仿宋_GB2312" w:eastAsia="仿宋_GB2312" w:cs="仿宋_GB2312"/>
          <w:b/>
          <w:bCs/>
          <w:sz w:val="32"/>
          <w:szCs w:val="32"/>
          <w:lang w:val="en-US" w:eastAsia="zh-CN" w:bidi="ar-SA"/>
        </w:rPr>
        <w:t>3</w:t>
      </w:r>
      <w:r>
        <w:rPr>
          <w:rFonts w:hint="default" w:ascii="仿宋_GB2312" w:hAnsi="仿宋_GB2312" w:eastAsia="仿宋_GB2312" w:cs="仿宋_GB2312"/>
          <w:b/>
          <w:bCs/>
          <w:sz w:val="32"/>
          <w:szCs w:val="32"/>
          <w:lang w:bidi="ar-SA"/>
        </w:rPr>
        <w:t>. 湖北</w:t>
      </w:r>
      <w:r>
        <w:rPr>
          <w:rFonts w:hint="eastAsia" w:ascii="仿宋_GB2312" w:hAnsi="仿宋_GB2312" w:eastAsia="仿宋_GB2312" w:cs="仿宋_GB2312"/>
          <w:b/>
          <w:bCs/>
          <w:sz w:val="32"/>
          <w:szCs w:val="32"/>
          <w:lang w:val="en-US" w:eastAsia="zh-CN" w:bidi="ar-SA"/>
        </w:rPr>
        <w:t>移动落实情况</w:t>
      </w:r>
    </w:p>
    <w:p w14:paraId="2C173D68">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lang w:val="en-US" w:eastAsia="zh-CN"/>
        </w:rPr>
      </w:pPr>
      <w:r>
        <w:rPr>
          <w:rFonts w:hint="eastAsia" w:ascii="Times New Roman" w:hAnsi="Times New Roman" w:eastAsia="仿宋_GB2312"/>
          <w:b/>
          <w:bCs/>
          <w:sz w:val="30"/>
          <w:lang w:val="en-US" w:eastAsia="zh-CN"/>
        </w:rPr>
        <w:t>推进政企队伍改革：</w:t>
      </w:r>
      <w:r>
        <w:rPr>
          <w:rFonts w:hint="eastAsia" w:ascii="Times New Roman" w:hAnsi="Times New Roman" w:eastAsia="仿宋_GB2312"/>
          <w:b w:val="0"/>
          <w:bCs w:val="0"/>
          <w:sz w:val="30"/>
          <w:lang w:val="en-US" w:eastAsia="zh-CN"/>
        </w:rPr>
        <w:t>实施政企</w:t>
      </w:r>
      <w:r>
        <w:rPr>
          <w:rFonts w:hint="default" w:ascii="Times New Roman" w:hAnsi="Times New Roman" w:eastAsia="仿宋_GB2312"/>
          <w:b w:val="0"/>
          <w:bCs w:val="0"/>
          <w:sz w:val="30"/>
          <w:lang w:val="en-US" w:eastAsia="zh-CN"/>
        </w:rPr>
        <w:t>“强军计划”</w:t>
      </w:r>
      <w:r>
        <w:rPr>
          <w:rFonts w:hint="eastAsia" w:ascii="Times New Roman" w:hAnsi="Times New Roman" w:eastAsia="仿宋_GB2312"/>
          <w:b w:val="0"/>
          <w:bCs w:val="0"/>
          <w:sz w:val="30"/>
          <w:lang w:val="en-US" w:eastAsia="zh-CN"/>
        </w:rPr>
        <w:t>，</w:t>
      </w:r>
      <w:r>
        <w:rPr>
          <w:rFonts w:hint="default" w:ascii="Times New Roman" w:hAnsi="Times New Roman" w:eastAsia="仿宋_GB2312"/>
          <w:b w:val="0"/>
          <w:bCs w:val="0"/>
          <w:sz w:val="30"/>
          <w:lang w:val="en-US" w:eastAsia="zh-CN"/>
        </w:rPr>
        <w:t>以产能为核心的去职级化薪酬分配，加大客户经理、网格经理弹性薪酬、量化薪酬占比，最大程度激励多劳多得。</w:t>
      </w:r>
    </w:p>
    <w:p w14:paraId="475C19E5">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清欠工作：</w:t>
      </w:r>
      <w:r>
        <w:rPr>
          <w:rFonts w:hint="default" w:ascii="Times New Roman" w:hAnsi="Times New Roman" w:eastAsia="仿宋_GB2312"/>
          <w:b w:val="0"/>
          <w:bCs w:val="0"/>
          <w:sz w:val="30"/>
          <w:lang w:val="en-US" w:eastAsia="zh-CN"/>
        </w:rPr>
        <w:t>作为央企，带头履行支付责任，保障中小企业合法权益。</w:t>
      </w:r>
    </w:p>
    <w:p w14:paraId="0AFD16B8">
      <w:pPr>
        <w:pStyle w:val="2"/>
        <w:pageBreakBefore w:val="0"/>
        <w:kinsoku/>
        <w:wordWrap/>
        <w:overflowPunct/>
        <w:topLinePunct w:val="0"/>
        <w:autoSpaceDE/>
        <w:autoSpaceDN/>
        <w:bidi w:val="0"/>
        <w:adjustRightInd/>
        <w:spacing w:line="560" w:lineRule="exact"/>
        <w:jc w:val="both"/>
        <w:rPr>
          <w:rFonts w:hint="default"/>
        </w:rPr>
      </w:pPr>
    </w:p>
    <w:p w14:paraId="38165046">
      <w:pPr>
        <w:pStyle w:val="3"/>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仿宋_GB2312" w:hAnsi="仿宋_GB2312" w:eastAsia="仿宋_GB2312" w:cs="仿宋_GB2312"/>
          <w:b/>
          <w:bCs/>
          <w:sz w:val="32"/>
          <w:szCs w:val="32"/>
          <w:lang w:bidi="ar-SA"/>
        </w:rPr>
      </w:pPr>
      <w:r>
        <w:rPr>
          <w:rFonts w:hint="eastAsia" w:ascii="仿宋_GB2312" w:hAnsi="仿宋_GB2312" w:eastAsia="仿宋_GB2312" w:cs="仿宋_GB2312"/>
          <w:b/>
          <w:bCs/>
          <w:sz w:val="32"/>
          <w:szCs w:val="32"/>
          <w:lang w:val="en-US" w:eastAsia="zh-CN" w:bidi="ar-SA"/>
        </w:rPr>
        <w:t>五、</w:t>
      </w:r>
      <w:r>
        <w:rPr>
          <w:rFonts w:hint="default" w:ascii="仿宋_GB2312" w:hAnsi="仿宋_GB2312" w:eastAsia="仿宋_GB2312" w:cs="仿宋_GB2312"/>
          <w:b/>
          <w:bCs/>
          <w:sz w:val="32"/>
          <w:szCs w:val="32"/>
          <w:lang w:bidi="ar-SA"/>
        </w:rPr>
        <w:t>进一步扩大高水平对外开放</w:t>
      </w:r>
    </w:p>
    <w:p w14:paraId="769497E2">
      <w:pPr>
        <w:pStyle w:val="4"/>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仿宋_GB2312" w:hAnsi="仿宋_GB2312" w:eastAsia="仿宋_GB2312" w:cs="仿宋_GB2312"/>
          <w:b/>
          <w:bCs/>
          <w:sz w:val="32"/>
          <w:szCs w:val="32"/>
          <w:lang w:bidi="ar-SA"/>
        </w:rPr>
      </w:pPr>
      <w:r>
        <w:rPr>
          <w:rFonts w:hint="eastAsia" w:ascii="仿宋_GB2312" w:hAnsi="仿宋_GB2312" w:eastAsia="仿宋_GB2312" w:cs="仿宋_GB2312"/>
          <w:b/>
          <w:bCs/>
          <w:sz w:val="32"/>
          <w:szCs w:val="32"/>
          <w:lang w:val="en-US" w:eastAsia="zh-CN" w:bidi="ar-SA"/>
        </w:rPr>
        <w:t xml:space="preserve">1. </w:t>
      </w:r>
      <w:r>
        <w:rPr>
          <w:rFonts w:hint="default" w:ascii="仿宋_GB2312" w:hAnsi="仿宋_GB2312" w:eastAsia="仿宋_GB2312" w:cs="仿宋_GB2312"/>
          <w:b/>
          <w:bCs/>
          <w:sz w:val="32"/>
          <w:szCs w:val="32"/>
          <w:lang w:bidi="ar-SA"/>
        </w:rPr>
        <w:t>国家层面</w:t>
      </w:r>
    </w:p>
    <w:p w14:paraId="6827E132">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推动外贸稳规模优结构：</w:t>
      </w:r>
      <w:r>
        <w:rPr>
          <w:rFonts w:hint="default" w:ascii="Times New Roman" w:hAnsi="Times New Roman" w:eastAsia="仿宋_GB2312"/>
          <w:b w:val="0"/>
          <w:bCs w:val="0"/>
          <w:sz w:val="30"/>
          <w:lang w:val="en-US" w:eastAsia="zh-CN"/>
        </w:rPr>
        <w:t>推动跨境电商+海外仓模式扩容升级；发展数字贸易、绿色贸易。</w:t>
      </w:r>
    </w:p>
    <w:p w14:paraId="7D1A0BB1">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扩大双向投资合作</w:t>
      </w:r>
      <w:r>
        <w:rPr>
          <w:rFonts w:hint="eastAsia" w:ascii="Times New Roman" w:hAnsi="Times New Roman" w:eastAsia="仿宋_GB2312"/>
          <w:b/>
          <w:bCs/>
          <w:sz w:val="30"/>
          <w:lang w:val="en-US" w:eastAsia="zh-CN"/>
        </w:rPr>
        <w:t>：</w:t>
      </w:r>
      <w:r>
        <w:rPr>
          <w:rFonts w:hint="eastAsia" w:ascii="Times New Roman" w:hAnsi="Times New Roman" w:eastAsia="仿宋_GB2312"/>
          <w:b w:val="0"/>
          <w:bCs w:val="0"/>
          <w:sz w:val="30"/>
          <w:lang w:val="en-US" w:eastAsia="zh-CN"/>
        </w:rPr>
        <w:t>规范提升各类开发区、园区。</w:t>
      </w:r>
    </w:p>
    <w:p w14:paraId="7D9D2A37">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高质量共建“一带一路”：</w:t>
      </w:r>
      <w:r>
        <w:rPr>
          <w:rFonts w:hint="default" w:ascii="Times New Roman" w:hAnsi="Times New Roman" w:eastAsia="仿宋_GB2312"/>
          <w:b w:val="0"/>
          <w:bCs w:val="0"/>
          <w:sz w:val="30"/>
          <w:lang w:val="en-US" w:eastAsia="zh-CN"/>
        </w:rPr>
        <w:t>统筹推进重大标志性工程和 “小而美”民生项目建设</w:t>
      </w:r>
      <w:r>
        <w:rPr>
          <w:rFonts w:hint="eastAsia" w:ascii="Times New Roman" w:hAnsi="Times New Roman" w:eastAsia="仿宋_GB2312"/>
          <w:b w:val="0"/>
          <w:bCs w:val="0"/>
          <w:sz w:val="30"/>
          <w:lang w:val="en-US" w:eastAsia="zh-CN"/>
        </w:rPr>
        <w:t>；</w:t>
      </w:r>
      <w:r>
        <w:rPr>
          <w:rFonts w:hint="default" w:ascii="Times New Roman" w:hAnsi="Times New Roman" w:eastAsia="仿宋_GB2312"/>
          <w:b w:val="0"/>
          <w:bCs w:val="0"/>
          <w:sz w:val="30"/>
          <w:lang w:val="en-US" w:eastAsia="zh-CN"/>
        </w:rPr>
        <w:t>提升中欧中亚班列发展水平；加快西部陆海新通道建设。</w:t>
      </w:r>
    </w:p>
    <w:p w14:paraId="195E20EE">
      <w:pPr>
        <w:pStyle w:val="4"/>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仿宋_GB2312" w:hAnsi="仿宋_GB2312" w:eastAsia="仿宋_GB2312" w:cs="仿宋_GB2312"/>
          <w:b/>
          <w:bCs/>
          <w:sz w:val="32"/>
          <w:szCs w:val="32"/>
          <w:lang w:val="en-US" w:eastAsia="zh-CN" w:bidi="ar-SA"/>
        </w:rPr>
      </w:pPr>
      <w:r>
        <w:rPr>
          <w:rFonts w:hint="default" w:ascii="仿宋_GB2312" w:hAnsi="仿宋_GB2312" w:eastAsia="仿宋_GB2312" w:cs="仿宋_GB2312"/>
          <w:b/>
          <w:bCs/>
          <w:sz w:val="32"/>
          <w:szCs w:val="32"/>
          <w:lang w:bidi="ar-SA"/>
        </w:rPr>
        <w:t>2. 湖北省</w:t>
      </w:r>
      <w:r>
        <w:rPr>
          <w:rFonts w:hint="eastAsia" w:ascii="仿宋_GB2312" w:hAnsi="仿宋_GB2312" w:eastAsia="仿宋_GB2312" w:cs="仿宋_GB2312"/>
          <w:b/>
          <w:bCs/>
          <w:sz w:val="32"/>
          <w:szCs w:val="32"/>
          <w:lang w:val="en-US" w:eastAsia="zh-CN" w:bidi="ar-SA"/>
        </w:rPr>
        <w:t>工作要点</w:t>
      </w:r>
    </w:p>
    <w:p w14:paraId="1BC99520">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交通枢纽建设：</w:t>
      </w:r>
      <w:r>
        <w:rPr>
          <w:rFonts w:hint="eastAsia" w:ascii="Times New Roman" w:hAnsi="Times New Roman" w:eastAsia="仿宋_GB2312"/>
          <w:b w:val="0"/>
          <w:bCs w:val="0"/>
          <w:sz w:val="30"/>
          <w:lang w:val="en-US" w:eastAsia="zh-CN"/>
        </w:rPr>
        <w:t>支持武汉建设国际性综合交通枢纽，支持襄阳、宜昌、黄冈-鄂州-黄石建设全国性综合交通枢纽；支持武汉、襄阳、宜昌、荆州、十堰、鄂州建设国家物流枢纽城市。</w:t>
      </w:r>
    </w:p>
    <w:p w14:paraId="1218E305">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空港联动：</w:t>
      </w:r>
      <w:r>
        <w:rPr>
          <w:rFonts w:hint="eastAsia" w:ascii="Times New Roman" w:hAnsi="Times New Roman" w:eastAsia="仿宋_GB2312"/>
          <w:b w:val="0"/>
          <w:bCs w:val="0"/>
          <w:sz w:val="30"/>
          <w:lang w:val="en-US" w:eastAsia="zh-CN"/>
        </w:rPr>
        <w:t>推动天河国际机场和花湖国际机场联动发展，努力打造内陆地区最为便捷的立体交通网络。</w:t>
      </w:r>
    </w:p>
    <w:p w14:paraId="5617DD39">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多式联运：</w:t>
      </w:r>
      <w:r>
        <w:rPr>
          <w:rFonts w:hint="eastAsia" w:ascii="Times New Roman" w:hAnsi="Times New Roman" w:eastAsia="仿宋_GB2312"/>
          <w:b w:val="0"/>
          <w:bCs w:val="0"/>
          <w:sz w:val="30"/>
          <w:lang w:val="en-US" w:eastAsia="zh-CN"/>
        </w:rPr>
        <w:t>统筹推进“水铁公空管”五类交通网络互联互通、整合运营。</w:t>
      </w:r>
    </w:p>
    <w:p w14:paraId="7B6893D5">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开放平台：</w:t>
      </w:r>
      <w:r>
        <w:rPr>
          <w:rFonts w:hint="eastAsia" w:ascii="Times New Roman" w:hAnsi="Times New Roman" w:eastAsia="仿宋_GB2312"/>
          <w:b w:val="0"/>
          <w:bCs w:val="0"/>
          <w:sz w:val="30"/>
          <w:lang w:val="en-US" w:eastAsia="zh-CN"/>
        </w:rPr>
        <w:t>高铁通车里程进至全国第5位、实现市市通高铁；亚洲最大专业货运机场花湖国际机场成为内陆“空中出海口”；中欧班列华中区域集结中心打通亚欧陆海联运新通道。</w:t>
      </w:r>
    </w:p>
    <w:p w14:paraId="4A2F8E78">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bCs/>
          <w:sz w:val="30"/>
          <w:lang w:val="en-US" w:eastAsia="zh-CN"/>
        </w:rPr>
      </w:pPr>
      <w:r>
        <w:rPr>
          <w:rFonts w:hint="eastAsia" w:ascii="Times New Roman" w:hAnsi="Times New Roman" w:eastAsia="仿宋_GB2312"/>
          <w:b/>
          <w:bCs/>
          <w:sz w:val="30"/>
          <w:lang w:val="en-US" w:eastAsia="zh-CN"/>
        </w:rPr>
        <w:t>对外开放：</w:t>
      </w:r>
      <w:r>
        <w:rPr>
          <w:rFonts w:hint="eastAsia" w:ascii="Times New Roman" w:hAnsi="Times New Roman" w:eastAsia="仿宋_GB2312"/>
          <w:b w:val="0"/>
          <w:bCs w:val="0"/>
          <w:sz w:val="30"/>
          <w:lang w:val="en-US" w:eastAsia="zh-CN"/>
        </w:rPr>
        <w:t>在鄂投资世界500强企业325家、中部领先；境外经贸合作区达到11个。</w:t>
      </w:r>
    </w:p>
    <w:p w14:paraId="7A7BEE29">
      <w:pPr>
        <w:pStyle w:val="4"/>
        <w:keepNext/>
        <w:keepLines/>
        <w:pageBreakBefore w:val="0"/>
        <w:numPr>
          <w:ilvl w:val="0"/>
          <w:numId w:val="4"/>
        </w:numPr>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eastAsia" w:ascii="仿宋_GB2312" w:hAnsi="仿宋_GB2312" w:eastAsia="仿宋_GB2312" w:cs="仿宋_GB2312"/>
          <w:b/>
          <w:bCs/>
          <w:sz w:val="32"/>
          <w:szCs w:val="32"/>
          <w:lang w:val="en-US" w:eastAsia="zh-CN" w:bidi="ar-SA"/>
        </w:rPr>
      </w:pPr>
      <w:r>
        <w:rPr>
          <w:rFonts w:hint="default" w:ascii="仿宋_GB2312" w:hAnsi="仿宋_GB2312" w:eastAsia="仿宋_GB2312" w:cs="仿宋_GB2312"/>
          <w:b/>
          <w:bCs/>
          <w:sz w:val="32"/>
          <w:szCs w:val="32"/>
          <w:lang w:bidi="ar-SA"/>
        </w:rPr>
        <w:t>湖北</w:t>
      </w:r>
      <w:r>
        <w:rPr>
          <w:rFonts w:hint="eastAsia" w:ascii="仿宋_GB2312" w:hAnsi="仿宋_GB2312" w:eastAsia="仿宋_GB2312" w:cs="仿宋_GB2312"/>
          <w:b/>
          <w:bCs/>
          <w:sz w:val="32"/>
          <w:szCs w:val="32"/>
          <w:lang w:val="en-US" w:eastAsia="zh-CN" w:bidi="ar-SA"/>
        </w:rPr>
        <w:t>移动落实情况</w:t>
      </w:r>
    </w:p>
    <w:p w14:paraId="14C927F1">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外贸稳规模优结构：</w:t>
      </w:r>
      <w:r>
        <w:rPr>
          <w:rFonts w:hint="eastAsia" w:ascii="Times New Roman" w:hAnsi="Times New Roman" w:eastAsia="仿宋_GB2312"/>
          <w:b w:val="0"/>
          <w:bCs w:val="0"/>
          <w:sz w:val="30"/>
          <w:lang w:val="en-US" w:eastAsia="zh-CN"/>
        </w:rPr>
        <w:t>提供IPLC/IEPL专线及SD-WAN融合方案，支持 2Mbps至2.5Gbps 带宽灵活扩容，通过智能路由、多链路备份技术实现低时延（部分场景低至1ms级）、零丢包传输。全程加密防护，搭配7×24小时运维与SLA保障，适配跨境办公、海外直播、金融交易等场景。助力企业全球组网与业务出海。聚焦互联网行业打造AIDC、云游戏、ToO等细分场景拓展方案牵引地市行业拓展。成立AIDC拓展军团，面向头部客户，聚焦AIDC+超大集群训练算力+多区域节点推理算力需求，组建专属商务、交付团队攻坚大项目，面向中腰部和智算产业链客户（湖北省106家人工智能企业目录），以deepseek为契机，针对该客户群体租期短、小规模、价格敏感等特性主推小模型训练及推理场景开展专项攻坚。中标武汉福华德科技有限公司华中算力机房租赁，中标金额2376万、标网安基地第二批次算力项目（350万）等重大项目，实现互联网行业AI领域运营商中标份额100%。</w:t>
      </w:r>
    </w:p>
    <w:p w14:paraId="5F72970A">
      <w:pPr>
        <w:pStyle w:val="2"/>
        <w:keepNext w:val="0"/>
        <w:keepLines w:val="0"/>
        <w:pageBreakBefore w:val="0"/>
        <w:widowControl w:val="0"/>
        <w:kinsoku/>
        <w:wordWrap/>
        <w:overflowPunct/>
        <w:topLinePunct w:val="0"/>
        <w:autoSpaceDE/>
        <w:autoSpaceDN/>
        <w:bidi w:val="0"/>
        <w:adjustRightInd/>
        <w:snapToGrid/>
        <w:spacing w:line="360" w:lineRule="auto"/>
        <w:ind w:firstLine="602" w:firstLineChars="200"/>
        <w:jc w:val="left"/>
        <w:textAlignment w:val="auto"/>
        <w:rPr>
          <w:rFonts w:hint="eastAsia" w:ascii="Times New Roman" w:hAnsi="Times New Roman" w:eastAsia="仿宋_GB2312" w:cstheme="minorBidi"/>
          <w:b w:val="0"/>
          <w:bCs w:val="0"/>
          <w:kern w:val="2"/>
          <w:sz w:val="30"/>
          <w:szCs w:val="24"/>
          <w:lang w:val="en-US" w:eastAsia="zh-CN" w:bidi="ar-SA"/>
        </w:rPr>
      </w:pPr>
      <w:r>
        <w:rPr>
          <w:rFonts w:hint="eastAsia" w:ascii="Times New Roman" w:hAnsi="Times New Roman" w:eastAsia="仿宋_GB2312"/>
          <w:b/>
          <w:bCs/>
          <w:sz w:val="30"/>
          <w:lang w:val="en-US" w:eastAsia="zh-CN"/>
        </w:rPr>
        <w:t>扩大投资合作：</w:t>
      </w:r>
      <w:r>
        <w:rPr>
          <w:rFonts w:hint="eastAsia" w:ascii="Times New Roman" w:hAnsi="Times New Roman" w:eastAsia="仿宋_GB2312" w:cstheme="minorBidi"/>
          <w:b w:val="0"/>
          <w:bCs w:val="0"/>
          <w:kern w:val="2"/>
          <w:sz w:val="30"/>
          <w:szCs w:val="24"/>
          <w:lang w:val="en-US" w:eastAsia="zh-CN" w:bidi="ar-SA"/>
        </w:rPr>
        <w:t>湖北移动联合省内重点园区打造“5G智慧园区”，提供一体化数字基础设施和服务，提升园区管理和产业集群协作效率。以打造“1个实验装置、3大基础设施、N个典型应用”的北斗产业园为总体目标，以下一代5G+北斗PNTCR试验装置为基础，牵引北斗时空子链汇聚合作伙伴，建设北斗产业园区，推进三大基础设施建设，深耕国铁北斗应用，全面支持国铁等行业北斗战略需求。围绕农业现代产业园区、高标准农田和伏羲农场重点农业信息化项目建设，全省摸排储备商机52个，总金额43939万。</w:t>
      </w:r>
    </w:p>
    <w:p w14:paraId="0387B028">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bCs/>
          <w:sz w:val="30"/>
          <w:lang w:val="en-US" w:eastAsia="zh-CN"/>
        </w:rPr>
      </w:pPr>
      <w:r>
        <w:rPr>
          <w:rFonts w:hint="default" w:ascii="Times New Roman" w:hAnsi="Times New Roman" w:eastAsia="仿宋_GB2312"/>
          <w:b/>
          <w:bCs/>
          <w:sz w:val="30"/>
          <w:lang w:val="en-US" w:eastAsia="zh-CN"/>
        </w:rPr>
        <w:t>高质量共建“一带一路”</w:t>
      </w:r>
      <w:r>
        <w:rPr>
          <w:rFonts w:hint="eastAsia" w:ascii="Times New Roman" w:hAnsi="Times New Roman" w:eastAsia="仿宋_GB2312"/>
          <w:b/>
          <w:bCs/>
          <w:sz w:val="30"/>
          <w:lang w:val="en-US" w:eastAsia="zh-CN"/>
        </w:rPr>
        <w:t>：</w:t>
      </w:r>
    </w:p>
    <w:p w14:paraId="3C501DB8">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（1）交通枢纽提能升级</w:t>
      </w:r>
      <w:r>
        <w:rPr>
          <w:rFonts w:hint="default" w:ascii="Times New Roman" w:hAnsi="Times New Roman" w:eastAsia="仿宋_GB2312"/>
          <w:b/>
          <w:bCs/>
          <w:sz w:val="30"/>
          <w:lang w:val="en-US" w:eastAsia="zh-CN"/>
        </w:rPr>
        <w:t>：</w:t>
      </w:r>
      <w:r>
        <w:rPr>
          <w:rFonts w:hint="default" w:ascii="Times New Roman" w:hAnsi="Times New Roman" w:eastAsia="仿宋_GB2312"/>
          <w:b w:val="0"/>
          <w:bCs w:val="0"/>
          <w:sz w:val="30"/>
          <w:lang w:val="en-US" w:eastAsia="zh-CN"/>
        </w:rPr>
        <w:t>完成京广高铁、汉宜铁路等超1700公里高铁线路5G网络覆盖；沪渝蓉沿江高铁武汉至宜昌段实现5G信号全线高质量覆盖。主导建设国内首条全线5G专网覆盖的武汉地铁19号线，实现高清视频调度与实时运营管控</w:t>
      </w:r>
      <w:r>
        <w:rPr>
          <w:rFonts w:hint="eastAsia" w:ascii="Times New Roman" w:hAnsi="Times New Roman" w:eastAsia="仿宋_GB2312"/>
          <w:b w:val="0"/>
          <w:bCs w:val="0"/>
          <w:sz w:val="30"/>
          <w:lang w:val="en-US" w:eastAsia="zh-CN"/>
        </w:rPr>
        <w:t>。</w:t>
      </w:r>
      <w:r>
        <w:rPr>
          <w:rFonts w:hint="default" w:ascii="Times New Roman" w:hAnsi="Times New Roman" w:eastAsia="仿宋_GB2312"/>
          <w:b w:val="0"/>
          <w:bCs w:val="0"/>
          <w:sz w:val="30"/>
          <w:lang w:val="en-US" w:eastAsia="zh-CN"/>
        </w:rPr>
        <w:t>携手国网电力鄂州供电共同打造“5G智慧停车”平台，推动鄂州市停车场智慧化升级，有效提升市民出行的灵活度和便捷度。</w:t>
      </w:r>
    </w:p>
    <w:p w14:paraId="61E5A78F">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（2）</w:t>
      </w:r>
      <w:r>
        <w:rPr>
          <w:rFonts w:hint="default" w:ascii="Times New Roman" w:hAnsi="Times New Roman" w:eastAsia="仿宋_GB2312"/>
          <w:b/>
          <w:bCs/>
          <w:sz w:val="30"/>
          <w:lang w:val="en-US" w:eastAsia="zh-CN"/>
        </w:rPr>
        <w:t>长江航运数字化：</w:t>
      </w:r>
      <w:r>
        <w:rPr>
          <w:rFonts w:hint="default" w:ascii="Times New Roman" w:hAnsi="Times New Roman" w:eastAsia="仿宋_GB2312"/>
          <w:b w:val="0"/>
          <w:bCs w:val="0"/>
          <w:sz w:val="30"/>
          <w:lang w:val="en-US" w:eastAsia="zh-CN"/>
        </w:rPr>
        <w:t>牵头6省2市建设“长江新链”，建成全球首个内河航运5G-A通感一体网络——“长江新链”，</w:t>
      </w:r>
      <w:r>
        <w:rPr>
          <w:rFonts w:hint="eastAsia" w:ascii="Times New Roman" w:hAnsi="Times New Roman" w:eastAsia="仿宋_GB2312"/>
          <w:b w:val="0"/>
          <w:bCs w:val="0"/>
          <w:sz w:val="30"/>
          <w:lang w:val="en-US" w:eastAsia="zh-CN"/>
        </w:rPr>
        <w:t>实现</w:t>
      </w:r>
      <w:r>
        <w:rPr>
          <w:rFonts w:hint="default" w:ascii="Times New Roman" w:hAnsi="Times New Roman" w:eastAsia="仿宋_GB2312"/>
          <w:b w:val="0"/>
          <w:bCs w:val="0"/>
          <w:sz w:val="30"/>
          <w:lang w:val="en-US" w:eastAsia="zh-CN"/>
        </w:rPr>
        <w:t>长江干线航道2838公里沿线5G全覆盖</w:t>
      </w:r>
      <w:r>
        <w:rPr>
          <w:rFonts w:hint="eastAsia" w:ascii="Times New Roman" w:hAnsi="Times New Roman" w:eastAsia="仿宋_GB2312"/>
          <w:b w:val="0"/>
          <w:bCs w:val="0"/>
          <w:sz w:val="30"/>
          <w:lang w:val="en-US" w:eastAsia="zh-CN"/>
        </w:rPr>
        <w:t>，</w:t>
      </w:r>
      <w:r>
        <w:rPr>
          <w:rFonts w:hint="default" w:ascii="Times New Roman" w:hAnsi="Times New Roman" w:eastAsia="仿宋_GB2312"/>
          <w:b w:val="0"/>
          <w:bCs w:val="0"/>
          <w:sz w:val="30"/>
          <w:lang w:val="en-US" w:eastAsia="zh-CN"/>
        </w:rPr>
        <w:t>服务长江经济带</w:t>
      </w:r>
      <w:r>
        <w:rPr>
          <w:rFonts w:hint="eastAsia" w:ascii="Times New Roman" w:hAnsi="Times New Roman" w:eastAsia="仿宋_GB2312"/>
          <w:b w:val="0"/>
          <w:bCs w:val="0"/>
          <w:sz w:val="30"/>
          <w:lang w:val="en-US" w:eastAsia="zh-CN"/>
        </w:rPr>
        <w:t>高质量</w:t>
      </w:r>
      <w:r>
        <w:rPr>
          <w:rFonts w:hint="default" w:ascii="Times New Roman" w:hAnsi="Times New Roman" w:eastAsia="仿宋_GB2312"/>
          <w:b w:val="0"/>
          <w:bCs w:val="0"/>
          <w:sz w:val="30"/>
          <w:lang w:val="en-US" w:eastAsia="zh-CN"/>
        </w:rPr>
        <w:t>发展。</w:t>
      </w:r>
    </w:p>
    <w:p w14:paraId="5B91C52B">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（3）</w:t>
      </w:r>
      <w:r>
        <w:rPr>
          <w:rFonts w:hint="default" w:ascii="Times New Roman" w:hAnsi="Times New Roman" w:eastAsia="仿宋_GB2312"/>
          <w:b/>
          <w:bCs/>
          <w:sz w:val="30"/>
          <w:lang w:val="en-US" w:eastAsia="zh-CN"/>
        </w:rPr>
        <w:t>低空经济布局：</w:t>
      </w:r>
      <w:r>
        <w:rPr>
          <w:rFonts w:hint="default" w:ascii="Times New Roman" w:hAnsi="Times New Roman" w:eastAsia="仿宋_GB2312"/>
          <w:b w:val="0"/>
          <w:bCs w:val="0"/>
          <w:sz w:val="30"/>
          <w:lang w:val="en-US" w:eastAsia="zh-CN"/>
        </w:rPr>
        <w:t>开通花湖机场到武汉城区大载重无人机低空物流示范航线，构建“空空联运”物流体系；在长江航道、汉南通航产业园、鄂州花湖机场等地部署5G-A通感一体网络，打造低空经济示范的“荆楚样板”</w:t>
      </w:r>
      <w:r>
        <w:rPr>
          <w:rFonts w:hint="eastAsia" w:ascii="Times New Roman" w:hAnsi="Times New Roman" w:eastAsia="仿宋_GB2312"/>
          <w:b w:val="0"/>
          <w:bCs w:val="0"/>
          <w:sz w:val="30"/>
          <w:lang w:val="en-US" w:eastAsia="zh-CN"/>
        </w:rPr>
        <w:t>。</w:t>
      </w:r>
    </w:p>
    <w:p w14:paraId="7192A239">
      <w:pPr>
        <w:pStyle w:val="2"/>
        <w:pageBreakBefore w:val="0"/>
        <w:kinsoku/>
        <w:wordWrap/>
        <w:overflowPunct/>
        <w:topLinePunct w:val="0"/>
        <w:autoSpaceDE/>
        <w:autoSpaceDN/>
        <w:bidi w:val="0"/>
        <w:adjustRightInd/>
        <w:spacing w:line="560" w:lineRule="exact"/>
        <w:rPr>
          <w:rFonts w:hint="default"/>
        </w:rPr>
      </w:pPr>
    </w:p>
    <w:p w14:paraId="00CA84CA">
      <w:pPr>
        <w:pStyle w:val="3"/>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仿宋_GB2312" w:hAnsi="仿宋_GB2312" w:eastAsia="仿宋_GB2312" w:cs="仿宋_GB2312"/>
          <w:b/>
          <w:bCs/>
          <w:sz w:val="32"/>
          <w:szCs w:val="32"/>
          <w:lang w:bidi="ar-SA"/>
        </w:rPr>
      </w:pPr>
      <w:r>
        <w:rPr>
          <w:rFonts w:hint="eastAsia" w:ascii="仿宋_GB2312" w:hAnsi="仿宋_GB2312" w:eastAsia="仿宋_GB2312" w:cs="仿宋_GB2312"/>
          <w:b/>
          <w:bCs/>
          <w:sz w:val="32"/>
          <w:szCs w:val="32"/>
          <w:lang w:val="en-US" w:eastAsia="zh-CN" w:bidi="ar-SA"/>
        </w:rPr>
        <w:t>六、</w:t>
      </w:r>
      <w:r>
        <w:rPr>
          <w:rFonts w:hint="default" w:ascii="仿宋_GB2312" w:hAnsi="仿宋_GB2312" w:eastAsia="仿宋_GB2312" w:cs="仿宋_GB2312"/>
          <w:b/>
          <w:bCs/>
          <w:sz w:val="32"/>
          <w:szCs w:val="32"/>
          <w:lang w:bidi="ar-SA"/>
        </w:rPr>
        <w:t>扎实推进乡村全面振兴</w:t>
      </w:r>
    </w:p>
    <w:p w14:paraId="2DEE73D7">
      <w:pPr>
        <w:pStyle w:val="4"/>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仿宋_GB2312" w:hAnsi="仿宋_GB2312" w:eastAsia="仿宋_GB2312" w:cs="仿宋_GB2312"/>
          <w:b/>
          <w:bCs/>
          <w:sz w:val="32"/>
          <w:szCs w:val="32"/>
          <w:lang w:bidi="ar-SA"/>
        </w:rPr>
      </w:pPr>
      <w:r>
        <w:rPr>
          <w:rFonts w:hint="eastAsia" w:ascii="仿宋_GB2312" w:hAnsi="仿宋_GB2312" w:eastAsia="仿宋_GB2312" w:cs="仿宋_GB2312"/>
          <w:b/>
          <w:bCs/>
          <w:sz w:val="32"/>
          <w:szCs w:val="32"/>
          <w:lang w:val="en-US" w:eastAsia="zh-CN" w:bidi="ar-SA"/>
        </w:rPr>
        <w:t xml:space="preserve">1. </w:t>
      </w:r>
      <w:r>
        <w:rPr>
          <w:rFonts w:hint="default" w:ascii="仿宋_GB2312" w:hAnsi="仿宋_GB2312" w:eastAsia="仿宋_GB2312" w:cs="仿宋_GB2312"/>
          <w:b/>
          <w:bCs/>
          <w:sz w:val="32"/>
          <w:szCs w:val="32"/>
          <w:lang w:bidi="ar-SA"/>
        </w:rPr>
        <w:t>国家层面</w:t>
      </w:r>
    </w:p>
    <w:p w14:paraId="7DD003DC">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毫不放松抓好粮食生产：</w:t>
      </w:r>
      <w:r>
        <w:rPr>
          <w:rFonts w:hint="default" w:ascii="Times New Roman" w:hAnsi="Times New Roman" w:eastAsia="仿宋_GB2312"/>
          <w:b w:val="0"/>
          <w:bCs w:val="0"/>
          <w:sz w:val="30"/>
          <w:lang w:val="en-US" w:eastAsia="zh-CN"/>
        </w:rPr>
        <w:t>严守耕地红线</w:t>
      </w:r>
      <w:r>
        <w:rPr>
          <w:rFonts w:hint="eastAsia" w:ascii="Times New Roman" w:hAnsi="Times New Roman" w:eastAsia="仿宋_GB2312"/>
          <w:b w:val="0"/>
          <w:bCs w:val="0"/>
          <w:sz w:val="30"/>
          <w:lang w:val="en-US" w:eastAsia="zh-CN"/>
        </w:rPr>
        <w:t>，高质量推进高标准农田建设</w:t>
      </w:r>
      <w:r>
        <w:rPr>
          <w:rFonts w:hint="default" w:ascii="Times New Roman" w:hAnsi="Times New Roman" w:eastAsia="仿宋_GB2312"/>
          <w:b w:val="0"/>
          <w:bCs w:val="0"/>
          <w:sz w:val="30"/>
          <w:lang w:val="en-US" w:eastAsia="zh-CN"/>
        </w:rPr>
        <w:t>；提高农业综合防灾减灾能力</w:t>
      </w:r>
      <w:r>
        <w:rPr>
          <w:rFonts w:hint="eastAsia" w:ascii="Times New Roman" w:hAnsi="Times New Roman" w:eastAsia="仿宋_GB2312"/>
          <w:b w:val="0"/>
          <w:bCs w:val="0"/>
          <w:sz w:val="30"/>
          <w:lang w:val="en-US" w:eastAsia="zh-CN"/>
        </w:rPr>
        <w:t>；</w:t>
      </w:r>
      <w:r>
        <w:rPr>
          <w:rFonts w:hint="default" w:ascii="Times New Roman" w:hAnsi="Times New Roman" w:eastAsia="仿宋_GB2312"/>
          <w:b w:val="0"/>
          <w:bCs w:val="0"/>
          <w:sz w:val="30"/>
          <w:lang w:val="en-US" w:eastAsia="zh-CN"/>
        </w:rPr>
        <w:t>推进先进适用农机装备研发应用</w:t>
      </w:r>
      <w:r>
        <w:rPr>
          <w:rFonts w:hint="eastAsia" w:ascii="Times New Roman" w:hAnsi="Times New Roman" w:eastAsia="仿宋_GB2312"/>
          <w:b w:val="0"/>
          <w:bCs w:val="0"/>
          <w:sz w:val="30"/>
          <w:lang w:val="en-US" w:eastAsia="zh-CN"/>
        </w:rPr>
        <w:t>，</w:t>
      </w:r>
      <w:r>
        <w:rPr>
          <w:rFonts w:hint="default" w:ascii="Times New Roman" w:hAnsi="Times New Roman" w:eastAsia="仿宋_GB2312"/>
          <w:b w:val="0"/>
          <w:bCs w:val="0"/>
          <w:sz w:val="30"/>
          <w:lang w:val="en-US" w:eastAsia="zh-CN"/>
        </w:rPr>
        <w:t xml:space="preserve">打通农业科技推广 </w:t>
      </w:r>
      <w:r>
        <w:rPr>
          <w:rFonts w:hint="eastAsia" w:ascii="Times New Roman" w:hAnsi="Times New Roman" w:eastAsia="仿宋_GB2312"/>
          <w:b w:val="0"/>
          <w:bCs w:val="0"/>
          <w:sz w:val="30"/>
          <w:lang w:val="en-US" w:eastAsia="zh-CN"/>
        </w:rPr>
        <w:t>“</w:t>
      </w:r>
      <w:r>
        <w:rPr>
          <w:rFonts w:hint="default" w:ascii="Times New Roman" w:hAnsi="Times New Roman" w:eastAsia="仿宋_GB2312"/>
          <w:b w:val="0"/>
          <w:bCs w:val="0"/>
          <w:sz w:val="30"/>
          <w:lang w:val="en-US" w:eastAsia="zh-CN"/>
        </w:rPr>
        <w:t>最后一公里</w:t>
      </w:r>
      <w:r>
        <w:rPr>
          <w:rFonts w:hint="eastAsia" w:ascii="Times New Roman" w:hAnsi="Times New Roman" w:eastAsia="仿宋_GB2312"/>
          <w:b w:val="0"/>
          <w:bCs w:val="0"/>
          <w:sz w:val="30"/>
          <w:lang w:val="en-US" w:eastAsia="zh-CN"/>
        </w:rPr>
        <w:t>”。</w:t>
      </w:r>
    </w:p>
    <w:p w14:paraId="61926F29">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实施常态化精准帮扶：</w:t>
      </w:r>
      <w:r>
        <w:rPr>
          <w:rFonts w:hint="default" w:ascii="Times New Roman" w:hAnsi="Times New Roman" w:eastAsia="仿宋_GB2312"/>
          <w:b w:val="0"/>
          <w:bCs w:val="0"/>
          <w:sz w:val="30"/>
          <w:lang w:val="en-US" w:eastAsia="zh-CN"/>
        </w:rPr>
        <w:t>持续巩固拓展脱贫攻坚成果；提高产业、就业等开发式帮扶实效。</w:t>
      </w:r>
    </w:p>
    <w:p w14:paraId="5E78E8C2">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持续推进农村改革发展：</w:t>
      </w:r>
      <w:r>
        <w:rPr>
          <w:rFonts w:hint="default" w:ascii="Times New Roman" w:hAnsi="Times New Roman" w:eastAsia="仿宋_GB2312"/>
          <w:b w:val="0"/>
          <w:bCs w:val="0"/>
          <w:sz w:val="30"/>
          <w:lang w:val="en-US" w:eastAsia="zh-CN"/>
        </w:rPr>
        <w:t>深化农文旅融合发展；培育壮大乡村特色产业</w:t>
      </w:r>
      <w:r>
        <w:rPr>
          <w:rFonts w:hint="eastAsia" w:ascii="Times New Roman" w:hAnsi="Times New Roman" w:eastAsia="仿宋_GB2312"/>
          <w:b w:val="0"/>
          <w:bCs w:val="0"/>
          <w:sz w:val="30"/>
          <w:lang w:val="en-US" w:eastAsia="zh-CN"/>
        </w:rPr>
        <w:t>，</w:t>
      </w:r>
      <w:r>
        <w:rPr>
          <w:rFonts w:hint="default" w:ascii="Times New Roman" w:hAnsi="Times New Roman" w:eastAsia="仿宋_GB2312"/>
          <w:b w:val="0"/>
          <w:bCs w:val="0"/>
          <w:sz w:val="30"/>
          <w:lang w:val="en-US" w:eastAsia="zh-CN"/>
        </w:rPr>
        <w:t>提高农产品精深加工水平</w:t>
      </w:r>
      <w:r>
        <w:rPr>
          <w:rFonts w:hint="eastAsia" w:ascii="Times New Roman" w:hAnsi="Times New Roman" w:eastAsia="仿宋_GB2312"/>
          <w:b w:val="0"/>
          <w:bCs w:val="0"/>
          <w:sz w:val="30"/>
          <w:lang w:val="en-US" w:eastAsia="zh-CN"/>
        </w:rPr>
        <w:t>，</w:t>
      </w:r>
      <w:r>
        <w:rPr>
          <w:rFonts w:hint="default" w:ascii="Times New Roman" w:hAnsi="Times New Roman" w:eastAsia="仿宋_GB2312"/>
          <w:b w:val="0"/>
          <w:bCs w:val="0"/>
          <w:sz w:val="30"/>
          <w:lang w:val="en-US" w:eastAsia="zh-CN"/>
        </w:rPr>
        <w:t>发展林下经济,完善联农带农机制</w:t>
      </w:r>
      <w:r>
        <w:rPr>
          <w:rFonts w:hint="eastAsia" w:ascii="Times New Roman" w:hAnsi="Times New Roman" w:eastAsia="仿宋_GB2312"/>
          <w:b w:val="0"/>
          <w:bCs w:val="0"/>
          <w:sz w:val="30"/>
          <w:lang w:val="en-US" w:eastAsia="zh-CN"/>
        </w:rPr>
        <w:t>，</w:t>
      </w:r>
      <w:r>
        <w:rPr>
          <w:rFonts w:hint="default" w:ascii="Times New Roman" w:hAnsi="Times New Roman" w:eastAsia="仿宋_GB2312"/>
          <w:b w:val="0"/>
          <w:bCs w:val="0"/>
          <w:sz w:val="30"/>
          <w:lang w:val="en-US" w:eastAsia="zh-CN"/>
        </w:rPr>
        <w:t>促进农民稳定增收</w:t>
      </w:r>
      <w:r>
        <w:rPr>
          <w:rFonts w:hint="eastAsia" w:ascii="Times New Roman" w:hAnsi="Times New Roman" w:eastAsia="仿宋_GB2312"/>
          <w:b w:val="0"/>
          <w:bCs w:val="0"/>
          <w:sz w:val="30"/>
          <w:lang w:val="en-US" w:eastAsia="zh-CN"/>
        </w:rPr>
        <w:t>；</w:t>
      </w:r>
      <w:r>
        <w:rPr>
          <w:rFonts w:hint="default" w:ascii="Times New Roman" w:hAnsi="Times New Roman" w:eastAsia="仿宋_GB2312"/>
          <w:b w:val="0"/>
          <w:bCs w:val="0"/>
          <w:sz w:val="30"/>
          <w:lang w:val="en-US" w:eastAsia="zh-CN"/>
        </w:rPr>
        <w:t>整治提升农村人居环境</w:t>
      </w:r>
      <w:r>
        <w:rPr>
          <w:rFonts w:hint="eastAsia" w:ascii="Times New Roman" w:hAnsi="Times New Roman" w:eastAsia="仿宋_GB2312"/>
          <w:b w:val="0"/>
          <w:bCs w:val="0"/>
          <w:sz w:val="30"/>
          <w:lang w:val="en-US" w:eastAsia="zh-CN"/>
        </w:rPr>
        <w:t>，推进宜居宜业和美乡村建设</w:t>
      </w:r>
      <w:r>
        <w:rPr>
          <w:rFonts w:hint="default" w:ascii="Times New Roman" w:hAnsi="Times New Roman" w:eastAsia="仿宋_GB2312"/>
          <w:b w:val="0"/>
          <w:bCs w:val="0"/>
          <w:sz w:val="30"/>
          <w:lang w:val="en-US" w:eastAsia="zh-CN"/>
        </w:rPr>
        <w:t>。</w:t>
      </w:r>
    </w:p>
    <w:p w14:paraId="31D3767B">
      <w:pPr>
        <w:pStyle w:val="4"/>
        <w:keepNext/>
        <w:keepLines/>
        <w:pageBreakBefore w:val="0"/>
        <w:numPr>
          <w:ilvl w:val="0"/>
          <w:numId w:val="5"/>
        </w:numPr>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eastAsia" w:ascii="仿宋_GB2312" w:hAnsi="仿宋_GB2312" w:eastAsia="仿宋_GB2312" w:cs="仿宋_GB2312"/>
          <w:b/>
          <w:bCs/>
          <w:sz w:val="32"/>
          <w:szCs w:val="32"/>
          <w:lang w:val="en-US" w:eastAsia="zh-CN" w:bidi="ar-SA"/>
        </w:rPr>
      </w:pPr>
      <w:r>
        <w:rPr>
          <w:rFonts w:hint="eastAsia" w:ascii="仿宋_GB2312" w:hAnsi="仿宋_GB2312" w:eastAsia="仿宋_GB2312" w:cs="仿宋_GB2312"/>
          <w:b/>
          <w:bCs/>
          <w:sz w:val="32"/>
          <w:szCs w:val="32"/>
          <w:lang w:val="en-US" w:eastAsia="zh-CN" w:bidi="ar-SA"/>
        </w:rPr>
        <w:t xml:space="preserve"> </w:t>
      </w:r>
      <w:r>
        <w:rPr>
          <w:rFonts w:hint="default" w:ascii="仿宋_GB2312" w:hAnsi="仿宋_GB2312" w:eastAsia="仿宋_GB2312" w:cs="仿宋_GB2312"/>
          <w:b/>
          <w:bCs/>
          <w:sz w:val="32"/>
          <w:szCs w:val="32"/>
          <w:lang w:bidi="ar-SA"/>
        </w:rPr>
        <w:t>湖北省</w:t>
      </w:r>
      <w:r>
        <w:rPr>
          <w:rFonts w:hint="eastAsia" w:ascii="仿宋_GB2312" w:hAnsi="仿宋_GB2312" w:eastAsia="仿宋_GB2312" w:cs="仿宋_GB2312"/>
          <w:b/>
          <w:bCs/>
          <w:sz w:val="32"/>
          <w:szCs w:val="32"/>
          <w:lang w:val="en-US" w:eastAsia="zh-CN" w:bidi="ar-SA"/>
        </w:rPr>
        <w:t>工作要点</w:t>
      </w:r>
    </w:p>
    <w:p w14:paraId="6DB15BD9">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打造新时代“鱼米之乡”：</w:t>
      </w:r>
      <w:r>
        <w:rPr>
          <w:rFonts w:hint="eastAsia" w:ascii="Times New Roman" w:hAnsi="Times New Roman" w:eastAsia="仿宋_GB2312"/>
          <w:b w:val="0"/>
          <w:bCs w:val="0"/>
          <w:sz w:val="30"/>
          <w:lang w:val="en-US" w:eastAsia="zh-CN"/>
        </w:rPr>
        <w:t>打造新时代“鱼米之乡”；建设高标准农田200万亩以上；粮食总产量继续保持500亿斤以上。</w:t>
      </w:r>
    </w:p>
    <w:p w14:paraId="34D0DABB">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农村公共服务：</w:t>
      </w:r>
      <w:r>
        <w:rPr>
          <w:rFonts w:hint="eastAsia" w:ascii="Times New Roman" w:hAnsi="Times New Roman" w:eastAsia="仿宋_GB2312"/>
          <w:b w:val="0"/>
          <w:bCs w:val="0"/>
          <w:sz w:val="30"/>
          <w:lang w:val="en-US" w:eastAsia="zh-CN"/>
        </w:rPr>
        <w:t>农村寄递物流、充电桩、5G网络、四好农村路实现“四个全覆盖”。</w:t>
      </w:r>
    </w:p>
    <w:p w14:paraId="3068E803">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智慧农业：</w:t>
      </w:r>
      <w:r>
        <w:rPr>
          <w:rFonts w:hint="eastAsia" w:ascii="Times New Roman" w:hAnsi="Times New Roman" w:eastAsia="仿宋_GB2312"/>
          <w:b w:val="0"/>
          <w:bCs w:val="0"/>
          <w:sz w:val="30"/>
          <w:lang w:val="en-US" w:eastAsia="zh-CN"/>
        </w:rPr>
        <w:t>深入实施“数商兴农”和“互联网+”农产品出村进城工程。</w:t>
      </w:r>
    </w:p>
    <w:p w14:paraId="7230B56B">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乡村振兴示范：</w:t>
      </w:r>
      <w:r>
        <w:rPr>
          <w:rFonts w:hint="eastAsia" w:ascii="Times New Roman" w:hAnsi="Times New Roman" w:eastAsia="仿宋_GB2312"/>
          <w:b w:val="0"/>
          <w:bCs w:val="0"/>
          <w:sz w:val="30"/>
          <w:lang w:val="en-US" w:eastAsia="zh-CN"/>
        </w:rPr>
        <w:t>赤壁、恩施等14个县市获批创建国家乡村振兴示范县，湖北在国家脱贫攻坚年度考核评估中实现“九连好”。</w:t>
      </w:r>
    </w:p>
    <w:p w14:paraId="79B665B0">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提升农村人居环境：</w:t>
      </w:r>
      <w:r>
        <w:rPr>
          <w:rFonts w:hint="eastAsia" w:ascii="Times New Roman" w:hAnsi="Times New Roman" w:eastAsia="仿宋_GB2312"/>
          <w:b w:val="0"/>
          <w:bCs w:val="0"/>
          <w:sz w:val="30"/>
          <w:lang w:val="en-US" w:eastAsia="zh-CN"/>
        </w:rPr>
        <w:t>完成1500个行政村环境整治；新增改善120万农村人口供水条件；新增农村照明路灯2万个。</w:t>
      </w:r>
    </w:p>
    <w:p w14:paraId="5E8348C5">
      <w:pPr>
        <w:pStyle w:val="4"/>
        <w:keepNext/>
        <w:keepLines/>
        <w:pageBreakBefore w:val="0"/>
        <w:numPr>
          <w:ilvl w:val="0"/>
          <w:numId w:val="5"/>
        </w:numPr>
        <w:kinsoku/>
        <w:wordWrap/>
        <w:overflowPunct/>
        <w:topLinePunct w:val="0"/>
        <w:autoSpaceDE/>
        <w:autoSpaceDN/>
        <w:bidi w:val="0"/>
        <w:adjustRightInd/>
        <w:snapToGrid/>
        <w:spacing w:before="0" w:beforeAutospacing="0" w:after="0" w:afterAutospacing="0" w:line="560" w:lineRule="exact"/>
        <w:ind w:left="0" w:leftChars="0" w:firstLine="640" w:firstLineChars="0"/>
        <w:jc w:val="both"/>
        <w:textAlignment w:val="auto"/>
        <w:outlineLvl w:val="0"/>
        <w:rPr>
          <w:rFonts w:hint="eastAsia" w:ascii="仿宋_GB2312" w:hAnsi="仿宋_GB2312" w:eastAsia="仿宋_GB2312" w:cs="仿宋_GB2312"/>
          <w:b/>
          <w:bCs/>
          <w:sz w:val="32"/>
          <w:szCs w:val="32"/>
          <w:lang w:val="en-US" w:eastAsia="zh-CN" w:bidi="ar-SA"/>
        </w:rPr>
      </w:pPr>
      <w:r>
        <w:rPr>
          <w:rFonts w:hint="default" w:ascii="仿宋_GB2312" w:hAnsi="仿宋_GB2312" w:eastAsia="仿宋_GB2312" w:cs="仿宋_GB2312"/>
          <w:b/>
          <w:bCs/>
          <w:sz w:val="32"/>
          <w:szCs w:val="32"/>
          <w:lang w:bidi="ar-SA"/>
        </w:rPr>
        <w:t>湖北</w:t>
      </w:r>
      <w:r>
        <w:rPr>
          <w:rFonts w:hint="eastAsia" w:ascii="仿宋_GB2312" w:hAnsi="仿宋_GB2312" w:eastAsia="仿宋_GB2312" w:cs="仿宋_GB2312"/>
          <w:b/>
          <w:bCs/>
          <w:sz w:val="32"/>
          <w:szCs w:val="32"/>
          <w:lang w:val="en-US" w:eastAsia="zh-CN" w:bidi="ar-SA"/>
        </w:rPr>
        <w:t>移动落实情况</w:t>
      </w:r>
    </w:p>
    <w:p w14:paraId="180B534A">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lang w:val="en-US" w:eastAsia="zh-CN"/>
        </w:rPr>
      </w:pPr>
      <w:r>
        <w:rPr>
          <w:rFonts w:hint="eastAsia" w:ascii="Times New Roman" w:hAnsi="Times New Roman" w:eastAsia="仿宋_GB2312"/>
          <w:b w:val="0"/>
          <w:bCs w:val="0"/>
          <w:sz w:val="30"/>
          <w:lang w:val="en-US" w:eastAsia="zh-CN"/>
        </w:rPr>
        <w:t>服务集团农业客户11708家。2025年，全省智慧农业中标项目金额10790万，超过2024年全年中标金额86%。中标大项目25个，其中300万以上大单10个。2024年度被集团公司授予“集团农商行业十佳市场代表二等奖”等2项集团奖励；</w:t>
      </w:r>
      <w:r>
        <w:rPr>
          <w:rFonts w:hint="default" w:ascii="Times New Roman" w:hAnsi="Times New Roman" w:eastAsia="仿宋_GB2312"/>
          <w:b w:val="0"/>
          <w:bCs w:val="0"/>
          <w:sz w:val="30"/>
          <w:lang w:val="en-US" w:eastAsia="zh-CN"/>
        </w:rPr>
        <w:t>2025年5G+地质灾害综合监测等2个项目获绽放杯全国奖项</w:t>
      </w:r>
      <w:r>
        <w:rPr>
          <w:rFonts w:hint="eastAsia" w:ascii="Times New Roman" w:hAnsi="Times New Roman" w:eastAsia="仿宋_GB2312"/>
          <w:b w:val="0"/>
          <w:bCs w:val="0"/>
          <w:sz w:val="30"/>
          <w:lang w:val="en-US" w:eastAsia="zh-CN"/>
        </w:rPr>
        <w:t>。</w:t>
      </w:r>
    </w:p>
    <w:p w14:paraId="0AF8F527">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bCs/>
          <w:sz w:val="30"/>
          <w:lang w:val="en-US" w:eastAsia="zh-CN"/>
        </w:rPr>
      </w:pPr>
      <w:r>
        <w:rPr>
          <w:rFonts w:hint="eastAsia" w:ascii="Times New Roman" w:hAnsi="Times New Roman" w:eastAsia="仿宋_GB2312"/>
          <w:b/>
          <w:bCs/>
          <w:sz w:val="30"/>
          <w:lang w:val="en-US" w:eastAsia="zh-CN"/>
        </w:rPr>
        <w:t>粮食生产数智化:</w:t>
      </w:r>
    </w:p>
    <w:p w14:paraId="3110FA89">
      <w:pPr>
        <w:keepNext w:val="0"/>
        <w:keepLines w:val="0"/>
        <w:pageBreakBefore w:val="0"/>
        <w:widowControl w:val="0"/>
        <w:numPr>
          <w:ilvl w:val="0"/>
          <w:numId w:val="6"/>
        </w:numPr>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高标准农田：</w:t>
      </w:r>
      <w:r>
        <w:rPr>
          <w:rFonts w:hint="eastAsia" w:ascii="Times New Roman" w:hAnsi="Times New Roman" w:eastAsia="仿宋_GB2312"/>
          <w:b w:val="0"/>
          <w:bCs w:val="0"/>
          <w:sz w:val="30"/>
          <w:lang w:val="en-US" w:eastAsia="zh-CN"/>
        </w:rPr>
        <w:t>在孝昌县建成高标准农田智慧农业先行示范区，搭建智慧农业云平台，集可视化农业监控系统、水肥一体化灌溉系统、病虫害监测预警等功能于一体，全面提升当地农田种植的机械化、智能化水平；为随县姚庙村高标准农田打造“四情监测”平台，农田抗灾减灾能力显著提升，水肥利用率提高30%以上，预计每年可助力粮食增产5%-10%。</w:t>
      </w:r>
    </w:p>
    <w:p w14:paraId="138DBE3D">
      <w:pPr>
        <w:keepNext w:val="0"/>
        <w:keepLines w:val="0"/>
        <w:pageBreakBefore w:val="0"/>
        <w:widowControl w:val="0"/>
        <w:numPr>
          <w:ilvl w:val="0"/>
          <w:numId w:val="6"/>
        </w:numPr>
        <w:kinsoku/>
        <w:wordWrap/>
        <w:overflowPunct/>
        <w:topLinePunct w:val="0"/>
        <w:autoSpaceDE/>
        <w:autoSpaceDN/>
        <w:bidi w:val="0"/>
        <w:adjustRightInd/>
        <w:snapToGrid/>
        <w:spacing w:line="560" w:lineRule="exact"/>
        <w:ind w:left="0" w:leftChars="0" w:firstLine="602" w:firstLineChars="200"/>
        <w:textAlignment w:val="auto"/>
        <w:rPr>
          <w:rFonts w:hint="default" w:ascii="Times New Roman" w:hAnsi="Times New Roman" w:eastAsia="仿宋_GB2312"/>
          <w:b/>
          <w:bCs/>
          <w:sz w:val="30"/>
          <w:lang w:val="en-US" w:eastAsia="zh-CN"/>
        </w:rPr>
      </w:pPr>
      <w:r>
        <w:rPr>
          <w:rFonts w:hint="eastAsia" w:ascii="Times New Roman" w:hAnsi="Times New Roman" w:eastAsia="仿宋_GB2312"/>
          <w:b/>
          <w:bCs/>
          <w:sz w:val="30"/>
          <w:lang w:val="en-US" w:eastAsia="zh-CN"/>
        </w:rPr>
        <w:t>智慧粮库：</w:t>
      </w:r>
      <w:r>
        <w:rPr>
          <w:rFonts w:hint="eastAsia" w:ascii="Times New Roman" w:hAnsi="Times New Roman" w:eastAsia="仿宋_GB2312"/>
          <w:b w:val="0"/>
          <w:bCs w:val="0"/>
          <w:sz w:val="30"/>
          <w:lang w:val="en-US" w:eastAsia="zh-CN"/>
        </w:rPr>
        <w:t>按照“粮库数字化工程”规划，推进智慧粮库落地、落实，守好百姓“米袋子”。通过打造一套可实现粮食收购、保管、检验、调拨和销售等领域全覆盖、全链条、全程即时在线穿透式监管体系，为省内20余个粮库提供信息化支撑，助力全省粮食购销监管系统升级。</w:t>
      </w:r>
    </w:p>
    <w:p w14:paraId="6A8C0852">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精准帮扶</w:t>
      </w:r>
      <w:r>
        <w:rPr>
          <w:rFonts w:hint="eastAsia" w:ascii="Times New Roman" w:hAnsi="Times New Roman" w:eastAsia="仿宋_GB2312"/>
          <w:b/>
          <w:bCs/>
          <w:sz w:val="30"/>
          <w:lang w:val="en-US" w:eastAsia="zh-CN"/>
        </w:rPr>
        <w:t>和改革发展:</w:t>
      </w:r>
    </w:p>
    <w:p w14:paraId="7FB272FC">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val="0"/>
          <w:bCs w:val="0"/>
          <w:sz w:val="30"/>
          <w:lang w:val="en-US" w:eastAsia="zh-CN"/>
        </w:rPr>
        <w:t>围绕湖北省委省政府“建设农业强省”目标，以数字技术为核心引擎，实施“数智兴村”战略，分步推进“平安乡村”“数字乡村”“健康新农村”三大工程。</w:t>
      </w:r>
    </w:p>
    <w:p w14:paraId="03764ADE">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（1）</w:t>
      </w:r>
      <w:r>
        <w:rPr>
          <w:rFonts w:hint="default" w:ascii="Times New Roman" w:hAnsi="Times New Roman" w:eastAsia="仿宋_GB2312"/>
          <w:b/>
          <w:bCs/>
          <w:sz w:val="30"/>
          <w:lang w:val="en-US" w:eastAsia="zh-CN"/>
        </w:rPr>
        <w:t>平安乡村建设：</w:t>
      </w:r>
      <w:r>
        <w:rPr>
          <w:rFonts w:hint="default" w:ascii="Times New Roman" w:hAnsi="Times New Roman" w:eastAsia="仿宋_GB2312"/>
          <w:b w:val="0"/>
          <w:bCs w:val="0"/>
          <w:sz w:val="30"/>
          <w:lang w:val="en-US" w:eastAsia="zh-CN"/>
        </w:rPr>
        <w:t>公司以安防摄像头为切入点，引入AI行为分析算法，构建“技防+人防”融合的乡村安全防护体系。该体系已覆盖全省超90%的行政村，24小时默默守护。在园艺村，它通过智能监测山沟水位，为游客和村民的生命财产安全提供坚实保障，获湖北省应急管理厅认可与推广。同时，它还是村民健康的守护神，已成功预警并协助处置突发疾病、意外摔倒等危险事件713起。</w:t>
      </w:r>
    </w:p>
    <w:p w14:paraId="416C541E">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（2）</w:t>
      </w:r>
      <w:r>
        <w:rPr>
          <w:rFonts w:hint="default" w:ascii="Times New Roman" w:hAnsi="Times New Roman" w:eastAsia="仿宋_GB2312"/>
          <w:b/>
          <w:bCs/>
          <w:sz w:val="30"/>
          <w:lang w:val="en-US" w:eastAsia="zh-CN"/>
        </w:rPr>
        <w:t>数字乡村建设：</w:t>
      </w:r>
      <w:r>
        <w:rPr>
          <w:rFonts w:hint="default" w:ascii="Times New Roman" w:hAnsi="Times New Roman" w:eastAsia="仿宋_GB2312"/>
          <w:b w:val="0"/>
          <w:bCs w:val="0"/>
          <w:sz w:val="30"/>
          <w:lang w:val="en-US" w:eastAsia="zh-CN"/>
        </w:rPr>
        <w:t>公司通过“基础设施升级+服务平台搭建”双轮驱动，推动乡村治理从经验驱动向数据驱动转型。功能集成的数字乡村平台，助力村委会实现智慧办公，村民通过手机参与村务，还能连到田间地头。村民们足不出户就能通过平台或短视频直播，将古法筛米、手工豆皮等“土货”卖向全国，让手机成为新农具、数据成为新农资。</w:t>
      </w:r>
    </w:p>
    <w:p w14:paraId="40ED13AF">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（3）</w:t>
      </w:r>
      <w:r>
        <w:rPr>
          <w:rFonts w:hint="default" w:ascii="Times New Roman" w:hAnsi="Times New Roman" w:eastAsia="仿宋_GB2312"/>
          <w:b/>
          <w:bCs/>
          <w:sz w:val="30"/>
          <w:lang w:val="en-US" w:eastAsia="zh-CN"/>
        </w:rPr>
        <w:t>健康新农村建设：</w:t>
      </w:r>
      <w:r>
        <w:rPr>
          <w:rFonts w:hint="default" w:ascii="Times New Roman" w:hAnsi="Times New Roman" w:eastAsia="仿宋_GB2312"/>
          <w:b w:val="0"/>
          <w:bCs w:val="0"/>
          <w:sz w:val="30"/>
          <w:lang w:val="en-US" w:eastAsia="zh-CN"/>
        </w:rPr>
        <w:t>一方面连接到人，配置智慧终端实现健康数据可视化。在恩施市大集场村，为老人配备的智能血压计将测量数据实时上传，村医和远方子女可随时查看，异常情况及时预警。目前已为20万户农村老人配备智慧康养设备。另一方面强化医联体协作，创新“互联网+医疗”服务。据湖北省老龄办调研，该服务使农村老人就医成本降低20%，同时缓解县级医院压力，形成“基层首诊、双向转诊”的分级诊疗格局。</w:t>
      </w:r>
    </w:p>
    <w:p w14:paraId="5A47AE36">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bCs/>
          <w:sz w:val="32"/>
          <w:szCs w:val="32"/>
          <w:lang w:val="en-US" w:eastAsia="zh-CN" w:bidi="ar-SA"/>
        </w:rPr>
      </w:pPr>
    </w:p>
    <w:p w14:paraId="321221C7">
      <w:pPr>
        <w:pStyle w:val="3"/>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仿宋_GB2312" w:hAnsi="仿宋_GB2312" w:eastAsia="仿宋_GB2312" w:cs="仿宋_GB2312"/>
          <w:b/>
          <w:bCs/>
          <w:sz w:val="32"/>
          <w:szCs w:val="32"/>
          <w:lang w:bidi="ar-SA"/>
        </w:rPr>
      </w:pPr>
      <w:r>
        <w:rPr>
          <w:rFonts w:hint="eastAsia" w:ascii="仿宋_GB2312" w:hAnsi="仿宋_GB2312" w:eastAsia="仿宋_GB2312" w:cs="仿宋_GB2312"/>
          <w:b/>
          <w:bCs/>
          <w:sz w:val="32"/>
          <w:szCs w:val="32"/>
          <w:lang w:val="en-US" w:eastAsia="zh-CN" w:bidi="ar-SA"/>
        </w:rPr>
        <w:t>七、</w:t>
      </w:r>
      <w:r>
        <w:rPr>
          <w:rFonts w:hint="default" w:ascii="仿宋_GB2312" w:hAnsi="仿宋_GB2312" w:eastAsia="仿宋_GB2312" w:cs="仿宋_GB2312"/>
          <w:b/>
          <w:bCs/>
          <w:sz w:val="32"/>
          <w:szCs w:val="32"/>
          <w:lang w:bidi="ar-SA"/>
        </w:rPr>
        <w:t>推动新型城镇化和区域协调发展</w:t>
      </w:r>
    </w:p>
    <w:p w14:paraId="1473ED41">
      <w:pPr>
        <w:pStyle w:val="4"/>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仿宋_GB2312" w:hAnsi="仿宋_GB2312" w:eastAsia="仿宋_GB2312" w:cs="仿宋_GB2312"/>
          <w:b/>
          <w:bCs/>
          <w:sz w:val="32"/>
          <w:szCs w:val="32"/>
          <w:lang w:bidi="ar-SA"/>
        </w:rPr>
      </w:pPr>
      <w:r>
        <w:rPr>
          <w:rFonts w:hint="eastAsia" w:ascii="仿宋_GB2312" w:hAnsi="仿宋_GB2312" w:eastAsia="仿宋_GB2312" w:cs="仿宋_GB2312"/>
          <w:b/>
          <w:bCs/>
          <w:sz w:val="32"/>
          <w:szCs w:val="32"/>
          <w:lang w:val="en-US" w:eastAsia="zh-CN" w:bidi="ar-SA"/>
        </w:rPr>
        <w:t xml:space="preserve">1. </w:t>
      </w:r>
      <w:r>
        <w:rPr>
          <w:rFonts w:hint="default" w:ascii="仿宋_GB2312" w:hAnsi="仿宋_GB2312" w:eastAsia="仿宋_GB2312" w:cs="仿宋_GB2312"/>
          <w:b/>
          <w:bCs/>
          <w:sz w:val="32"/>
          <w:szCs w:val="32"/>
          <w:lang w:bidi="ar-SA"/>
        </w:rPr>
        <w:t>国家层面</w:t>
      </w:r>
    </w:p>
    <w:p w14:paraId="49FB0B69">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深入推进以人为本的新型城镇化：</w:t>
      </w:r>
      <w:r>
        <w:rPr>
          <w:rFonts w:hint="default" w:ascii="Times New Roman" w:hAnsi="Times New Roman" w:eastAsia="仿宋_GB2312"/>
          <w:b w:val="0"/>
          <w:bCs w:val="0"/>
          <w:sz w:val="30"/>
          <w:lang w:val="en-US" w:eastAsia="zh-CN"/>
        </w:rPr>
        <w:t>优化县域基础设施布局和公共资源配置</w:t>
      </w:r>
      <w:r>
        <w:rPr>
          <w:rFonts w:hint="eastAsia" w:ascii="Times New Roman" w:hAnsi="Times New Roman" w:eastAsia="仿宋_GB2312"/>
          <w:b w:val="0"/>
          <w:bCs w:val="0"/>
          <w:sz w:val="30"/>
          <w:lang w:val="en-US" w:eastAsia="zh-CN"/>
        </w:rPr>
        <w:t>，</w:t>
      </w:r>
      <w:r>
        <w:rPr>
          <w:rFonts w:hint="default" w:ascii="Times New Roman" w:hAnsi="Times New Roman" w:eastAsia="仿宋_GB2312"/>
          <w:b w:val="0"/>
          <w:bCs w:val="0"/>
          <w:sz w:val="30"/>
          <w:lang w:val="en-US" w:eastAsia="zh-CN"/>
        </w:rPr>
        <w:t>发展县域特色产业</w:t>
      </w:r>
      <w:r>
        <w:rPr>
          <w:rFonts w:hint="eastAsia" w:ascii="Times New Roman" w:hAnsi="Times New Roman" w:eastAsia="仿宋_GB2312"/>
          <w:b w:val="0"/>
          <w:bCs w:val="0"/>
          <w:sz w:val="30"/>
          <w:lang w:val="en-US" w:eastAsia="zh-CN"/>
        </w:rPr>
        <w:t>，</w:t>
      </w:r>
      <w:r>
        <w:rPr>
          <w:rFonts w:hint="default" w:ascii="Times New Roman" w:hAnsi="Times New Roman" w:eastAsia="仿宋_GB2312"/>
          <w:b w:val="0"/>
          <w:bCs w:val="0"/>
          <w:sz w:val="30"/>
          <w:lang w:val="en-US" w:eastAsia="zh-CN"/>
        </w:rPr>
        <w:t>推动县域经济高质量发展；高质量推进城市更新；加强城市基础设施生命线安全工程建设</w:t>
      </w:r>
      <w:r>
        <w:rPr>
          <w:rFonts w:hint="eastAsia" w:ascii="Times New Roman" w:hAnsi="Times New Roman" w:eastAsia="仿宋_GB2312"/>
          <w:b w:val="0"/>
          <w:bCs w:val="0"/>
          <w:sz w:val="30"/>
          <w:lang w:val="en-US" w:eastAsia="zh-CN"/>
        </w:rPr>
        <w:t>；</w:t>
      </w:r>
      <w:r>
        <w:rPr>
          <w:rFonts w:hint="default" w:ascii="Times New Roman" w:hAnsi="Times New Roman" w:eastAsia="仿宋_GB2312"/>
          <w:b w:val="0"/>
          <w:bCs w:val="0"/>
          <w:sz w:val="30"/>
          <w:lang w:val="en-US" w:eastAsia="zh-CN"/>
        </w:rPr>
        <w:t>推动城市治理智慧化精细化</w:t>
      </w:r>
      <w:r>
        <w:rPr>
          <w:rFonts w:hint="eastAsia" w:ascii="Times New Roman" w:hAnsi="Times New Roman" w:eastAsia="仿宋_GB2312"/>
          <w:b w:val="0"/>
          <w:bCs w:val="0"/>
          <w:sz w:val="30"/>
          <w:lang w:val="en-US" w:eastAsia="zh-CN"/>
        </w:rPr>
        <w:t>，建设现代化人民城市</w:t>
      </w:r>
      <w:r>
        <w:rPr>
          <w:rFonts w:hint="default" w:ascii="Times New Roman" w:hAnsi="Times New Roman" w:eastAsia="仿宋_GB2312"/>
          <w:b w:val="0"/>
          <w:bCs w:val="0"/>
          <w:sz w:val="30"/>
          <w:lang w:val="en-US" w:eastAsia="zh-CN"/>
        </w:rPr>
        <w:t>。</w:t>
      </w:r>
    </w:p>
    <w:p w14:paraId="79E2AE89">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不断增强区域发展协调性：</w:t>
      </w:r>
      <w:r>
        <w:rPr>
          <w:rFonts w:hint="default" w:ascii="Times New Roman" w:hAnsi="Times New Roman" w:eastAsia="仿宋_GB2312"/>
          <w:b w:val="0"/>
          <w:bCs w:val="0"/>
          <w:sz w:val="30"/>
          <w:lang w:val="en-US" w:eastAsia="zh-CN"/>
        </w:rPr>
        <w:t>支持经济大省挑大梁；持续推进长江经济带发展；推动长江中游城市群加快发展。</w:t>
      </w:r>
    </w:p>
    <w:p w14:paraId="3D66EEB6">
      <w:pPr>
        <w:pStyle w:val="4"/>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仿宋_GB2312" w:hAnsi="仿宋_GB2312" w:eastAsia="仿宋_GB2312" w:cs="仿宋_GB2312"/>
          <w:b/>
          <w:bCs/>
          <w:sz w:val="32"/>
          <w:szCs w:val="32"/>
          <w:lang w:val="en-US" w:eastAsia="zh-CN" w:bidi="ar-SA"/>
        </w:rPr>
      </w:pPr>
      <w:r>
        <w:rPr>
          <w:rFonts w:hint="default" w:ascii="仿宋_GB2312" w:hAnsi="仿宋_GB2312" w:eastAsia="仿宋_GB2312" w:cs="仿宋_GB2312"/>
          <w:b/>
          <w:bCs/>
          <w:sz w:val="32"/>
          <w:szCs w:val="32"/>
          <w:lang w:bidi="ar-SA"/>
        </w:rPr>
        <w:t>2. 湖北省</w:t>
      </w:r>
      <w:r>
        <w:rPr>
          <w:rFonts w:hint="eastAsia" w:ascii="仿宋_GB2312" w:hAnsi="仿宋_GB2312" w:eastAsia="仿宋_GB2312" w:cs="仿宋_GB2312"/>
          <w:b/>
          <w:bCs/>
          <w:sz w:val="32"/>
          <w:szCs w:val="32"/>
          <w:lang w:val="en-US" w:eastAsia="zh-CN" w:bidi="ar-SA"/>
        </w:rPr>
        <w:t>工作要点</w:t>
      </w:r>
    </w:p>
    <w:p w14:paraId="7EA43DE9">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都市圈发展：</w:t>
      </w:r>
      <w:r>
        <w:rPr>
          <w:rFonts w:hint="eastAsia" w:ascii="Times New Roman" w:hAnsi="Times New Roman" w:eastAsia="仿宋_GB2312"/>
          <w:b w:val="0"/>
          <w:bCs w:val="0"/>
          <w:sz w:val="30"/>
          <w:lang w:val="en-US" w:eastAsia="zh-CN"/>
        </w:rPr>
        <w:t>武汉跨入地区生产总值两万亿级城市行列；襄阳、宜昌进至中部非省会城市前列；武汉都市圈经济总量达到3.8万亿元。</w:t>
      </w:r>
    </w:p>
    <w:p w14:paraId="1FD6DBFD">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城市更新：</w:t>
      </w:r>
      <w:r>
        <w:rPr>
          <w:rFonts w:hint="eastAsia" w:ascii="Times New Roman" w:hAnsi="Times New Roman" w:eastAsia="仿宋_GB2312"/>
          <w:b w:val="0"/>
          <w:bCs w:val="0"/>
          <w:sz w:val="30"/>
          <w:lang w:val="en-US" w:eastAsia="zh-CN"/>
        </w:rPr>
        <w:t>推进55个扩面试点项目、30个城市更新重点片区建设。</w:t>
      </w:r>
    </w:p>
    <w:p w14:paraId="199EE3F2">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城市基础设施：</w:t>
      </w:r>
      <w:r>
        <w:rPr>
          <w:rFonts w:hint="eastAsia" w:ascii="Times New Roman" w:hAnsi="Times New Roman" w:eastAsia="仿宋_GB2312"/>
          <w:b w:val="0"/>
          <w:bCs w:val="0"/>
          <w:sz w:val="30"/>
          <w:lang w:val="en-US" w:eastAsia="zh-CN"/>
        </w:rPr>
        <w:t>新增城市公共停车泊位8万个、人防停车位15万个以上；建设改造城市地下管网3000公里；更换改造存在安全隐患的窨井盖2万个。</w:t>
      </w:r>
    </w:p>
    <w:p w14:paraId="2AE7E6ED">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县域经济：</w:t>
      </w:r>
      <w:r>
        <w:rPr>
          <w:rFonts w:hint="eastAsia" w:ascii="Times New Roman" w:hAnsi="Times New Roman" w:eastAsia="仿宋_GB2312"/>
          <w:b w:val="0"/>
          <w:bCs w:val="0"/>
          <w:sz w:val="30"/>
          <w:lang w:val="en-US" w:eastAsia="zh-CN"/>
        </w:rPr>
        <w:t>新增荆州、孝感、黄冈3个过三千亿元城市；新增仙桃、潜江、宜都、大冶4个千亿县。</w:t>
      </w:r>
    </w:p>
    <w:p w14:paraId="5416950E">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区域联动：</w:t>
      </w:r>
      <w:r>
        <w:rPr>
          <w:rFonts w:hint="eastAsia" w:ascii="Times New Roman" w:hAnsi="Times New Roman" w:eastAsia="仿宋_GB2312"/>
          <w:b w:val="0"/>
          <w:bCs w:val="0"/>
          <w:sz w:val="30"/>
          <w:lang w:val="en-US" w:eastAsia="zh-CN"/>
        </w:rPr>
        <w:t>构建省会带动、汉襄宜协同、鄂湘赣联动的区域发展格局；坚持以同城化理念超常规打造广域武汉大都市圈。</w:t>
      </w:r>
    </w:p>
    <w:p w14:paraId="13AC16EB">
      <w:pPr>
        <w:pStyle w:val="4"/>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Times New Roman" w:hAnsi="Times New Roman" w:eastAsia="仿宋_GB2312"/>
          <w:b w:val="0"/>
          <w:bCs w:val="0"/>
          <w:sz w:val="30"/>
          <w:lang w:val="en-US" w:eastAsia="zh-CN"/>
        </w:rPr>
      </w:pPr>
      <w:r>
        <w:rPr>
          <w:rFonts w:hint="eastAsia" w:ascii="仿宋_GB2312" w:hAnsi="仿宋_GB2312" w:eastAsia="仿宋_GB2312" w:cs="仿宋_GB2312"/>
          <w:b/>
          <w:bCs/>
          <w:sz w:val="32"/>
          <w:szCs w:val="32"/>
          <w:lang w:val="en-US" w:eastAsia="zh-CN" w:bidi="ar-SA"/>
        </w:rPr>
        <w:t>3</w:t>
      </w:r>
      <w:r>
        <w:rPr>
          <w:rFonts w:hint="default" w:ascii="仿宋_GB2312" w:hAnsi="仿宋_GB2312" w:eastAsia="仿宋_GB2312" w:cs="仿宋_GB2312"/>
          <w:b/>
          <w:bCs/>
          <w:sz w:val="32"/>
          <w:szCs w:val="32"/>
          <w:lang w:bidi="ar-SA"/>
        </w:rPr>
        <w:t>. 湖北</w:t>
      </w:r>
      <w:r>
        <w:rPr>
          <w:rFonts w:hint="eastAsia" w:ascii="仿宋_GB2312" w:hAnsi="仿宋_GB2312" w:eastAsia="仿宋_GB2312" w:cs="仿宋_GB2312"/>
          <w:b/>
          <w:bCs/>
          <w:sz w:val="32"/>
          <w:szCs w:val="32"/>
          <w:lang w:val="en-US" w:eastAsia="zh-CN" w:bidi="ar-SA"/>
        </w:rPr>
        <w:t>移动落实情况</w:t>
      </w:r>
    </w:p>
    <w:p w14:paraId="65EC6D7A">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bCs/>
          <w:sz w:val="30"/>
          <w:lang w:val="en-US" w:eastAsia="zh-CN"/>
        </w:rPr>
      </w:pPr>
      <w:r>
        <w:rPr>
          <w:rFonts w:hint="default" w:ascii="Times New Roman" w:hAnsi="Times New Roman" w:eastAsia="仿宋_GB2312"/>
          <w:b/>
          <w:bCs/>
          <w:sz w:val="30"/>
          <w:lang w:val="en-US" w:eastAsia="zh-CN"/>
        </w:rPr>
        <w:t>新型城镇化</w:t>
      </w:r>
      <w:r>
        <w:rPr>
          <w:rFonts w:hint="eastAsia" w:ascii="Times New Roman" w:hAnsi="Times New Roman" w:eastAsia="仿宋_GB2312"/>
          <w:b/>
          <w:bCs/>
          <w:sz w:val="30"/>
          <w:lang w:val="en-US" w:eastAsia="zh-CN"/>
        </w:rPr>
        <w:t>：</w:t>
      </w:r>
    </w:p>
    <w:p w14:paraId="690F5732">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（1）信号升格行动：</w:t>
      </w:r>
      <w:r>
        <w:rPr>
          <w:rFonts w:hint="default" w:ascii="Times New Roman" w:hAnsi="Times New Roman" w:eastAsia="仿宋_GB2312"/>
          <w:b w:val="0"/>
          <w:bCs w:val="0"/>
          <w:sz w:val="30"/>
          <w:lang w:val="en-US" w:eastAsia="zh-CN"/>
        </w:rPr>
        <w:t>完成“信号升格”专项行动近万个重点场景网络优化，在医院、学校、政务大厅等民生场所保障通信畅通。</w:t>
      </w:r>
    </w:p>
    <w:p w14:paraId="75F06D0C">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（2）城市生命线：</w:t>
      </w:r>
      <w:r>
        <w:rPr>
          <w:rFonts w:hint="eastAsia" w:ascii="Times New Roman" w:hAnsi="Times New Roman" w:eastAsia="仿宋_GB2312"/>
          <w:b w:val="0"/>
          <w:bCs w:val="0"/>
          <w:sz w:val="30"/>
          <w:lang w:val="en-US" w:eastAsia="zh-CN"/>
        </w:rPr>
        <w:t>深度参与湖北省城市生命线安全工程建设，在武汉市重点区域部署超5000个智能监测设备，实现燃气管网等关键基础设施实时监测与预警，预警准确率达95%以上；大力推进智慧灯联网系统建设，完成核心城区1200余盏智慧路灯改造升级，综合节能率超35%。</w:t>
      </w:r>
    </w:p>
    <w:p w14:paraId="76A2DDEC">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（3）城市精细化治理：</w:t>
      </w:r>
      <w:r>
        <w:rPr>
          <w:rFonts w:hint="default" w:ascii="Times New Roman" w:hAnsi="Times New Roman" w:eastAsia="仿宋_GB2312"/>
          <w:b w:val="0"/>
          <w:bCs w:val="0"/>
          <w:sz w:val="30"/>
          <w:lang w:val="en-US" w:eastAsia="zh-CN"/>
        </w:rPr>
        <w:t>助力城市无障碍设施建设，通过信息化手段服务老旧小区改造。在孝感</w:t>
      </w:r>
      <w:r>
        <w:rPr>
          <w:rFonts w:hint="eastAsia" w:ascii="Times New Roman" w:hAnsi="Times New Roman" w:eastAsia="仿宋_GB2312"/>
          <w:b w:val="0"/>
          <w:bCs w:val="0"/>
          <w:sz w:val="30"/>
          <w:lang w:val="en-US" w:eastAsia="zh-CN"/>
        </w:rPr>
        <w:t>等地</w:t>
      </w:r>
      <w:r>
        <w:rPr>
          <w:rFonts w:hint="default" w:ascii="Times New Roman" w:hAnsi="Times New Roman" w:eastAsia="仿宋_GB2312"/>
          <w:b w:val="0"/>
          <w:bCs w:val="0"/>
          <w:sz w:val="30"/>
          <w:lang w:val="en-US" w:eastAsia="zh-CN"/>
        </w:rPr>
        <w:t>，通过搭建六大支撑中台，助力城市实现“一屏观全域、一网管全城”的治理现代化，提升城市管理精细化水平</w:t>
      </w:r>
      <w:r>
        <w:rPr>
          <w:rFonts w:hint="eastAsia" w:ascii="Times New Roman" w:hAnsi="Times New Roman" w:eastAsia="仿宋_GB2312"/>
          <w:b w:val="0"/>
          <w:bCs w:val="0"/>
          <w:sz w:val="30"/>
          <w:lang w:val="en-US" w:eastAsia="zh-CN"/>
        </w:rPr>
        <w:t>。</w:t>
      </w:r>
    </w:p>
    <w:p w14:paraId="2291E8BF">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区域协调</w:t>
      </w:r>
      <w:r>
        <w:rPr>
          <w:rFonts w:hint="default" w:ascii="Times New Roman" w:hAnsi="Times New Roman" w:eastAsia="仿宋_GB2312"/>
          <w:b/>
          <w:bCs/>
          <w:sz w:val="30"/>
          <w:lang w:val="en-US" w:eastAsia="zh-CN"/>
        </w:rPr>
        <w:t>：</w:t>
      </w:r>
      <w:r>
        <w:rPr>
          <w:rFonts w:hint="default" w:ascii="Times New Roman" w:hAnsi="Times New Roman" w:eastAsia="仿宋_GB2312"/>
          <w:b w:val="0"/>
          <w:bCs w:val="0"/>
          <w:sz w:val="30"/>
          <w:lang w:val="en-US" w:eastAsia="zh-CN"/>
        </w:rPr>
        <w:t>推动汉襄宜“金三角”高质量发展以及长江中游城市群联动发展，聚焦5G-A、卫星通信和量子通信等新技术，持续打造以“双万兆”武汉为核心，辐射周边城市群，规模领先、通智融合、边云一体、训推协同的智算集群，通过“1-</w:t>
      </w:r>
      <w:r>
        <w:rPr>
          <w:rFonts w:hint="eastAsia" w:ascii="Times New Roman" w:hAnsi="Times New Roman" w:eastAsia="仿宋_GB2312"/>
          <w:b w:val="0"/>
          <w:bCs w:val="0"/>
          <w:sz w:val="30"/>
          <w:lang w:val="en-US" w:eastAsia="zh-CN"/>
        </w:rPr>
        <w:t>3-</w:t>
      </w:r>
      <w:r>
        <w:rPr>
          <w:rFonts w:hint="default" w:ascii="Times New Roman" w:hAnsi="Times New Roman" w:eastAsia="仿宋_GB2312"/>
          <w:b w:val="0"/>
          <w:bCs w:val="0"/>
          <w:sz w:val="30"/>
          <w:lang w:val="en-US" w:eastAsia="zh-CN"/>
        </w:rPr>
        <w:t>5</w:t>
      </w:r>
      <w:r>
        <w:rPr>
          <w:rFonts w:hint="eastAsia" w:ascii="Times New Roman" w:hAnsi="Times New Roman" w:eastAsia="仿宋_GB2312"/>
          <w:b w:val="0"/>
          <w:bCs w:val="0"/>
          <w:sz w:val="30"/>
          <w:lang w:val="en-US" w:eastAsia="zh-CN"/>
        </w:rPr>
        <w:t>，</w:t>
      </w:r>
      <w:r>
        <w:rPr>
          <w:rFonts w:hint="default" w:ascii="Times New Roman" w:hAnsi="Times New Roman" w:eastAsia="仿宋_GB2312"/>
          <w:b w:val="0"/>
          <w:bCs w:val="0"/>
          <w:sz w:val="30"/>
          <w:lang w:val="en-US" w:eastAsia="zh-CN"/>
        </w:rPr>
        <w:t>7-10”超低时延圈算力网络，并积极探索“在宜训推、在汉研发”的远距离算电协同创新模式。湖北移动在全省投入运营及在建的数据中心已达20余个，完成17个市州城市级数据中心建设，加速融入全国一体化算力网络。</w:t>
      </w:r>
    </w:p>
    <w:p w14:paraId="221824DD">
      <w:pPr>
        <w:pStyle w:val="2"/>
        <w:pageBreakBefore w:val="0"/>
        <w:widowControl w:val="0"/>
        <w:kinsoku/>
        <w:wordWrap/>
        <w:overflowPunct/>
        <w:topLinePunct w:val="0"/>
        <w:autoSpaceDE/>
        <w:autoSpaceDN/>
        <w:bidi w:val="0"/>
        <w:adjustRightInd/>
        <w:spacing w:line="560" w:lineRule="exact"/>
        <w:textAlignment w:val="auto"/>
        <w:rPr>
          <w:rFonts w:hint="default"/>
        </w:rPr>
      </w:pPr>
    </w:p>
    <w:p w14:paraId="72C64F7C">
      <w:pPr>
        <w:pStyle w:val="3"/>
        <w:keepNext/>
        <w:keepLines/>
        <w:pageBreakBefore w:val="0"/>
        <w:widowControl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仿宋_GB2312" w:hAnsi="仿宋_GB2312" w:eastAsia="仿宋_GB2312" w:cs="仿宋_GB2312"/>
          <w:b/>
          <w:bCs/>
          <w:sz w:val="32"/>
          <w:szCs w:val="32"/>
          <w:lang w:val="en-US" w:eastAsia="zh-CN" w:bidi="ar-SA"/>
        </w:rPr>
      </w:pPr>
      <w:r>
        <w:rPr>
          <w:rFonts w:hint="eastAsia" w:ascii="仿宋_GB2312" w:hAnsi="仿宋_GB2312" w:eastAsia="仿宋_GB2312" w:cs="仿宋_GB2312"/>
          <w:b/>
          <w:bCs/>
          <w:sz w:val="32"/>
          <w:szCs w:val="32"/>
          <w:lang w:val="en-US" w:eastAsia="zh-CN" w:bidi="ar-SA"/>
        </w:rPr>
        <w:t>八、</w:t>
      </w:r>
      <w:r>
        <w:rPr>
          <w:rFonts w:hint="default" w:ascii="仿宋_GB2312" w:hAnsi="仿宋_GB2312" w:eastAsia="仿宋_GB2312" w:cs="仿宋_GB2312"/>
          <w:b/>
          <w:bCs/>
          <w:sz w:val="32"/>
          <w:szCs w:val="32"/>
          <w:lang w:val="en-US" w:eastAsia="zh-CN" w:bidi="ar-SA"/>
        </w:rPr>
        <w:t>更大力度保障和改善民生</w:t>
      </w:r>
    </w:p>
    <w:p w14:paraId="67DEF827">
      <w:pPr>
        <w:pStyle w:val="4"/>
        <w:keepNext/>
        <w:keepLines/>
        <w:pageBreakBefore w:val="0"/>
        <w:widowControl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仿宋_GB2312" w:hAnsi="仿宋_GB2312" w:eastAsia="仿宋_GB2312" w:cs="仿宋_GB2312"/>
          <w:b/>
          <w:bCs/>
          <w:sz w:val="32"/>
          <w:szCs w:val="32"/>
          <w:lang w:val="en-US" w:eastAsia="zh-CN" w:bidi="ar-SA"/>
        </w:rPr>
      </w:pPr>
      <w:r>
        <w:rPr>
          <w:rFonts w:hint="default" w:ascii="仿宋_GB2312" w:hAnsi="仿宋_GB2312" w:eastAsia="仿宋_GB2312" w:cs="仿宋_GB2312"/>
          <w:b/>
          <w:bCs/>
          <w:sz w:val="32"/>
          <w:szCs w:val="32"/>
          <w:lang w:bidi="ar-SA"/>
        </w:rPr>
        <w:t>1. 国家层面</w:t>
      </w:r>
    </w:p>
    <w:p w14:paraId="2A1E292A">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推动教育公平与质量提升：</w:t>
      </w:r>
      <w:r>
        <w:rPr>
          <w:rFonts w:hint="default" w:ascii="Times New Roman" w:hAnsi="Times New Roman" w:eastAsia="仿宋_GB2312"/>
          <w:b w:val="0"/>
          <w:bCs w:val="0"/>
          <w:sz w:val="30"/>
          <w:lang w:val="en-US" w:eastAsia="zh-CN"/>
        </w:rPr>
        <w:t>完善免费学前教育政策；扩大优质本科教育招生规模。</w:t>
      </w:r>
    </w:p>
    <w:p w14:paraId="5D8817A4">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强化基本医疗卫生服务：</w:t>
      </w:r>
      <w:r>
        <w:rPr>
          <w:rFonts w:hint="default" w:ascii="Times New Roman" w:hAnsi="Times New Roman" w:eastAsia="仿宋_GB2312"/>
          <w:b w:val="0"/>
          <w:bCs w:val="0"/>
          <w:sz w:val="30"/>
          <w:lang w:val="en-US" w:eastAsia="zh-CN"/>
        </w:rPr>
        <w:t>健全医疗、医保、医药协同发展和治理机制</w:t>
      </w:r>
      <w:r>
        <w:rPr>
          <w:rFonts w:hint="eastAsia" w:ascii="Times New Roman" w:hAnsi="Times New Roman" w:eastAsia="仿宋_GB2312"/>
          <w:b w:val="0"/>
          <w:bCs w:val="0"/>
          <w:sz w:val="30"/>
          <w:lang w:val="en-US" w:eastAsia="zh-CN"/>
        </w:rPr>
        <w:t>，</w:t>
      </w:r>
      <w:r>
        <w:rPr>
          <w:rFonts w:hint="default" w:ascii="Times New Roman" w:hAnsi="Times New Roman" w:eastAsia="仿宋_GB2312"/>
          <w:b w:val="0"/>
          <w:bCs w:val="0"/>
          <w:sz w:val="30"/>
          <w:lang w:val="en-US" w:eastAsia="zh-CN"/>
        </w:rPr>
        <w:t>加强县区、基层医疗机构运行保障。</w:t>
      </w:r>
    </w:p>
    <w:p w14:paraId="3668FE14">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加强社会保障和服务：</w:t>
      </w:r>
      <w:r>
        <w:rPr>
          <w:rFonts w:hint="default" w:ascii="Times New Roman" w:hAnsi="Times New Roman" w:eastAsia="仿宋_GB2312"/>
          <w:b w:val="0"/>
          <w:bCs w:val="0"/>
          <w:sz w:val="30"/>
          <w:lang w:val="en-US" w:eastAsia="zh-CN"/>
        </w:rPr>
        <w:t>扩大普惠养老服务供</w:t>
      </w:r>
      <w:r>
        <w:rPr>
          <w:rFonts w:hint="default" w:ascii="Times New Roman" w:hAnsi="Times New Roman" w:eastAsia="仿宋_GB2312"/>
          <w:b w:val="0"/>
          <w:bCs w:val="0"/>
          <w:sz w:val="30"/>
          <w:lang w:val="en-US" w:eastAsia="zh-CN"/>
        </w:rPr>
        <w:t>给</w:t>
      </w:r>
      <w:r>
        <w:rPr>
          <w:rFonts w:hint="eastAsia" w:ascii="Times New Roman" w:hAnsi="Times New Roman" w:eastAsia="仿宋_GB2312"/>
          <w:b w:val="0"/>
          <w:bCs w:val="0"/>
          <w:sz w:val="30"/>
          <w:lang w:val="en-US" w:eastAsia="zh-CN"/>
        </w:rPr>
        <w:t>，</w:t>
      </w:r>
      <w:r>
        <w:rPr>
          <w:rFonts w:hint="default" w:ascii="Times New Roman" w:hAnsi="Times New Roman" w:eastAsia="仿宋_GB2312"/>
          <w:b w:val="0"/>
          <w:bCs w:val="0"/>
          <w:sz w:val="30"/>
          <w:lang w:val="en-US" w:eastAsia="zh-CN"/>
        </w:rPr>
        <w:t>积极开发老年人力资源,制定推进银发经济高质量发展的措施。</w:t>
      </w:r>
    </w:p>
    <w:p w14:paraId="5CA9509F">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更好满足人民群众精神文化需求：</w:t>
      </w:r>
      <w:r>
        <w:rPr>
          <w:rFonts w:hint="default" w:ascii="Times New Roman" w:hAnsi="Times New Roman" w:eastAsia="仿宋_GB2312"/>
          <w:b w:val="0"/>
          <w:bCs w:val="0"/>
          <w:sz w:val="30"/>
          <w:lang w:val="en-US" w:eastAsia="zh-CN"/>
        </w:rPr>
        <w:t>实施公共文化服务提质增效行动；高质量发展文化旅游业</w:t>
      </w:r>
      <w:r>
        <w:rPr>
          <w:rFonts w:hint="eastAsia" w:ascii="Times New Roman" w:hAnsi="Times New Roman" w:eastAsia="仿宋_GB2312"/>
          <w:b w:val="0"/>
          <w:bCs w:val="0"/>
          <w:sz w:val="30"/>
          <w:lang w:val="en-US" w:eastAsia="zh-CN"/>
        </w:rPr>
        <w:t>；积极发展赛事经济、冰雪经济、户外运动</w:t>
      </w:r>
      <w:r>
        <w:rPr>
          <w:rFonts w:hint="default" w:ascii="Times New Roman" w:hAnsi="Times New Roman" w:eastAsia="仿宋_GB2312"/>
          <w:b w:val="0"/>
          <w:bCs w:val="0"/>
          <w:sz w:val="30"/>
          <w:lang w:val="en-US" w:eastAsia="zh-CN"/>
        </w:rPr>
        <w:t>。</w:t>
      </w:r>
    </w:p>
    <w:p w14:paraId="5CFFEEBE">
      <w:pPr>
        <w:pStyle w:val="4"/>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仿宋_GB2312" w:hAnsi="仿宋_GB2312" w:eastAsia="仿宋_GB2312" w:cs="仿宋_GB2312"/>
          <w:b/>
          <w:bCs/>
          <w:sz w:val="32"/>
          <w:szCs w:val="32"/>
          <w:lang w:val="en-US" w:eastAsia="zh-CN" w:bidi="ar-SA"/>
        </w:rPr>
      </w:pPr>
      <w:r>
        <w:rPr>
          <w:rFonts w:hint="default" w:ascii="仿宋_GB2312" w:hAnsi="仿宋_GB2312" w:eastAsia="仿宋_GB2312" w:cs="仿宋_GB2312"/>
          <w:b/>
          <w:bCs/>
          <w:sz w:val="32"/>
          <w:szCs w:val="32"/>
          <w:lang w:bidi="ar-SA"/>
        </w:rPr>
        <w:t>2. 湖北省</w:t>
      </w:r>
      <w:r>
        <w:rPr>
          <w:rFonts w:hint="eastAsia" w:ascii="仿宋_GB2312" w:hAnsi="仿宋_GB2312" w:eastAsia="仿宋_GB2312" w:cs="仿宋_GB2312"/>
          <w:b/>
          <w:bCs/>
          <w:sz w:val="32"/>
          <w:szCs w:val="32"/>
          <w:lang w:val="en-US" w:eastAsia="zh-CN" w:bidi="ar-SA"/>
        </w:rPr>
        <w:t>工作要点</w:t>
      </w:r>
    </w:p>
    <w:p w14:paraId="52B4C952">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教育优质均衡：</w:t>
      </w:r>
      <w:r>
        <w:rPr>
          <w:rFonts w:hint="eastAsia" w:ascii="Times New Roman" w:hAnsi="Times New Roman" w:eastAsia="仿宋_GB2312"/>
          <w:b w:val="0"/>
          <w:bCs w:val="0"/>
          <w:sz w:val="30"/>
          <w:lang w:val="en-US" w:eastAsia="zh-CN"/>
        </w:rPr>
        <w:t>增加普通高中学位供给，扩充高中学位3万个以上；全面落实免除学前一年在园儿童保教费政策，惠及40万名以上学前儿童；推动城乡教师交流轮岗1万人以上；开办公益“爱心托管班”5000个以上。</w:t>
      </w:r>
    </w:p>
    <w:p w14:paraId="108EEEE6">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医疗生育服务：</w:t>
      </w:r>
      <w:r>
        <w:rPr>
          <w:rFonts w:hint="eastAsia" w:ascii="Times New Roman" w:hAnsi="Times New Roman" w:eastAsia="仿宋_GB2312"/>
          <w:b w:val="0"/>
          <w:bCs w:val="0"/>
          <w:sz w:val="30"/>
          <w:lang w:val="en-US" w:eastAsia="zh-CN"/>
        </w:rPr>
        <w:t>加快打造智慧化现代医疗体系；实现县域医共体内远程影像、心电、病理诊断县（市）全覆盖；组织1000名医生在互联网医院上开展诊疗服务；全面推进医保影像云建设。</w:t>
      </w:r>
    </w:p>
    <w:p w14:paraId="74C495DB">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养老扶困助残：</w:t>
      </w:r>
      <w:r>
        <w:rPr>
          <w:rFonts w:hint="eastAsia" w:ascii="Times New Roman" w:hAnsi="Times New Roman" w:eastAsia="仿宋_GB2312"/>
          <w:b w:val="0"/>
          <w:bCs w:val="0"/>
          <w:sz w:val="30"/>
          <w:lang w:val="en-US" w:eastAsia="zh-CN"/>
        </w:rPr>
        <w:t>继续提高城乡居民基础养老金；构建“居家为基础、社区为依托、机构为专业支撑、医养相结合”的多元化养老服务体系；完成5000户特殊困难老年人家庭适老化改造；向中度以上失能老年人发放养老服务消费补贴。</w:t>
      </w:r>
    </w:p>
    <w:p w14:paraId="776F2096">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文体生活：</w:t>
      </w:r>
      <w:r>
        <w:rPr>
          <w:rFonts w:hint="eastAsia" w:ascii="Times New Roman" w:hAnsi="Times New Roman" w:eastAsia="仿宋_GB2312"/>
          <w:b w:val="0"/>
          <w:bCs w:val="0"/>
          <w:sz w:val="30"/>
          <w:lang w:val="en-US" w:eastAsia="zh-CN"/>
        </w:rPr>
        <w:t>新增城市口袋公园100个；新建群众身边的体育场地设施350个；开展文化惠民活动1万场；建设城市书房等公共文化新空间100个。</w:t>
      </w:r>
    </w:p>
    <w:p w14:paraId="7776F165">
      <w:pPr>
        <w:pStyle w:val="4"/>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Times New Roman" w:hAnsi="Times New Roman" w:eastAsia="仿宋_GB2312"/>
          <w:b w:val="0"/>
          <w:bCs w:val="0"/>
          <w:sz w:val="30"/>
          <w:lang w:val="en-US" w:eastAsia="zh-CN"/>
        </w:rPr>
      </w:pPr>
      <w:r>
        <w:rPr>
          <w:rFonts w:hint="eastAsia" w:ascii="仿宋_GB2312" w:hAnsi="仿宋_GB2312" w:eastAsia="仿宋_GB2312" w:cs="仿宋_GB2312"/>
          <w:b/>
          <w:bCs/>
          <w:sz w:val="32"/>
          <w:szCs w:val="32"/>
          <w:lang w:val="en-US" w:eastAsia="zh-CN" w:bidi="ar-SA"/>
        </w:rPr>
        <w:t>3</w:t>
      </w:r>
      <w:r>
        <w:rPr>
          <w:rFonts w:hint="default" w:ascii="仿宋_GB2312" w:hAnsi="仿宋_GB2312" w:eastAsia="仿宋_GB2312" w:cs="仿宋_GB2312"/>
          <w:b/>
          <w:bCs/>
          <w:sz w:val="32"/>
          <w:szCs w:val="32"/>
          <w:lang w:bidi="ar-SA"/>
        </w:rPr>
        <w:t>. 湖北</w:t>
      </w:r>
      <w:r>
        <w:rPr>
          <w:rFonts w:hint="eastAsia" w:ascii="仿宋_GB2312" w:hAnsi="仿宋_GB2312" w:eastAsia="仿宋_GB2312" w:cs="仿宋_GB2312"/>
          <w:b/>
          <w:bCs/>
          <w:sz w:val="32"/>
          <w:szCs w:val="32"/>
          <w:lang w:val="en-US" w:eastAsia="zh-CN" w:bidi="ar-SA"/>
        </w:rPr>
        <w:t>移动落实情况</w:t>
      </w:r>
    </w:p>
    <w:p w14:paraId="2F0666D5">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智慧教育：</w:t>
      </w:r>
      <w:r>
        <w:rPr>
          <w:rFonts w:hint="default" w:ascii="Times New Roman" w:hAnsi="Times New Roman" w:eastAsia="仿宋_GB2312"/>
          <w:b w:val="0"/>
          <w:bCs w:val="0"/>
          <w:sz w:val="30"/>
          <w:lang w:val="en-US" w:eastAsia="zh-CN"/>
        </w:rPr>
        <w:t>在全省所有地级市开启5G-A三载波聚合网络商用，完成全省近200所高校5G-A网络规模部署。携手武汉大学建成全省首个应用50G-PON+Wi-Fi7技术的万兆智慧校园，万兆网络覆盖武汉大学科研、教学、食堂、宿舍等场景，实现“50G超万兆到学部、万兆到房间，千兆到终端”，为广大师生打造了一个更加高效、安全、便捷的数字化学习与生活环境。2025年高考期间，为湖北省教育考试院量身打造的AI智能巡考平台全程稳定运行，圆满支撑了湖北省高考历史上首次启用AI智能巡考工作。在荆州，联合长江大学落地全省首个覆盖“学习办公—生活娱乐”全场景的云电脑应用，创新推出“云端学习工场+云电竞空间”双场景融合模式；在襄阳、孝感等地，依托灵犀管家大模型推出系列教育智能体，将“全天候AI家教”请进家门；在武汉，湖北移动在武汉大学等高校应用5G-A技术，为广大师生打造万兆峰值网络新体验。</w:t>
      </w:r>
    </w:p>
    <w:p w14:paraId="2CE56BCF">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bCs/>
          <w:sz w:val="30"/>
          <w:lang w:val="en-US" w:eastAsia="zh-CN"/>
        </w:rPr>
      </w:pPr>
      <w:r>
        <w:rPr>
          <w:rFonts w:hint="default" w:ascii="Times New Roman" w:hAnsi="Times New Roman" w:eastAsia="仿宋_GB2312"/>
          <w:b/>
          <w:bCs/>
          <w:sz w:val="30"/>
          <w:lang w:val="en-US" w:eastAsia="zh-CN"/>
        </w:rPr>
        <w:t>智慧医疗：</w:t>
      </w:r>
      <w:r>
        <w:rPr>
          <w:rFonts w:hint="default" w:ascii="Times New Roman" w:hAnsi="Times New Roman" w:eastAsia="仿宋_GB2312"/>
          <w:b w:val="0"/>
          <w:bCs w:val="0"/>
          <w:sz w:val="30"/>
          <w:lang w:val="en-US" w:eastAsia="zh-CN"/>
        </w:rPr>
        <w:t>在随州、襄阳、黄冈等地助力搭建一体化医疗云平台，打破医疗“信息孤岛”，推动检查结果互认、分级诊疗和区域医疗一体化建设，有效支撑当地医疗行业数字化转型升级。在</w:t>
      </w:r>
      <w:r>
        <w:rPr>
          <w:rFonts w:hint="eastAsia" w:ascii="Times New Roman" w:hAnsi="Times New Roman" w:eastAsia="仿宋_GB2312"/>
          <w:b w:val="0"/>
          <w:bCs w:val="0"/>
          <w:sz w:val="30"/>
          <w:lang w:val="en-US" w:eastAsia="zh-CN"/>
        </w:rPr>
        <w:t>宜昌</w:t>
      </w:r>
      <w:r>
        <w:rPr>
          <w:rFonts w:hint="default" w:ascii="Times New Roman" w:hAnsi="Times New Roman" w:eastAsia="仿宋_GB2312"/>
          <w:b w:val="0"/>
          <w:bCs w:val="0"/>
          <w:sz w:val="30"/>
          <w:lang w:val="en-US" w:eastAsia="zh-CN"/>
        </w:rPr>
        <w:t>当阳，“智医助理”自动拨打健康随访电话，人工智能辅助记录患者病情变化、用药与生活习惯等信息；“心电一张网”串联起市、镇、村三级医疗机构，让偏远农村患者就近享受市级诊疗服务</w:t>
      </w:r>
      <w:r>
        <w:rPr>
          <w:rFonts w:hint="eastAsia" w:ascii="Times New Roman" w:hAnsi="Times New Roman" w:eastAsia="仿宋_GB2312"/>
          <w:b w:val="0"/>
          <w:bCs w:val="0"/>
          <w:sz w:val="30"/>
          <w:lang w:val="en-US" w:eastAsia="zh-CN"/>
        </w:rPr>
        <w:t>。</w:t>
      </w:r>
    </w:p>
    <w:p w14:paraId="7CDE4232">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智慧养老：</w:t>
      </w:r>
      <w:r>
        <w:rPr>
          <w:rFonts w:hint="default" w:ascii="Times New Roman" w:hAnsi="Times New Roman" w:eastAsia="仿宋_GB2312"/>
          <w:b w:val="0"/>
          <w:bCs w:val="0"/>
          <w:sz w:val="30"/>
          <w:lang w:val="en-US" w:eastAsia="zh-CN"/>
        </w:rPr>
        <w:t>随州凤凰山村建成全省首个“智慧康养”示范村；在黄冈麻城、襄阳南漳等地为独居、空巢、特困老人配备智能终端，统一接入“中国移动5G智慧康养服务平台”；央视首届“CMG银发经济盛典”中，</w:t>
      </w:r>
      <w:r>
        <w:rPr>
          <w:rFonts w:hint="eastAsia" w:ascii="Times New Roman" w:hAnsi="Times New Roman" w:eastAsia="仿宋_GB2312"/>
          <w:b w:val="0"/>
          <w:bCs w:val="0"/>
          <w:sz w:val="30"/>
          <w:lang w:val="en-US" w:eastAsia="zh-CN"/>
        </w:rPr>
        <w:t>魏春辉总经理</w:t>
      </w:r>
      <w:r>
        <w:rPr>
          <w:rFonts w:hint="default" w:ascii="Times New Roman" w:hAnsi="Times New Roman" w:eastAsia="仿宋_GB2312"/>
          <w:b w:val="0"/>
          <w:bCs w:val="0"/>
          <w:sz w:val="30"/>
          <w:lang w:val="en-US" w:eastAsia="zh-CN"/>
        </w:rPr>
        <w:t>作为代表分享智慧康养创新实践。</w:t>
      </w:r>
    </w:p>
    <w:p w14:paraId="7CFB3523">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数字文旅：</w:t>
      </w:r>
      <w:r>
        <w:rPr>
          <w:rFonts w:hint="default" w:ascii="Times New Roman" w:hAnsi="Times New Roman" w:eastAsia="仿宋_GB2312"/>
          <w:b w:val="0"/>
          <w:bCs w:val="0"/>
          <w:sz w:val="30"/>
          <w:lang w:val="en-US" w:eastAsia="zh-CN"/>
        </w:rPr>
        <w:t>依托“湖北全域旅游监测平台”，湖北移动为省市县景区提供实时客流分析、热门线路优化等50余项数据服务，助力十堰武当山建设世界知名旅游景区，襄阳古城通过“数字哨兵”精准管控人流量，黄石“一机游阳新”平台推动旅游规划便捷化。</w:t>
      </w:r>
    </w:p>
    <w:p w14:paraId="7F3A361F">
      <w:pPr>
        <w:pStyle w:val="2"/>
        <w:rPr>
          <w:rFonts w:hint="default"/>
          <w:lang w:val="en-US" w:eastAsia="zh-CN"/>
        </w:rPr>
      </w:pPr>
    </w:p>
    <w:p w14:paraId="4B1B6AC2">
      <w:pPr>
        <w:pStyle w:val="3"/>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仿宋_GB2312" w:hAnsi="仿宋_GB2312" w:eastAsia="仿宋_GB2312" w:cs="仿宋_GB2312"/>
          <w:b/>
          <w:bCs/>
          <w:sz w:val="32"/>
          <w:szCs w:val="32"/>
          <w:lang w:val="en-US" w:eastAsia="zh-CN" w:bidi="ar-SA"/>
        </w:rPr>
      </w:pPr>
      <w:r>
        <w:rPr>
          <w:rFonts w:hint="eastAsia" w:ascii="仿宋_GB2312" w:hAnsi="仿宋_GB2312" w:eastAsia="仿宋_GB2312" w:cs="仿宋_GB2312"/>
          <w:b/>
          <w:bCs/>
          <w:sz w:val="32"/>
          <w:szCs w:val="32"/>
          <w:lang w:val="en-US" w:eastAsia="zh-CN" w:bidi="ar-SA"/>
        </w:rPr>
        <w:t>九、</w:t>
      </w:r>
      <w:r>
        <w:rPr>
          <w:rFonts w:hint="default" w:ascii="仿宋_GB2312" w:hAnsi="仿宋_GB2312" w:eastAsia="仿宋_GB2312" w:cs="仿宋_GB2312"/>
          <w:b/>
          <w:bCs/>
          <w:sz w:val="32"/>
          <w:szCs w:val="32"/>
          <w:lang w:val="en-US" w:eastAsia="zh-CN" w:bidi="ar-SA"/>
        </w:rPr>
        <w:t>加快推动全面绿色转型</w:t>
      </w:r>
    </w:p>
    <w:p w14:paraId="14FE3FDF">
      <w:pPr>
        <w:pStyle w:val="4"/>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仿宋_GB2312" w:hAnsi="仿宋_GB2312" w:eastAsia="仿宋_GB2312" w:cs="仿宋_GB2312"/>
          <w:b/>
          <w:bCs/>
          <w:sz w:val="32"/>
          <w:szCs w:val="32"/>
          <w:lang w:val="en-US" w:eastAsia="zh-CN" w:bidi="ar-SA"/>
        </w:rPr>
      </w:pPr>
      <w:r>
        <w:rPr>
          <w:rFonts w:hint="default" w:ascii="仿宋_GB2312" w:hAnsi="仿宋_GB2312" w:eastAsia="仿宋_GB2312" w:cs="仿宋_GB2312"/>
          <w:b/>
          <w:bCs/>
          <w:sz w:val="32"/>
          <w:szCs w:val="32"/>
          <w:lang w:bidi="ar-SA"/>
        </w:rPr>
        <w:t>1. 国家层面</w:t>
      </w:r>
    </w:p>
    <w:p w14:paraId="28B18B5A">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加强生态环境综合治理：</w:t>
      </w:r>
      <w:r>
        <w:rPr>
          <w:rFonts w:hint="default" w:ascii="Times New Roman" w:hAnsi="Times New Roman" w:eastAsia="仿宋_GB2312"/>
          <w:b w:val="0"/>
          <w:bCs w:val="0"/>
          <w:sz w:val="30"/>
          <w:lang w:val="en-US" w:eastAsia="zh-CN"/>
        </w:rPr>
        <w:t>深入打好蓝天、碧水、净土保卫战；实施长江十年禁渔；推进国家公园建设。</w:t>
      </w:r>
    </w:p>
    <w:p w14:paraId="39582712">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大力发展绿色低碳经济：</w:t>
      </w:r>
      <w:r>
        <w:rPr>
          <w:rFonts w:hint="default" w:ascii="Times New Roman" w:hAnsi="Times New Roman" w:eastAsia="仿宋_GB2312"/>
          <w:b w:val="0"/>
          <w:bCs w:val="0"/>
          <w:sz w:val="30"/>
          <w:lang w:val="en-US" w:eastAsia="zh-CN"/>
        </w:rPr>
        <w:t>实施重点行业提质降本降碳行动；深入推进零碳园区和工厂建设。</w:t>
      </w:r>
    </w:p>
    <w:p w14:paraId="1DC128AB">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积极稳妥推进碳达峰碳中和：</w:t>
      </w:r>
      <w:r>
        <w:rPr>
          <w:rFonts w:hint="default" w:ascii="Times New Roman" w:hAnsi="Times New Roman" w:eastAsia="仿宋_GB2312"/>
          <w:b w:val="0"/>
          <w:bCs w:val="0"/>
          <w:sz w:val="30"/>
          <w:lang w:val="en-US" w:eastAsia="zh-CN"/>
        </w:rPr>
        <w:t>实施碳排放总量和强度双控制度；扩大碳排放权交易市场覆盖范围。</w:t>
      </w:r>
    </w:p>
    <w:p w14:paraId="3B64444C">
      <w:pPr>
        <w:pStyle w:val="4"/>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仿宋_GB2312" w:hAnsi="仿宋_GB2312" w:eastAsia="仿宋_GB2312" w:cs="仿宋_GB2312"/>
          <w:b/>
          <w:bCs/>
          <w:sz w:val="32"/>
          <w:szCs w:val="32"/>
          <w:lang w:val="en-US" w:eastAsia="zh-CN" w:bidi="ar-SA"/>
        </w:rPr>
      </w:pPr>
      <w:r>
        <w:rPr>
          <w:rFonts w:hint="default" w:ascii="仿宋_GB2312" w:hAnsi="仿宋_GB2312" w:eastAsia="仿宋_GB2312" w:cs="仿宋_GB2312"/>
          <w:b/>
          <w:bCs/>
          <w:sz w:val="32"/>
          <w:szCs w:val="32"/>
          <w:lang w:bidi="ar-SA"/>
        </w:rPr>
        <w:t>2. 湖北省</w:t>
      </w:r>
      <w:r>
        <w:rPr>
          <w:rFonts w:hint="eastAsia" w:ascii="仿宋_GB2312" w:hAnsi="仿宋_GB2312" w:eastAsia="仿宋_GB2312" w:cs="仿宋_GB2312"/>
          <w:b/>
          <w:bCs/>
          <w:sz w:val="32"/>
          <w:szCs w:val="32"/>
          <w:lang w:val="en-US" w:eastAsia="zh-CN" w:bidi="ar-SA"/>
        </w:rPr>
        <w:t>工作要点</w:t>
      </w:r>
    </w:p>
    <w:p w14:paraId="00211772">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长江大保护：</w:t>
      </w:r>
      <w:r>
        <w:rPr>
          <w:rFonts w:hint="eastAsia" w:ascii="Times New Roman" w:hAnsi="Times New Roman" w:eastAsia="仿宋_GB2312"/>
          <w:b w:val="0"/>
          <w:bCs w:val="0"/>
          <w:sz w:val="30"/>
          <w:lang w:val="en-US" w:eastAsia="zh-CN"/>
        </w:rPr>
        <w:t>完成478家沿江化工企业关改搬转；完成12480个入河排污口整治；长江干流、丹江口水库水质稳定在Ⅱ类及以上；严格落实长江十年禁渔。</w:t>
      </w:r>
    </w:p>
    <w:p w14:paraId="67D76D88">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美丽湖北建设：</w:t>
      </w:r>
      <w:r>
        <w:rPr>
          <w:rFonts w:hint="eastAsia" w:ascii="Times New Roman" w:hAnsi="Times New Roman" w:eastAsia="仿宋_GB2312"/>
          <w:b w:val="0"/>
          <w:bCs w:val="0"/>
          <w:sz w:val="30"/>
          <w:lang w:val="en-US" w:eastAsia="zh-CN"/>
        </w:rPr>
        <w:t>湖北获建全国首批省域美丽中国先行区。</w:t>
      </w:r>
    </w:p>
    <w:p w14:paraId="4D78097D">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生态环境质量：</w:t>
      </w:r>
      <w:r>
        <w:rPr>
          <w:rFonts w:hint="eastAsia" w:ascii="Times New Roman" w:hAnsi="Times New Roman" w:eastAsia="仿宋_GB2312"/>
          <w:b w:val="0"/>
          <w:bCs w:val="0"/>
          <w:sz w:val="30"/>
          <w:lang w:val="en-US" w:eastAsia="zh-CN"/>
        </w:rPr>
        <w:t>森林覆盖率提高到42.5%；国控断面水质优良比例达到95.2%；国考城市PM2.5浓度下降18.3%。</w:t>
      </w:r>
    </w:p>
    <w:p w14:paraId="72C997C6">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绿色低碳发展：</w:t>
      </w:r>
      <w:r>
        <w:rPr>
          <w:rFonts w:hint="eastAsia" w:ascii="Times New Roman" w:hAnsi="Times New Roman" w:eastAsia="仿宋_GB2312"/>
          <w:b w:val="0"/>
          <w:bCs w:val="0"/>
          <w:sz w:val="30"/>
          <w:lang w:val="en-US" w:eastAsia="zh-CN"/>
        </w:rPr>
        <w:t>可再生能源装机容量占比提高到68.6%；国家级绿色工厂达到268家；荆门高新区入选首批国家级零碳园区建设名单；襄阳、十堰入选全国首批碳达峰试点城市。</w:t>
      </w:r>
    </w:p>
    <w:p w14:paraId="0BA871A5">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碳交易平台：</w:t>
      </w:r>
      <w:r>
        <w:rPr>
          <w:rFonts w:hint="eastAsia" w:ascii="Times New Roman" w:hAnsi="Times New Roman" w:eastAsia="仿宋_GB2312"/>
          <w:b w:val="0"/>
          <w:bCs w:val="0"/>
          <w:sz w:val="30"/>
          <w:lang w:val="en-US" w:eastAsia="zh-CN"/>
        </w:rPr>
        <w:t>全国碳排放权注册登记结算系统（中碳登）扩容升级、规模全球最大。</w:t>
      </w:r>
    </w:p>
    <w:p w14:paraId="5D6871DD">
      <w:pPr>
        <w:pStyle w:val="4"/>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Times New Roman" w:hAnsi="Times New Roman" w:eastAsia="仿宋_GB2312"/>
          <w:b w:val="0"/>
          <w:bCs w:val="0"/>
          <w:sz w:val="30"/>
          <w:lang w:val="en-US" w:eastAsia="zh-CN"/>
        </w:rPr>
      </w:pPr>
      <w:r>
        <w:rPr>
          <w:rFonts w:hint="eastAsia" w:ascii="仿宋_GB2312" w:hAnsi="仿宋_GB2312" w:eastAsia="仿宋_GB2312" w:cs="仿宋_GB2312"/>
          <w:b/>
          <w:bCs/>
          <w:sz w:val="32"/>
          <w:szCs w:val="32"/>
          <w:lang w:val="en-US" w:eastAsia="zh-CN" w:bidi="ar-SA"/>
        </w:rPr>
        <w:t>3</w:t>
      </w:r>
      <w:r>
        <w:rPr>
          <w:rFonts w:hint="default" w:ascii="仿宋_GB2312" w:hAnsi="仿宋_GB2312" w:eastAsia="仿宋_GB2312" w:cs="仿宋_GB2312"/>
          <w:b/>
          <w:bCs/>
          <w:sz w:val="32"/>
          <w:szCs w:val="32"/>
          <w:lang w:bidi="ar-SA"/>
        </w:rPr>
        <w:t>. 湖北</w:t>
      </w:r>
      <w:r>
        <w:rPr>
          <w:rFonts w:hint="eastAsia" w:ascii="仿宋_GB2312" w:hAnsi="仿宋_GB2312" w:eastAsia="仿宋_GB2312" w:cs="仿宋_GB2312"/>
          <w:b/>
          <w:bCs/>
          <w:sz w:val="32"/>
          <w:szCs w:val="32"/>
          <w:lang w:val="en-US" w:eastAsia="zh-CN" w:bidi="ar-SA"/>
        </w:rPr>
        <w:t>移动落实情况</w:t>
      </w:r>
    </w:p>
    <w:p w14:paraId="0BE93D3F">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default" w:ascii="Times New Roman" w:hAnsi="Times New Roman" w:eastAsia="仿宋_GB2312"/>
          <w:b/>
          <w:bCs/>
          <w:sz w:val="30"/>
          <w:lang w:val="en-US" w:eastAsia="zh-CN"/>
        </w:rPr>
      </w:pPr>
      <w:r>
        <w:rPr>
          <w:rFonts w:hint="eastAsia" w:ascii="Times New Roman" w:hAnsi="Times New Roman" w:eastAsia="仿宋_GB2312"/>
          <w:b w:val="0"/>
          <w:bCs w:val="0"/>
          <w:sz w:val="30"/>
          <w:lang w:val="en-US" w:eastAsia="zh-CN"/>
        </w:rPr>
        <w:t>2026年</w:t>
      </w:r>
      <w:r>
        <w:rPr>
          <w:rFonts w:hint="default" w:ascii="Times New Roman" w:hAnsi="Times New Roman" w:eastAsia="仿宋_GB2312"/>
          <w:b w:val="0"/>
          <w:bCs w:val="0"/>
          <w:sz w:val="30"/>
          <w:lang w:val="en-US" w:eastAsia="zh-CN"/>
        </w:rPr>
        <w:t>3月9日，湖北省生态环境厅与湖北移动签署战略合作协议，聚焦重点流域、园区和行业，为生态环境监测、执法与治理提供精准支撑，并依托广泛客户渠道，助力环保宣传，推动形成全社会共同参与的治理格局。</w:t>
      </w:r>
    </w:p>
    <w:p w14:paraId="51A452E7">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bCs/>
          <w:sz w:val="30"/>
          <w:lang w:val="en-US" w:eastAsia="zh-CN"/>
        </w:rPr>
      </w:pPr>
      <w:r>
        <w:rPr>
          <w:rFonts w:hint="eastAsia" w:ascii="Times New Roman" w:hAnsi="Times New Roman" w:eastAsia="仿宋_GB2312"/>
          <w:b/>
          <w:bCs/>
          <w:sz w:val="30"/>
          <w:lang w:val="en-US" w:eastAsia="zh-CN"/>
        </w:rPr>
        <w:t>生态环境综合治理：</w:t>
      </w:r>
    </w:p>
    <w:p w14:paraId="6663753A">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（1）</w:t>
      </w:r>
      <w:r>
        <w:rPr>
          <w:rFonts w:hint="default" w:ascii="Times New Roman" w:hAnsi="Times New Roman" w:eastAsia="仿宋_GB2312"/>
          <w:b/>
          <w:bCs/>
          <w:sz w:val="30"/>
          <w:lang w:val="en-US" w:eastAsia="zh-CN"/>
        </w:rPr>
        <w:t>长江大保护数智化：</w:t>
      </w:r>
      <w:r>
        <w:rPr>
          <w:rFonts w:hint="default" w:ascii="Times New Roman" w:hAnsi="Times New Roman" w:eastAsia="仿宋_GB2312"/>
          <w:b w:val="0"/>
          <w:bCs w:val="0"/>
          <w:sz w:val="30"/>
          <w:lang w:val="en-US" w:eastAsia="zh-CN"/>
        </w:rPr>
        <w:t>针对长江流域支流多、生态监管难度大等痛点，构建“长江干流+支流”一体化智能防护体系，推动水域安全管理与生态保护协同并进。在长江重要支流汉江流域，襄阳老河口落地“汉江禁捕”智能监管项目，布设14台双光谱热成像摄像机，全天候监控50公里江岸线，精准打击非法捕捞，助力长江十年禁渔，让汉江重现水鸟翩跹、鱼群繁衍的生机景象。在公安县崇湖国家湿地公园运用物联感知监测设备、倾斜摄影三维建模等技术建成智慧湿地管理系统，为东亚至澳大利西亚候鸟迁徙路线提供精准监测保障。</w:t>
      </w:r>
    </w:p>
    <w:p w14:paraId="6DF412F0">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（2）织就蓝天卫士网：</w:t>
      </w:r>
      <w:r>
        <w:rPr>
          <w:rFonts w:hint="default" w:ascii="Times New Roman" w:hAnsi="Times New Roman" w:eastAsia="仿宋_GB2312"/>
          <w:b w:val="0"/>
          <w:bCs w:val="0"/>
          <w:sz w:val="30"/>
          <w:lang w:val="en-US" w:eastAsia="zh-CN"/>
        </w:rPr>
        <w:t>在荆州公安县成功构建秸秆禁烧检测预警与应急指挥的“蓝天卫士”智能化监控系统。30个监控点位覆盖100公里耕地，实现着火点精准定位与实时预警，为长江流域大气污染防治提供科技支撑。</w:t>
      </w:r>
    </w:p>
    <w:p w14:paraId="68A4759D">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bCs/>
          <w:sz w:val="30"/>
          <w:lang w:val="en-US" w:eastAsia="zh-CN"/>
        </w:rPr>
      </w:pPr>
      <w:r>
        <w:rPr>
          <w:rFonts w:hint="eastAsia" w:ascii="Times New Roman" w:hAnsi="Times New Roman" w:eastAsia="仿宋_GB2312"/>
          <w:b/>
          <w:bCs/>
          <w:sz w:val="30"/>
          <w:lang w:val="en-US" w:eastAsia="zh-CN"/>
        </w:rPr>
        <w:t>绿色低碳经济：</w:t>
      </w:r>
    </w:p>
    <w:p w14:paraId="4D2A0222">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（1）碳普惠平台：</w:t>
      </w:r>
      <w:r>
        <w:rPr>
          <w:rFonts w:hint="eastAsia" w:ascii="Times New Roman" w:hAnsi="Times New Roman" w:eastAsia="仿宋_GB2312"/>
          <w:b w:val="0"/>
          <w:bCs w:val="0"/>
          <w:sz w:val="30"/>
          <w:lang w:val="en-US" w:eastAsia="zh-CN"/>
        </w:rPr>
        <w:t>上线</w:t>
      </w:r>
      <w:r>
        <w:rPr>
          <w:rFonts w:hint="default" w:ascii="Times New Roman" w:hAnsi="Times New Roman" w:eastAsia="仿宋_GB2312"/>
          <w:b w:val="0"/>
          <w:bCs w:val="0"/>
          <w:sz w:val="30"/>
          <w:lang w:val="en-US" w:eastAsia="zh-CN"/>
        </w:rPr>
        <w:t>湖北省首个县级林业碳普惠平台“英山林碳”小程序，英山森林的固碳能力被精准计量、打包成数字化的林业碳票，进入市场公开交易。截至</w:t>
      </w:r>
      <w:r>
        <w:rPr>
          <w:rFonts w:hint="eastAsia" w:ascii="Times New Roman" w:hAnsi="Times New Roman" w:eastAsia="仿宋_GB2312"/>
          <w:b w:val="0"/>
          <w:bCs w:val="0"/>
          <w:sz w:val="30"/>
          <w:lang w:val="en-US" w:eastAsia="zh-CN"/>
        </w:rPr>
        <w:t>2025年</w:t>
      </w:r>
      <w:r>
        <w:rPr>
          <w:rFonts w:hint="default" w:ascii="Times New Roman" w:hAnsi="Times New Roman" w:eastAsia="仿宋_GB2312"/>
          <w:b w:val="0"/>
          <w:bCs w:val="0"/>
          <w:sz w:val="30"/>
          <w:lang w:val="en-US" w:eastAsia="zh-CN"/>
        </w:rPr>
        <w:t>11月底，平台累计完成林业碳汇量认购交易2000余吨，实现经济收益逾15万元。</w:t>
      </w:r>
    </w:p>
    <w:p w14:paraId="215BEB9E">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（2）零碳工厂：</w:t>
      </w:r>
      <w:r>
        <w:rPr>
          <w:rFonts w:hint="eastAsia" w:ascii="Times New Roman" w:hAnsi="Times New Roman" w:eastAsia="仿宋_GB2312"/>
          <w:b w:val="0"/>
          <w:bCs w:val="0"/>
          <w:sz w:val="30"/>
          <w:lang w:val="en-US" w:eastAsia="zh-CN"/>
        </w:rPr>
        <w:t>携手铭轩（武汉）精密铸造有限公司打造“5G能耗监测轻工厂”，通过5G物联卡完成对厂区内部的用电分析、电能分析、供冷供热分析、节能管理等功能监管及数据采集，促进企业绿色低碳发展；</w:t>
      </w:r>
      <w:r>
        <w:rPr>
          <w:rFonts w:hint="default" w:ascii="Times New Roman" w:hAnsi="Times New Roman" w:eastAsia="仿宋_GB2312"/>
          <w:b w:val="0"/>
          <w:bCs w:val="0"/>
          <w:sz w:val="30"/>
          <w:lang w:val="en-US" w:eastAsia="zh-CN"/>
        </w:rPr>
        <w:t>联合京能十堰打造智慧能源综合体，将十堰市各换热站及压力、流量、温度等各类数据，清晰地呈现在智慧热网调度中心大屏上，实现供热设施从“人控”到“智控”，提高生产效能，降低碳排放。</w:t>
      </w:r>
    </w:p>
    <w:p w14:paraId="4B59441A">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（3）城市节能：</w:t>
      </w:r>
      <w:r>
        <w:rPr>
          <w:rFonts w:hint="eastAsia" w:ascii="Times New Roman" w:hAnsi="Times New Roman" w:eastAsia="仿宋_GB2312"/>
          <w:b w:val="0"/>
          <w:bCs w:val="0"/>
          <w:sz w:val="30"/>
          <w:lang w:val="en-US" w:eastAsia="zh-CN"/>
        </w:rPr>
        <w:t>与宜昌市路灯管理服务中心合作，打造3万余盏AI智慧路灯，基于“中移·坤灵灯链”智慧平台，汇聚路灯运营、交通流量、天气变化等数据，通过统筹调度，使该市路灯用电更智慧、更节能。</w:t>
      </w:r>
    </w:p>
    <w:p w14:paraId="4B866C12">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碳达峰碳中和</w:t>
      </w:r>
      <w:r>
        <w:rPr>
          <w:rFonts w:hint="default" w:ascii="Times New Roman" w:hAnsi="Times New Roman" w:eastAsia="仿宋_GB2312"/>
          <w:b/>
          <w:bCs/>
          <w:sz w:val="30"/>
          <w:lang w:val="en-US" w:eastAsia="zh-CN"/>
        </w:rPr>
        <w:t>：</w:t>
      </w:r>
      <w:r>
        <w:rPr>
          <w:rFonts w:hint="default" w:ascii="Times New Roman" w:hAnsi="Times New Roman" w:eastAsia="仿宋_GB2312"/>
          <w:b w:val="0"/>
          <w:bCs w:val="0"/>
          <w:sz w:val="30"/>
          <w:lang w:val="en-US" w:eastAsia="zh-CN"/>
        </w:rPr>
        <w:t>为打造绿色、低碳智算中心，提供高效、绿色、安全可信的算力服务，湖北移动在机房建设方面采用了集装箱式一体化电源和冷板式液冷解决方案，不仅提升了5%电源效率，同时有效降低了碳排放。中国移动智算中心（武汉）采用液冷、自然冷却等节能技术，贯彻绿色低碳理念，</w:t>
      </w:r>
      <w:r>
        <w:rPr>
          <w:rFonts w:hint="eastAsia" w:ascii="Times New Roman" w:hAnsi="Times New Roman" w:eastAsia="仿宋_GB2312"/>
          <w:b w:val="0"/>
          <w:bCs w:val="0"/>
          <w:sz w:val="30"/>
          <w:lang w:val="en-US" w:eastAsia="zh-CN"/>
        </w:rPr>
        <w:t>通过核心配套电源空调设施再次扩容，</w:t>
      </w:r>
      <w:r>
        <w:rPr>
          <w:rFonts w:hint="default" w:ascii="Times New Roman" w:hAnsi="Times New Roman" w:eastAsia="仿宋_GB2312"/>
          <w:b w:val="0"/>
          <w:bCs w:val="0"/>
          <w:sz w:val="30"/>
          <w:lang w:val="en-US" w:eastAsia="zh-CN"/>
        </w:rPr>
        <w:t>电能利用效率（PUE）低至1.19，优于国家枢纽节点1.2的控制红线，年节电超1000万千瓦时，省下的电足够支撑近5万户家庭的全年用电。支撑湖北建设省域美丽中国先行区。</w:t>
      </w:r>
      <w:r>
        <w:rPr>
          <w:rFonts w:hint="eastAsia" w:ascii="Times New Roman" w:hAnsi="Times New Roman" w:eastAsia="仿宋_GB2312"/>
          <w:b w:val="0"/>
          <w:bCs w:val="0"/>
          <w:sz w:val="30"/>
          <w:lang w:val="en-US" w:eastAsia="zh-CN"/>
        </w:rPr>
        <w:t>在襄阳，完成全省首套SPN自智网络动态AI节能现网验证，利用AI算法对基站实施动态休眠或唤醒，精准调节设备状态，实现单设备节省能耗16.8%。在宜昌完成全省首个5G基站极致休眠创新方案部署，实现了“0 Bit 0 Watt”节能目标。开启极致休眠功能后，单站预计每年可节省2600度电。</w:t>
      </w:r>
    </w:p>
    <w:p w14:paraId="02DD7C6D">
      <w:pPr>
        <w:pStyle w:val="2"/>
        <w:pageBreakBefore w:val="0"/>
        <w:kinsoku/>
        <w:wordWrap/>
        <w:overflowPunct/>
        <w:topLinePunct w:val="0"/>
        <w:autoSpaceDE/>
        <w:autoSpaceDN/>
        <w:bidi w:val="0"/>
        <w:adjustRightInd/>
        <w:spacing w:line="560" w:lineRule="exact"/>
        <w:rPr>
          <w:rFonts w:hint="default"/>
        </w:rPr>
      </w:pPr>
    </w:p>
    <w:p w14:paraId="2A64AC37">
      <w:pPr>
        <w:pStyle w:val="3"/>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仿宋_GB2312" w:hAnsi="仿宋_GB2312" w:eastAsia="仿宋_GB2312" w:cs="仿宋_GB2312"/>
          <w:b/>
          <w:bCs/>
          <w:sz w:val="32"/>
          <w:szCs w:val="32"/>
          <w:lang w:val="en-US" w:eastAsia="zh-CN" w:bidi="ar-SA"/>
        </w:rPr>
      </w:pPr>
      <w:r>
        <w:rPr>
          <w:rFonts w:hint="eastAsia" w:ascii="仿宋_GB2312" w:hAnsi="仿宋_GB2312" w:eastAsia="仿宋_GB2312" w:cs="仿宋_GB2312"/>
          <w:b/>
          <w:bCs/>
          <w:sz w:val="32"/>
          <w:szCs w:val="32"/>
          <w:lang w:val="en-US" w:eastAsia="zh-CN" w:bidi="ar-SA"/>
        </w:rPr>
        <w:t>十、</w:t>
      </w:r>
      <w:r>
        <w:rPr>
          <w:rFonts w:hint="default" w:ascii="仿宋_GB2312" w:hAnsi="仿宋_GB2312" w:eastAsia="仿宋_GB2312" w:cs="仿宋_GB2312"/>
          <w:b/>
          <w:bCs/>
          <w:sz w:val="32"/>
          <w:szCs w:val="32"/>
          <w:lang w:val="en-US" w:eastAsia="zh-CN" w:bidi="ar-SA"/>
        </w:rPr>
        <w:t>加强重点领域风险防范化解和安全能力建设</w:t>
      </w:r>
    </w:p>
    <w:p w14:paraId="4EF27CB3">
      <w:pPr>
        <w:pStyle w:val="4"/>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仿宋_GB2312" w:hAnsi="仿宋_GB2312" w:eastAsia="仿宋_GB2312" w:cs="仿宋_GB2312"/>
          <w:b/>
          <w:bCs/>
          <w:sz w:val="32"/>
          <w:szCs w:val="32"/>
          <w:lang w:val="en-US" w:eastAsia="zh-CN" w:bidi="ar-SA"/>
        </w:rPr>
      </w:pPr>
      <w:r>
        <w:rPr>
          <w:rFonts w:hint="default" w:ascii="仿宋_GB2312" w:hAnsi="仿宋_GB2312" w:eastAsia="仿宋_GB2312" w:cs="仿宋_GB2312"/>
          <w:b/>
          <w:bCs/>
          <w:sz w:val="32"/>
          <w:szCs w:val="32"/>
          <w:lang w:bidi="ar-SA"/>
        </w:rPr>
        <w:t>1. 国家层面</w:t>
      </w:r>
    </w:p>
    <w:p w14:paraId="6BB29943">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积极稳妥化解金融领域风险：</w:t>
      </w:r>
      <w:r>
        <w:rPr>
          <w:rFonts w:hint="default" w:ascii="Times New Roman" w:hAnsi="Times New Roman" w:eastAsia="仿宋_GB2312"/>
          <w:b w:val="0"/>
          <w:bCs w:val="0"/>
          <w:sz w:val="30"/>
          <w:lang w:val="en-US" w:eastAsia="zh-CN"/>
        </w:rPr>
        <w:t>强化金融风险监测预警。</w:t>
      </w:r>
    </w:p>
    <w:p w14:paraId="7AB5CAAA">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default" w:ascii="Times New Roman" w:hAnsi="Times New Roman" w:eastAsia="仿宋_GB2312"/>
          <w:b/>
          <w:bCs/>
          <w:sz w:val="30"/>
          <w:lang w:val="en-US" w:eastAsia="zh-CN"/>
        </w:rPr>
        <w:t>维护国家安全和社会稳定：</w:t>
      </w:r>
      <w:r>
        <w:rPr>
          <w:rFonts w:hint="default" w:ascii="Times New Roman" w:hAnsi="Times New Roman" w:eastAsia="仿宋_GB2312"/>
          <w:b w:val="0"/>
          <w:bCs w:val="0"/>
          <w:sz w:val="30"/>
          <w:lang w:val="en-US" w:eastAsia="zh-CN"/>
        </w:rPr>
        <w:t>全面完成安全生产治本攻坚三年行动；加强气象、水文、地质灾害、森林草原火灾、地震监测预报预警；加快建设现代化水网</w:t>
      </w:r>
      <w:r>
        <w:rPr>
          <w:rFonts w:hint="eastAsia" w:ascii="Times New Roman" w:hAnsi="Times New Roman" w:eastAsia="仿宋_GB2312"/>
          <w:b w:val="0"/>
          <w:bCs w:val="0"/>
          <w:sz w:val="30"/>
          <w:lang w:val="en-US" w:eastAsia="zh-CN"/>
        </w:rPr>
        <w:t>；</w:t>
      </w:r>
      <w:r>
        <w:rPr>
          <w:rFonts w:hint="default" w:ascii="Times New Roman" w:hAnsi="Times New Roman" w:eastAsia="仿宋_GB2312"/>
          <w:b w:val="0"/>
          <w:bCs w:val="0"/>
          <w:sz w:val="30"/>
          <w:lang w:val="en-US" w:eastAsia="zh-CN"/>
        </w:rPr>
        <w:t>加大预防和打击电信网络诈骗力度。</w:t>
      </w:r>
    </w:p>
    <w:p w14:paraId="3659E19F">
      <w:pPr>
        <w:pStyle w:val="4"/>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default" w:ascii="仿宋_GB2312" w:hAnsi="仿宋_GB2312" w:eastAsia="仿宋_GB2312" w:cs="仿宋_GB2312"/>
          <w:b/>
          <w:bCs/>
          <w:sz w:val="32"/>
          <w:szCs w:val="32"/>
          <w:lang w:val="en-US" w:eastAsia="zh-CN" w:bidi="ar-SA"/>
        </w:rPr>
      </w:pPr>
      <w:r>
        <w:rPr>
          <w:rFonts w:hint="default" w:ascii="仿宋_GB2312" w:hAnsi="仿宋_GB2312" w:eastAsia="仿宋_GB2312" w:cs="仿宋_GB2312"/>
          <w:b/>
          <w:bCs/>
          <w:sz w:val="32"/>
          <w:szCs w:val="32"/>
          <w:lang w:bidi="ar-SA"/>
        </w:rPr>
        <w:t>2. 湖北省</w:t>
      </w:r>
      <w:r>
        <w:rPr>
          <w:rFonts w:hint="eastAsia" w:ascii="仿宋_GB2312" w:hAnsi="仿宋_GB2312" w:eastAsia="仿宋_GB2312" w:cs="仿宋_GB2312"/>
          <w:b/>
          <w:bCs/>
          <w:sz w:val="32"/>
          <w:szCs w:val="32"/>
          <w:lang w:val="en-US" w:eastAsia="zh-CN" w:bidi="ar-SA"/>
        </w:rPr>
        <w:t>工作要点</w:t>
      </w:r>
    </w:p>
    <w:p w14:paraId="33DE7CA2">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基层治理：</w:t>
      </w:r>
      <w:r>
        <w:rPr>
          <w:rFonts w:hint="eastAsia" w:ascii="Times New Roman" w:hAnsi="Times New Roman" w:eastAsia="仿宋_GB2312"/>
          <w:b w:val="0"/>
          <w:bCs w:val="0"/>
          <w:sz w:val="30"/>
          <w:lang w:val="en-US" w:eastAsia="zh-CN"/>
        </w:rPr>
        <w:t>新增全国文明城市12个，总数达到22个。</w:t>
      </w:r>
    </w:p>
    <w:p w14:paraId="6F963644">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风险防控：</w:t>
      </w:r>
      <w:r>
        <w:rPr>
          <w:rFonts w:hint="eastAsia" w:ascii="Times New Roman" w:hAnsi="Times New Roman" w:eastAsia="仿宋_GB2312"/>
          <w:b w:val="0"/>
          <w:bCs w:val="0"/>
          <w:sz w:val="30"/>
          <w:lang w:val="en-US" w:eastAsia="zh-CN"/>
        </w:rPr>
        <w:t>重点领域风险总体可控；生产安全事故起数持续下降；信访问题源头治理取得积极成效；常态化扫黑除恶、毒品清剿攻坚、电信网络诈骗治理扎实深入开展。</w:t>
      </w:r>
    </w:p>
    <w:p w14:paraId="689E1EF3">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应急体系：</w:t>
      </w:r>
      <w:r>
        <w:rPr>
          <w:rFonts w:hint="eastAsia" w:ascii="Times New Roman" w:hAnsi="Times New Roman" w:eastAsia="仿宋_GB2312"/>
          <w:b w:val="0"/>
          <w:bCs w:val="0"/>
          <w:sz w:val="30"/>
          <w:lang w:val="en-US" w:eastAsia="zh-CN"/>
        </w:rPr>
        <w:t>华中区域应急救援中心、粮食应急保障中心、邮件处理中心、国家药品和医疗器械审评检查华中分中心等一批功能性项目相继实施。</w:t>
      </w:r>
    </w:p>
    <w:p w14:paraId="4CA26679">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消防安全：</w:t>
      </w:r>
      <w:r>
        <w:rPr>
          <w:rFonts w:hint="eastAsia" w:ascii="Times New Roman" w:hAnsi="Times New Roman" w:eastAsia="仿宋_GB2312"/>
          <w:b w:val="0"/>
          <w:bCs w:val="0"/>
          <w:sz w:val="30"/>
          <w:lang w:val="en-US" w:eastAsia="zh-CN"/>
        </w:rPr>
        <w:t>新（改、扩）建消防救援站20个；新增市政消火栓2000具，增强高层建筑等场所火灾防范和救援能力。</w:t>
      </w:r>
    </w:p>
    <w:p w14:paraId="749E4B77">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防范治理风险隐患：</w:t>
      </w:r>
      <w:r>
        <w:rPr>
          <w:rFonts w:hint="eastAsia" w:ascii="Times New Roman" w:hAnsi="Times New Roman" w:eastAsia="仿宋_GB2312"/>
          <w:b w:val="0"/>
          <w:bCs w:val="0"/>
          <w:sz w:val="30"/>
          <w:lang w:val="en-US" w:eastAsia="zh-CN"/>
        </w:rPr>
        <w:t>持续防范打击针对老年人的非法集资活动、新型电信网络诈骗违法犯罪活动。</w:t>
      </w:r>
    </w:p>
    <w:p w14:paraId="1E80C999">
      <w:pPr>
        <w:pStyle w:val="4"/>
        <w:keepNext/>
        <w:keepLines/>
        <w:pageBreakBefore w:val="0"/>
        <w:kinsoku/>
        <w:wordWrap/>
        <w:overflowPunct/>
        <w:topLinePunct w:val="0"/>
        <w:autoSpaceDE/>
        <w:autoSpaceDN/>
        <w:bidi w:val="0"/>
        <w:adjustRightInd/>
        <w:snapToGrid/>
        <w:spacing w:before="0" w:beforeAutospacing="0" w:after="0" w:afterAutospacing="0" w:line="560" w:lineRule="exact"/>
        <w:ind w:firstLine="640"/>
        <w:jc w:val="both"/>
        <w:textAlignment w:val="auto"/>
        <w:outlineLvl w:val="0"/>
        <w:rPr>
          <w:rFonts w:hint="eastAsia" w:ascii="仿宋_GB2312" w:hAnsi="仿宋_GB2312" w:eastAsia="仿宋_GB2312" w:cs="仿宋_GB2312"/>
          <w:b/>
          <w:bCs/>
          <w:sz w:val="32"/>
          <w:szCs w:val="32"/>
          <w:lang w:val="en-US" w:eastAsia="zh-CN" w:bidi="ar-SA"/>
        </w:rPr>
      </w:pPr>
      <w:r>
        <w:rPr>
          <w:rFonts w:hint="eastAsia" w:ascii="仿宋_GB2312" w:hAnsi="仿宋_GB2312" w:eastAsia="仿宋_GB2312" w:cs="仿宋_GB2312"/>
          <w:b/>
          <w:bCs/>
          <w:sz w:val="32"/>
          <w:szCs w:val="32"/>
          <w:lang w:val="en-US" w:eastAsia="zh-CN" w:bidi="ar-SA"/>
        </w:rPr>
        <w:t>3</w:t>
      </w:r>
      <w:r>
        <w:rPr>
          <w:rFonts w:hint="default" w:ascii="仿宋_GB2312" w:hAnsi="仿宋_GB2312" w:eastAsia="仿宋_GB2312" w:cs="仿宋_GB2312"/>
          <w:b/>
          <w:bCs/>
          <w:sz w:val="32"/>
          <w:szCs w:val="32"/>
          <w:lang w:bidi="ar-SA"/>
        </w:rPr>
        <w:t>. 湖北</w:t>
      </w:r>
      <w:r>
        <w:rPr>
          <w:rFonts w:hint="eastAsia" w:ascii="仿宋_GB2312" w:hAnsi="仿宋_GB2312" w:eastAsia="仿宋_GB2312" w:cs="仿宋_GB2312"/>
          <w:b/>
          <w:bCs/>
          <w:sz w:val="32"/>
          <w:szCs w:val="32"/>
          <w:lang w:val="en-US" w:eastAsia="zh-CN" w:bidi="ar-SA"/>
        </w:rPr>
        <w:t>移动落实情况</w:t>
      </w:r>
    </w:p>
    <w:p w14:paraId="2D052D8C">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lang w:val="en-US" w:eastAsia="zh-CN"/>
        </w:rPr>
      </w:pPr>
      <w:r>
        <w:rPr>
          <w:rFonts w:hint="default" w:ascii="Times New Roman" w:hAnsi="Times New Roman" w:eastAsia="仿宋_GB2312"/>
          <w:b/>
          <w:bCs/>
          <w:sz w:val="30"/>
          <w:lang w:val="en-US" w:eastAsia="zh-CN"/>
        </w:rPr>
        <w:t>化解金融</w:t>
      </w:r>
      <w:r>
        <w:rPr>
          <w:rFonts w:hint="eastAsia" w:ascii="Times New Roman" w:hAnsi="Times New Roman" w:eastAsia="仿宋_GB2312"/>
          <w:b/>
          <w:bCs/>
          <w:sz w:val="30"/>
          <w:lang w:val="en-US" w:eastAsia="zh-CN"/>
        </w:rPr>
        <w:t>领域</w:t>
      </w:r>
      <w:r>
        <w:rPr>
          <w:rFonts w:hint="default" w:ascii="Times New Roman" w:hAnsi="Times New Roman" w:eastAsia="仿宋_GB2312"/>
          <w:b/>
          <w:bCs/>
          <w:sz w:val="30"/>
          <w:lang w:val="en-US" w:eastAsia="zh-CN"/>
        </w:rPr>
        <w:t>风险</w:t>
      </w:r>
      <w:r>
        <w:rPr>
          <w:rFonts w:hint="eastAsia" w:ascii="Times New Roman" w:hAnsi="Times New Roman" w:eastAsia="仿宋_GB2312"/>
          <w:b/>
          <w:bCs/>
          <w:sz w:val="30"/>
          <w:lang w:val="en-US" w:eastAsia="zh-CN"/>
        </w:rPr>
        <w:t>：</w:t>
      </w:r>
      <w:r>
        <w:rPr>
          <w:rFonts w:hint="eastAsia" w:ascii="Times New Roman" w:hAnsi="Times New Roman" w:eastAsia="仿宋_GB2312"/>
          <w:b w:val="0"/>
          <w:bCs w:val="0"/>
          <w:sz w:val="30"/>
          <w:lang w:val="en-US" w:eastAsia="zh-CN"/>
        </w:rPr>
        <w:t>与建设银行、工商银行、农业银行、光大银行等头部金融机构相继签署全面战略协议，签约率达90%，与银联商务合作梧桐风控模型分产品荣获2025年“数据要素×”大赛湖北分赛金融服务赛道优秀奖，是该赛道唯一通信运营商获奖项目。金融行业拓展室申报的“基于隐私计算和联合建模的金融行业支付反欺诈预警模型” 与“基于大模型的AI+贷款合同智能审核解决方案”荣获 “ICT中国（2025）案例”二等奖。</w:t>
      </w:r>
    </w:p>
    <w:p w14:paraId="52DDD881">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eastAsia" w:ascii="Times New Roman" w:hAnsi="Times New Roman" w:eastAsia="仿宋_GB2312"/>
          <w:b/>
          <w:bCs/>
          <w:sz w:val="30"/>
          <w:lang w:val="en-US" w:eastAsia="zh-CN"/>
        </w:rPr>
      </w:pPr>
      <w:r>
        <w:rPr>
          <w:rFonts w:hint="eastAsia" w:ascii="Times New Roman" w:hAnsi="Times New Roman" w:eastAsia="仿宋_GB2312"/>
          <w:b/>
          <w:bCs/>
          <w:sz w:val="30"/>
          <w:lang w:val="en-US" w:eastAsia="zh-CN"/>
        </w:rPr>
        <w:t>维护国家安全和社会稳定：</w:t>
      </w:r>
    </w:p>
    <w:p w14:paraId="59A45355">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（1）应急保障：</w:t>
      </w:r>
      <w:r>
        <w:rPr>
          <w:rFonts w:hint="default" w:ascii="Times New Roman" w:hAnsi="Times New Roman" w:eastAsia="仿宋_GB2312"/>
          <w:b w:val="0"/>
          <w:bCs w:val="0"/>
          <w:sz w:val="30"/>
          <w:lang w:val="en-US" w:eastAsia="zh-CN"/>
        </w:rPr>
        <w:t>承担各类自然灾害和突发事件的应急通信保障任务。</w:t>
      </w:r>
    </w:p>
    <w:p w14:paraId="3F539B17">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（2）安全监测：</w:t>
      </w:r>
      <w:r>
        <w:rPr>
          <w:rFonts w:hint="eastAsia" w:ascii="Times New Roman" w:hAnsi="Times New Roman" w:eastAsia="仿宋_GB2312"/>
          <w:b w:val="0"/>
          <w:bCs w:val="0"/>
          <w:sz w:val="30"/>
          <w:lang w:val="en-US" w:eastAsia="zh-CN"/>
        </w:rPr>
        <w:t>将5G、北斗、人工智能等现代信息技术与地质灾害防治深度融合，构建了一套全域感知、高效研判、直观展示的智能监测预警系统。将地质灾害形变监测精度从传统方法的5毫米提升至1毫米，将现有解算时长2分钟提升至30秒。自系统上线以来，已累计捕捉有效形变信号7次，成功预警2起潜在滑坡事件，为提前转移受威胁群众争取了宝贵时间。为十堰、黄冈等易发生滑坡、泥石流等地质灾害的最前端筑起一道数智“安全防线”。</w:t>
      </w:r>
    </w:p>
    <w:p w14:paraId="4132C70F">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lang w:val="en-US" w:eastAsia="zh-CN"/>
        </w:rPr>
      </w:pPr>
      <w:r>
        <w:rPr>
          <w:rFonts w:hint="eastAsia" w:ascii="Times New Roman" w:hAnsi="Times New Roman" w:eastAsia="仿宋_GB2312"/>
          <w:b/>
          <w:bCs/>
          <w:sz w:val="30"/>
          <w:lang w:val="en-US" w:eastAsia="zh-CN"/>
        </w:rPr>
        <w:t>（3）现代水网：</w:t>
      </w:r>
      <w:r>
        <w:rPr>
          <w:rFonts w:hint="eastAsia" w:ascii="Times New Roman" w:hAnsi="Times New Roman" w:eastAsia="仿宋_GB2312"/>
          <w:b w:val="0"/>
          <w:bCs w:val="0"/>
          <w:sz w:val="30"/>
          <w:lang w:val="en-US" w:eastAsia="zh-CN"/>
        </w:rPr>
        <w:t>打造“5G+智慧水利”体系已助力省内多个重点灌区与水库实现数字化管控，为区域水安全与农业稳产筑牢数字底座。在湖北省第二大灌区——襄阳引丹灌区，实现68公里总干渠的地形地貌、水流状态监测，</w:t>
      </w:r>
      <w:r>
        <w:rPr>
          <w:rFonts w:hint="eastAsia" w:ascii="Times New Roman" w:hAnsi="Times New Roman" w:eastAsia="仿宋_GB2312"/>
          <w:b w:val="0"/>
          <w:bCs w:val="0"/>
          <w:sz w:val="30"/>
          <w:lang w:val="en-US" w:eastAsia="zh-CN"/>
        </w:rPr>
        <w:t>老河口、襄州区、樊城区14个乡镇的17处自动墒情监测站通过</w:t>
      </w:r>
      <w:r>
        <w:rPr>
          <w:rFonts w:hint="eastAsia" w:ascii="Times New Roman" w:hAnsi="Times New Roman" w:eastAsia="仿宋_GB2312"/>
          <w:b w:val="0"/>
          <w:bCs w:val="0"/>
          <w:sz w:val="30"/>
          <w:lang w:val="en-US" w:eastAsia="zh-CN"/>
        </w:rPr>
        <w:t>5G网络实现点位土壤含水量实时数据回传至指挥中心。在荆门漳河灌区，建起“1+1+N+3”数字孪生体系，以“一张图”实现精准监测，以“一张网”达成高效调配，显著提升了防洪管理、水资源配置及大坝安全监测的智能化水平，为获得5G绽放杯全国二等奖。在孝昌县丰山镇滑石冲水库，数字孪生平台整合水雨情、坝体安全、水质监测等模块，工作人员在线上便能完成安全巡查与供水调度，确保灌溉供水及时稳定。</w:t>
      </w:r>
    </w:p>
    <w:p w14:paraId="5B33FB1F">
      <w:pPr>
        <w:keepNext w:val="0"/>
        <w:keepLines w:val="0"/>
        <w:pageBreakBefore w:val="0"/>
        <w:widowControl w:val="0"/>
        <w:kinsoku/>
        <w:wordWrap/>
        <w:overflowPunct/>
        <w:topLinePunct w:val="0"/>
        <w:autoSpaceDE/>
        <w:autoSpaceDN/>
        <w:bidi w:val="0"/>
        <w:adjustRightInd/>
        <w:snapToGrid/>
        <w:spacing w:line="560" w:lineRule="exact"/>
        <w:ind w:firstLine="602" w:firstLineChars="200"/>
        <w:textAlignment w:val="auto"/>
        <w:rPr>
          <w:rFonts w:hint="default" w:ascii="Times New Roman" w:hAnsi="Times New Roman" w:eastAsia="仿宋_GB2312"/>
          <w:b w:val="0"/>
          <w:bCs w:val="0"/>
          <w:sz w:val="30"/>
          <w:lang w:val="en-US" w:eastAsia="zh-CN"/>
        </w:rPr>
      </w:pPr>
      <w:r>
        <w:rPr>
          <w:rFonts w:hint="eastAsia" w:ascii="Times New Roman" w:hAnsi="Times New Roman" w:eastAsia="仿宋_GB2312"/>
          <w:b/>
          <w:bCs/>
          <w:sz w:val="30"/>
          <w:lang w:val="en-US" w:eastAsia="zh-CN"/>
        </w:rPr>
        <w:t>（4）电信反诈：</w:t>
      </w:r>
      <w:r>
        <w:rPr>
          <w:rFonts w:hint="eastAsia" w:ascii="Times New Roman" w:hAnsi="Times New Roman" w:eastAsia="仿宋_GB2312"/>
          <w:b w:val="0"/>
          <w:bCs w:val="0"/>
          <w:sz w:val="30"/>
          <w:lang w:val="en-US" w:eastAsia="zh-CN"/>
        </w:rPr>
        <w:t>依托大数据技术，中国移动湖北公司运用存量反诈样本建立数据模型，实时拦截证件黑名单、反复开销卡等异常入网行为，涉案号码识别率提升至83%，让诈骗无所遁形。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62F35"/>
    <w:multiLevelType w:val="singleLevel"/>
    <w:tmpl w:val="86D62F35"/>
    <w:lvl w:ilvl="0" w:tentative="0">
      <w:start w:val="1"/>
      <w:numFmt w:val="decimal"/>
      <w:suff w:val="nothing"/>
      <w:lvlText w:val="（%1）"/>
      <w:lvlJc w:val="left"/>
      <w:rPr>
        <w:rFonts w:hint="default"/>
        <w:b/>
        <w:bCs/>
      </w:rPr>
    </w:lvl>
  </w:abstractNum>
  <w:abstractNum w:abstractNumId="1">
    <w:nsid w:val="88E04742"/>
    <w:multiLevelType w:val="singleLevel"/>
    <w:tmpl w:val="88E04742"/>
    <w:lvl w:ilvl="0" w:tentative="0">
      <w:start w:val="1"/>
      <w:numFmt w:val="decimal"/>
      <w:suff w:val="nothing"/>
      <w:lvlText w:val="（%1）"/>
      <w:lvlJc w:val="left"/>
      <w:rPr>
        <w:rFonts w:hint="default"/>
        <w:b/>
        <w:bCs/>
      </w:rPr>
    </w:lvl>
  </w:abstractNum>
  <w:abstractNum w:abstractNumId="2">
    <w:nsid w:val="E190839C"/>
    <w:multiLevelType w:val="singleLevel"/>
    <w:tmpl w:val="E190839C"/>
    <w:lvl w:ilvl="0" w:tentative="0">
      <w:start w:val="3"/>
      <w:numFmt w:val="decimal"/>
      <w:suff w:val="space"/>
      <w:lvlText w:val="%1."/>
      <w:lvlJc w:val="left"/>
    </w:lvl>
  </w:abstractNum>
  <w:abstractNum w:abstractNumId="3">
    <w:nsid w:val="2D79DF85"/>
    <w:multiLevelType w:val="singleLevel"/>
    <w:tmpl w:val="2D79DF85"/>
    <w:lvl w:ilvl="0" w:tentative="0">
      <w:start w:val="1"/>
      <w:numFmt w:val="decimal"/>
      <w:suff w:val="nothing"/>
      <w:lvlText w:val="（%1）"/>
      <w:lvlJc w:val="left"/>
    </w:lvl>
  </w:abstractNum>
  <w:abstractNum w:abstractNumId="4">
    <w:nsid w:val="49EF6C43"/>
    <w:multiLevelType w:val="singleLevel"/>
    <w:tmpl w:val="49EF6C43"/>
    <w:lvl w:ilvl="0" w:tentative="0">
      <w:start w:val="3"/>
      <w:numFmt w:val="decimal"/>
      <w:suff w:val="space"/>
      <w:lvlText w:val="%1."/>
      <w:lvlJc w:val="left"/>
    </w:lvl>
  </w:abstractNum>
  <w:abstractNum w:abstractNumId="5">
    <w:nsid w:val="5A0C92B0"/>
    <w:multiLevelType w:val="singleLevel"/>
    <w:tmpl w:val="5A0C92B0"/>
    <w:lvl w:ilvl="0" w:tentative="0">
      <w:start w:val="2"/>
      <w:numFmt w:val="decimal"/>
      <w:suff w:val="space"/>
      <w:lvlText w:val="%1."/>
      <w:lvlJc w:val="left"/>
    </w:lvl>
  </w:abstractNum>
  <w:num w:numId="1">
    <w:abstractNumId w:val="2"/>
  </w:num>
  <w:num w:numId="2">
    <w:abstractNumId w:val="3"/>
  </w:num>
  <w:num w:numId="3">
    <w:abstractNumId w:val="0"/>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687C3A"/>
    <w:rsid w:val="01BE3BEC"/>
    <w:rsid w:val="03151C1F"/>
    <w:rsid w:val="08E623AA"/>
    <w:rsid w:val="23687C3A"/>
    <w:rsid w:val="2E6B4F35"/>
    <w:rsid w:val="32A974A8"/>
    <w:rsid w:val="35E52C88"/>
    <w:rsid w:val="37D529A9"/>
    <w:rsid w:val="41FE1AD4"/>
    <w:rsid w:val="43C845C3"/>
    <w:rsid w:val="4743487A"/>
    <w:rsid w:val="4C1550E2"/>
    <w:rsid w:val="4D8465BE"/>
    <w:rsid w:val="52035CAA"/>
    <w:rsid w:val="5DDC3F2E"/>
    <w:rsid w:val="602D7F7A"/>
    <w:rsid w:val="61277B74"/>
    <w:rsid w:val="66B87515"/>
    <w:rsid w:val="6D01327B"/>
    <w:rsid w:val="6ED962E1"/>
    <w:rsid w:val="6EDB4DC7"/>
    <w:rsid w:val="773250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4">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5">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center"/>
    </w:pPr>
    <w:rPr>
      <w:sz w:val="18"/>
      <w:szCs w:val="18"/>
    </w:rPr>
  </w:style>
  <w:style w:type="paragraph" w:styleId="6">
    <w:name w:val="HTML Address"/>
    <w:basedOn w:val="1"/>
    <w:next w:val="1"/>
    <w:qFormat/>
    <w:uiPriority w:val="0"/>
    <w:rPr>
      <w:i/>
    </w:rPr>
  </w:style>
  <w:style w:type="paragraph" w:styleId="7">
    <w:name w:val="Normal (Web)"/>
    <w:basedOn w:val="1"/>
    <w:uiPriority w:val="0"/>
    <w:rPr>
      <w:sz w:val="24"/>
    </w:rPr>
  </w:style>
  <w:style w:type="character" w:styleId="10">
    <w:name w:val="Strong"/>
    <w:basedOn w:val="9"/>
    <w:qFormat/>
    <w:uiPriority w:val="0"/>
    <w:rPr>
      <w:b/>
    </w:rPr>
  </w:style>
  <w:style w:type="character" w:customStyle="1" w:styleId="11">
    <w:name w:val="15"/>
    <w:basedOn w:val="9"/>
    <w:qFormat/>
    <w:uiPriority w:val="0"/>
    <w:rPr>
      <w:rFonts w:hint="default" w:ascii="微软雅黑" w:hAnsi="微软雅黑" w:eastAsia="微软雅黑" w:cs="微软雅黑"/>
      <w:b/>
      <w:bCs/>
      <w:color w:val="FF0000"/>
      <w:sz w:val="24"/>
      <w:szCs w:val="24"/>
    </w:rPr>
  </w:style>
  <w:style w:type="character" w:customStyle="1" w:styleId="12">
    <w:name w:val="16"/>
    <w:basedOn w:val="9"/>
    <w:qFormat/>
    <w:uiPriority w:val="0"/>
    <w:rPr>
      <w:rFonts w:hint="default" w:ascii="微软雅黑" w:hAnsi="微软雅黑" w:eastAsia="微软雅黑" w:cs="微软雅黑"/>
      <w:b/>
      <w:bCs/>
      <w:color w:val="00000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湖北有限公司</Company>
  <Pages>28</Pages>
  <Words>0</Words>
  <Characters>0</Characters>
  <Lines>0</Lines>
  <Paragraphs>0</Paragraphs>
  <TotalTime>7</TotalTime>
  <ScaleCrop>false</ScaleCrop>
  <LinksUpToDate>false</LinksUpToDate>
  <CharactersWithSpaces>0</CharactersWithSpaces>
  <Application>WPS Office_12.8.2.19315_F1E327BC-269C-435d-A152-05C5408002CA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2026-03-17T06:49:00Z</dcterms:created>
  <dc:creator>Tao</dc:creator>
  <cp:lastModifiedBy>Tao</cp:lastModifiedBy>
  <dcterms:modified xsi:type="dcterms:W3CDTF">2026-03-20T08:27:51Z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2052-12.8.2.19315</vt:lpwstr>
  </property>
  <property fmtid="{D5CDD505-2E9C-101B-9397-08002B2CF9AE}" pid="3" name="ICV">
    <vt:lpwstr>F4EEBF7F171D478AAE9E41946EC88012_13</vt:lpwstr>
  </property>
</Properties>
</file>