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textAlignment w:val="auto"/>
        <w:rPr>
          <w:rFonts w:hint="eastAsia"/>
          <w:sz w:val="44"/>
        </w:rPr>
      </w:pPr>
      <w:r>
        <w:rPr>
          <w:rFonts w:hint="eastAsia"/>
          <w:sz w:val="44"/>
          <w:lang w:val="en-US" w:eastAsia="zh-CN"/>
        </w:rPr>
        <w:t>一周资讯速递（12.20-12.27）</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sz w:val="32"/>
          <w:szCs w:val="32"/>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rPr>
          <w:rFonts w:hint="eastAsia"/>
          <w:sz w:val="6"/>
          <w:szCs w:val="6"/>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ascii="Times New Roman" w:hAnsi="Times New Roman" w:eastAsia="宋体" w:cs="Times New Roman"/>
          <w:lang w:val="en-US" w:eastAsia="zh-CN"/>
        </w:rPr>
      </w:pPr>
      <w:r>
        <w:rPr>
          <w:rFonts w:ascii="Times New Roman" w:hAnsi="Times New Roman" w:eastAsia="宋体" w:cs="Times New Roman"/>
          <w:lang w:val="en-US" w:eastAsia="zh-CN"/>
        </w:rPr>
        <w:t>农村工作会议17日至18日在北京召开。会议以习近平新时代中国特色社会主义思想为指导，深入贯彻党的二十大和二十届二中、三中全会精神，全面贯彻习近平总书记关于“三农”工作的重要论述和重要指示精神，落实中央经济工作会议精神，分析当前“三农”工作面临的形势和挑战，部署2025年“三农”工作。</w:t>
      </w: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lang w:val="en-US" w:eastAsia="zh-CN"/>
        </w:rPr>
      </w:pPr>
    </w:p>
    <w:p>
      <w:pPr>
        <w:pStyle w:val="4"/>
        <w:keepNext/>
        <w:keepLines/>
        <w:pageBreakBefore w:val="0"/>
        <w:widowControl w:val="0"/>
        <w:numPr>
          <w:ilvl w:val="2"/>
          <w:numId w:val="0"/>
        </w:numPr>
        <w:kinsoku/>
        <w:wordWrap/>
        <w:overflowPunct/>
        <w:topLinePunct w:val="0"/>
        <w:autoSpaceDE/>
        <w:autoSpaceDN/>
        <w:bidi w:val="0"/>
        <w:adjustRightInd/>
        <w:snapToGrid w:val="0"/>
        <w:spacing w:before="200" w:after="200"/>
        <w:ind w:leftChars="0"/>
        <w:jc w:val="center"/>
        <w:textAlignment w:val="auto"/>
        <w:rPr>
          <w:rFonts w:hint="eastAsia" w:ascii="Times New Roman" w:hAnsi="Times New Roman" w:eastAsia="宋体" w:cs="Times New Roman"/>
          <w:b/>
          <w:bCs/>
          <w:kern w:val="2"/>
          <w:sz w:val="28"/>
          <w:szCs w:val="28"/>
          <w:lang w:val="en-US" w:eastAsia="zh-CN" w:bidi="ar-SA"/>
        </w:rPr>
      </w:pPr>
      <w:r>
        <w:rPr>
          <w:rFonts w:hint="eastAsia" w:ascii="Times New Roman" w:hAnsi="Times New Roman" w:eastAsia="宋体" w:cs="Times New Roman"/>
          <w:b/>
          <w:bCs/>
          <w:kern w:val="2"/>
          <w:sz w:val="28"/>
          <w:szCs w:val="28"/>
          <w:lang w:val="en-US" w:eastAsia="zh-CN" w:bidi="ar-SA"/>
        </w:rPr>
        <w:t>国务院办公厅关于优化完善地方政府专项债券管理机制的意见</w:t>
      </w:r>
    </w:p>
    <w:p>
      <w:pPr>
        <w:keepNext w:val="0"/>
        <w:keepLines w:val="0"/>
        <w:widowControl/>
        <w:suppressLineNumbers w:val="0"/>
        <w:ind w:firstLine="448" w:firstLineChars="200"/>
        <w:jc w:val="left"/>
        <w:rPr>
          <w:rFonts w:ascii="宋体" w:hAnsi="宋体" w:eastAsia="宋体" w:cs="宋体"/>
          <w:spacing w:val="7"/>
          <w:kern w:val="0"/>
          <w:sz w:val="21"/>
          <w:szCs w:val="21"/>
          <w:lang w:val="en-US" w:eastAsia="zh-CN" w:bidi="ar"/>
        </w:rPr>
      </w:pPr>
    </w:p>
    <w:p>
      <w:pPr>
        <w:keepNext w:val="0"/>
        <w:keepLines w:val="0"/>
        <w:widowControl/>
        <w:suppressLineNumbers w:val="0"/>
        <w:spacing w:line="360" w:lineRule="auto"/>
        <w:ind w:firstLine="448" w:firstLineChars="200"/>
        <w:jc w:val="left"/>
        <w:rPr>
          <w:rFonts w:ascii="宋体" w:hAnsi="宋体" w:eastAsia="宋体" w:cs="宋体"/>
          <w:spacing w:val="7"/>
          <w:kern w:val="0"/>
          <w:sz w:val="21"/>
          <w:szCs w:val="21"/>
          <w:lang w:val="en-US" w:eastAsia="zh-CN" w:bidi="ar"/>
        </w:rPr>
      </w:pPr>
      <w:r>
        <w:rPr>
          <w:rFonts w:ascii="宋体" w:hAnsi="宋体" w:eastAsia="宋体" w:cs="宋体"/>
          <w:spacing w:val="7"/>
          <w:kern w:val="0"/>
          <w:sz w:val="21"/>
          <w:szCs w:val="21"/>
          <w:lang w:val="en-US" w:eastAsia="zh-CN" w:bidi="ar"/>
        </w:rPr>
        <w:t>《意见》中提出两项创新措施。</w:t>
      </w:r>
    </w:p>
    <w:p>
      <w:pPr>
        <w:keepNext w:val="0"/>
        <w:keepLines w:val="0"/>
        <w:widowControl/>
        <w:suppressLineNumbers w:val="0"/>
        <w:spacing w:line="360" w:lineRule="auto"/>
        <w:ind w:firstLine="450" w:firstLineChars="200"/>
        <w:jc w:val="left"/>
      </w:pPr>
      <w:r>
        <w:rPr>
          <w:rStyle w:val="29"/>
          <w:rFonts w:ascii="宋体" w:hAnsi="宋体" w:eastAsia="宋体" w:cs="宋体"/>
          <w:spacing w:val="7"/>
          <w:kern w:val="0"/>
          <w:sz w:val="21"/>
          <w:szCs w:val="21"/>
          <w:lang w:val="en-US" w:eastAsia="zh-CN" w:bidi="ar"/>
        </w:rPr>
        <w:t>一、使用“负面清单”和“正面清单”的管理方式，此变化将加速地方项目推进</w:t>
      </w:r>
      <w:r>
        <w:rPr>
          <w:rFonts w:ascii="宋体" w:hAnsi="宋体" w:eastAsia="宋体" w:cs="宋体"/>
          <w:spacing w:val="7"/>
          <w:kern w:val="0"/>
          <w:sz w:val="21"/>
          <w:szCs w:val="21"/>
          <w:lang w:val="en-US" w:eastAsia="zh-CN" w:bidi="ar"/>
        </w:rPr>
        <w:t>此《意见》将完全无收益的项目，楼堂馆所，形象工程和政绩工程，除保障性住房、土地储备以外的房地产开发，主题公园、仿古城（镇、村、街）等商业设施和一般竞争性产业项目纳入专项债券投向领域“负面清单”。同时，在专项债券用作项目资本金范围方面实行“正面清单”管理，将</w:t>
      </w:r>
      <w:r>
        <w:rPr>
          <w:rStyle w:val="29"/>
          <w:rFonts w:ascii="宋体" w:hAnsi="宋体" w:eastAsia="宋体" w:cs="宋体"/>
          <w:spacing w:val="7"/>
          <w:kern w:val="0"/>
          <w:sz w:val="21"/>
          <w:szCs w:val="21"/>
          <w:lang w:val="en-US" w:eastAsia="zh-CN" w:bidi="ar"/>
        </w:rPr>
        <w:t>信息技术</w:t>
      </w:r>
      <w:r>
        <w:rPr>
          <w:rFonts w:ascii="宋体" w:hAnsi="宋体" w:eastAsia="宋体" w:cs="宋体"/>
          <w:spacing w:val="7"/>
          <w:kern w:val="0"/>
          <w:sz w:val="21"/>
          <w:szCs w:val="21"/>
          <w:lang w:val="en-US" w:eastAsia="zh-CN" w:bidi="ar"/>
        </w:rPr>
        <w:t>、新材料、生物制造、</w:t>
      </w:r>
      <w:r>
        <w:rPr>
          <w:rStyle w:val="29"/>
          <w:rFonts w:ascii="宋体" w:hAnsi="宋体" w:eastAsia="宋体" w:cs="宋体"/>
          <w:spacing w:val="7"/>
          <w:kern w:val="0"/>
          <w:sz w:val="21"/>
          <w:szCs w:val="21"/>
          <w:lang w:val="en-US" w:eastAsia="zh-CN" w:bidi="ar"/>
        </w:rPr>
        <w:t>数字经济、低空经济、量子科技</w:t>
      </w:r>
      <w:r>
        <w:rPr>
          <w:rFonts w:ascii="宋体" w:hAnsi="宋体" w:eastAsia="宋体" w:cs="宋体"/>
          <w:spacing w:val="7"/>
          <w:kern w:val="0"/>
          <w:sz w:val="21"/>
          <w:szCs w:val="21"/>
          <w:lang w:val="en-US" w:eastAsia="zh-CN" w:bidi="ar"/>
        </w:rPr>
        <w:t>、生命科学、商业航天、</w:t>
      </w:r>
      <w:r>
        <w:rPr>
          <w:rStyle w:val="29"/>
          <w:rFonts w:ascii="宋体" w:hAnsi="宋体" w:eastAsia="宋体" w:cs="宋体"/>
          <w:spacing w:val="7"/>
          <w:kern w:val="0"/>
          <w:sz w:val="21"/>
          <w:szCs w:val="21"/>
          <w:lang w:val="en-US" w:eastAsia="zh-CN" w:bidi="ar"/>
        </w:rPr>
        <w:t>北斗等新兴产业基础设施</w:t>
      </w:r>
      <w:r>
        <w:rPr>
          <w:rFonts w:ascii="宋体" w:hAnsi="宋体" w:eastAsia="宋体" w:cs="宋体"/>
          <w:spacing w:val="7"/>
          <w:kern w:val="0"/>
          <w:sz w:val="21"/>
          <w:szCs w:val="21"/>
          <w:lang w:val="en-US" w:eastAsia="zh-CN" w:bidi="ar"/>
        </w:rPr>
        <w:t>，</w:t>
      </w:r>
      <w:r>
        <w:rPr>
          <w:rStyle w:val="29"/>
          <w:rFonts w:ascii="宋体" w:hAnsi="宋体" w:eastAsia="宋体" w:cs="宋体"/>
          <w:spacing w:val="7"/>
          <w:kern w:val="0"/>
          <w:sz w:val="21"/>
          <w:szCs w:val="21"/>
          <w:lang w:val="en-US" w:eastAsia="zh-CN" w:bidi="ar"/>
        </w:rPr>
        <w:t>算力设备</w:t>
      </w:r>
      <w:r>
        <w:rPr>
          <w:rFonts w:ascii="宋体" w:hAnsi="宋体" w:eastAsia="宋体" w:cs="宋体"/>
          <w:spacing w:val="7"/>
          <w:kern w:val="0"/>
          <w:sz w:val="21"/>
          <w:szCs w:val="21"/>
          <w:lang w:val="en-US" w:eastAsia="zh-CN" w:bidi="ar"/>
        </w:rPr>
        <w:t>及</w:t>
      </w:r>
      <w:r>
        <w:rPr>
          <w:rStyle w:val="29"/>
          <w:rFonts w:ascii="宋体" w:hAnsi="宋体" w:eastAsia="宋体" w:cs="宋体"/>
          <w:spacing w:val="7"/>
          <w:kern w:val="0"/>
          <w:sz w:val="21"/>
          <w:szCs w:val="21"/>
          <w:lang w:val="en-US" w:eastAsia="zh-CN" w:bidi="ar"/>
        </w:rPr>
        <w:t>辅助设备基础设施</w:t>
      </w:r>
      <w:r>
        <w:rPr>
          <w:rFonts w:ascii="宋体" w:hAnsi="宋体" w:eastAsia="宋体" w:cs="宋体"/>
          <w:spacing w:val="7"/>
          <w:kern w:val="0"/>
          <w:sz w:val="21"/>
          <w:szCs w:val="21"/>
          <w:lang w:val="en-US" w:eastAsia="zh-CN" w:bidi="ar"/>
        </w:rPr>
        <w:t>，高速公路、机场等传统基础设施安全性、</w:t>
      </w:r>
      <w:r>
        <w:rPr>
          <w:rStyle w:val="29"/>
          <w:rFonts w:ascii="宋体" w:hAnsi="宋体" w:eastAsia="宋体" w:cs="宋体"/>
          <w:spacing w:val="7"/>
          <w:kern w:val="0"/>
          <w:sz w:val="21"/>
          <w:szCs w:val="21"/>
          <w:lang w:val="en-US" w:eastAsia="zh-CN" w:bidi="ar"/>
        </w:rPr>
        <w:t>智能化改造</w:t>
      </w:r>
      <w:r>
        <w:rPr>
          <w:rFonts w:ascii="宋体" w:hAnsi="宋体" w:eastAsia="宋体" w:cs="宋体"/>
          <w:spacing w:val="7"/>
          <w:kern w:val="0"/>
          <w:sz w:val="21"/>
          <w:szCs w:val="21"/>
          <w:lang w:val="en-US" w:eastAsia="zh-CN" w:bidi="ar"/>
        </w:rPr>
        <w:t>，以及卫生健康、养老托育、省级产业园区基础设施等纳入专项债券用作项目资本金范围。以省份为单位，可用作项目资本金的专项债券规模上限由该省份用于项目建设专项债券规模的</w:t>
      </w:r>
      <w:r>
        <w:rPr>
          <w:rStyle w:val="29"/>
          <w:rFonts w:ascii="宋体" w:hAnsi="宋体" w:eastAsia="宋体" w:cs="宋体"/>
          <w:spacing w:val="7"/>
          <w:kern w:val="0"/>
          <w:sz w:val="21"/>
          <w:szCs w:val="21"/>
          <w:lang w:val="en-US" w:eastAsia="zh-CN" w:bidi="ar"/>
        </w:rPr>
        <w:t>25%提高至30%</w:t>
      </w:r>
      <w:r>
        <w:rPr>
          <w:rFonts w:ascii="宋体" w:hAnsi="宋体" w:eastAsia="宋体" w:cs="宋体"/>
          <w:spacing w:val="7"/>
          <w:kern w:val="0"/>
          <w:sz w:val="21"/>
          <w:szCs w:val="21"/>
          <w:lang w:val="en-US" w:eastAsia="zh-CN" w:bidi="ar"/>
        </w:rPr>
        <w:t>。</w:t>
      </w:r>
    </w:p>
    <w:p>
      <w:pPr>
        <w:pStyle w:val="26"/>
        <w:keepNext w:val="0"/>
        <w:keepLines w:val="0"/>
        <w:widowControl/>
        <w:suppressLineNumbers w:val="0"/>
        <w:spacing w:line="360" w:lineRule="auto"/>
        <w:ind w:left="0" w:firstLine="420"/>
      </w:pPr>
      <w:r>
        <w:rPr>
          <w:rStyle w:val="29"/>
          <w:spacing w:val="7"/>
          <w:sz w:val="21"/>
          <w:szCs w:val="21"/>
        </w:rPr>
        <w:t>二、选择部分管理基础好的省份以及承担国家重大战略的地区开展专项债券项目“自审自发”试点，支持经济大省发挥挑大梁作用。</w:t>
      </w:r>
    </w:p>
    <w:p>
      <w:pPr>
        <w:keepNext w:val="0"/>
        <w:keepLines w:val="0"/>
        <w:widowControl/>
        <w:suppressLineNumbers w:val="0"/>
        <w:spacing w:line="360" w:lineRule="auto"/>
        <w:ind w:firstLine="448" w:firstLineChars="200"/>
        <w:jc w:val="left"/>
        <w:rPr>
          <w:rFonts w:ascii="宋体" w:hAnsi="宋体" w:eastAsia="宋体" w:cs="宋体"/>
          <w:spacing w:val="7"/>
          <w:kern w:val="0"/>
          <w:sz w:val="21"/>
          <w:szCs w:val="21"/>
          <w:lang w:val="en-US" w:eastAsia="zh-CN" w:bidi="ar"/>
        </w:rPr>
      </w:pPr>
      <w:r>
        <w:rPr>
          <w:rFonts w:ascii="宋体" w:hAnsi="宋体" w:eastAsia="宋体" w:cs="宋体"/>
          <w:spacing w:val="7"/>
          <w:kern w:val="0"/>
          <w:sz w:val="21"/>
          <w:szCs w:val="21"/>
          <w:lang w:val="en-US" w:eastAsia="zh-CN" w:bidi="ar"/>
        </w:rPr>
        <w:t>湖北作为“自审自发”试点地区以外的省份，</w:t>
      </w:r>
      <w:r>
        <w:rPr>
          <w:rStyle w:val="29"/>
          <w:rFonts w:ascii="宋体" w:hAnsi="宋体" w:eastAsia="宋体" w:cs="宋体"/>
          <w:spacing w:val="7"/>
          <w:kern w:val="0"/>
          <w:sz w:val="21"/>
          <w:szCs w:val="21"/>
          <w:lang w:val="en-US" w:eastAsia="zh-CN" w:bidi="ar"/>
        </w:rPr>
        <w:t>将完善项目审核“绿色通道”机制</w:t>
      </w:r>
      <w:r>
        <w:rPr>
          <w:rFonts w:ascii="宋体" w:hAnsi="宋体" w:eastAsia="宋体" w:cs="宋体"/>
          <w:spacing w:val="7"/>
          <w:kern w:val="0"/>
          <w:sz w:val="21"/>
          <w:szCs w:val="21"/>
          <w:lang w:val="en-US" w:eastAsia="zh-CN" w:bidi="ar"/>
        </w:rPr>
        <w:t>。对于已通过国家发展改革委、财政部审核且需要续发专项债券的在建项目，无需重新申报，经省级政府审核批准后可直接安排发行专项债券，同步报国家发展改革委、财政部备案。</w:t>
      </w:r>
    </w:p>
    <w:p>
      <w:pPr>
        <w:keepNext w:val="0"/>
        <w:keepLines w:val="0"/>
        <w:widowControl/>
        <w:suppressLineNumbers w:val="0"/>
        <w:spacing w:line="360" w:lineRule="auto"/>
        <w:ind w:firstLine="448" w:firstLineChars="200"/>
        <w:jc w:val="left"/>
        <w:rPr>
          <w:rFonts w:ascii="宋体" w:hAnsi="宋体" w:eastAsia="宋体" w:cs="宋体"/>
          <w:spacing w:val="7"/>
          <w:kern w:val="0"/>
          <w:sz w:val="21"/>
          <w:szCs w:val="21"/>
          <w:lang w:val="en-US" w:eastAsia="zh-CN" w:bidi="ar"/>
        </w:rPr>
      </w:pPr>
      <w:r>
        <w:rPr>
          <w:rFonts w:ascii="宋体" w:hAnsi="宋体" w:eastAsia="宋体" w:cs="宋体"/>
          <w:spacing w:val="7"/>
          <w:kern w:val="0"/>
          <w:sz w:val="21"/>
          <w:szCs w:val="21"/>
          <w:lang w:val="en-US" w:eastAsia="zh-CN" w:bidi="ar"/>
        </w:rPr>
        <w:t>两项创新措施将加快专项债券发行、资金使用和项目建设进度，将推动尽快形成实物工作量，更好地发挥专项债稳增长、促发展和稳预期作用。</w:t>
      </w:r>
    </w:p>
    <w:p>
      <w:pPr>
        <w:keepNext w:val="0"/>
        <w:keepLines w:val="0"/>
        <w:widowControl/>
        <w:suppressLineNumbers w:val="0"/>
        <w:spacing w:line="360" w:lineRule="auto"/>
        <w:ind w:firstLine="448" w:firstLineChars="200"/>
        <w:jc w:val="left"/>
      </w:pPr>
      <w:r>
        <w:rPr>
          <w:rFonts w:ascii="宋体" w:hAnsi="宋体" w:eastAsia="宋体" w:cs="宋体"/>
          <w:spacing w:val="7"/>
          <w:kern w:val="0"/>
          <w:sz w:val="21"/>
          <w:szCs w:val="21"/>
          <w:lang w:val="en-US" w:eastAsia="zh-CN" w:bidi="ar"/>
        </w:rPr>
        <w:t>此外，意见还从完善专项债券项目预算平衡，强化专项债券全流程管理，加强专项债券监督问责，强化保障措施等方面对专项债发行、使用、管理进行规范。</w:t>
      </w:r>
    </w:p>
    <w:p>
      <w:pPr>
        <w:rPr>
          <w:rFonts w:hint="eastAsia"/>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lang w:val="en-US" w:eastAsia="zh-CN"/>
        </w:rPr>
      </w:pPr>
      <w:r>
        <w:rPr>
          <w:rFonts w:hint="eastAsia" w:ascii="宋体" w:hAnsi="宋体" w:eastAsia="宋体" w:cs="宋体"/>
          <w:i/>
          <w:iCs/>
          <w:caps w:val="0"/>
          <w:color w:val="666666"/>
          <w:spacing w:val="0"/>
          <w:sz w:val="21"/>
          <w:szCs w:val="21"/>
          <w:shd w:val="clear" w:color="auto" w:fill="FFFFFF"/>
        </w:rPr>
        <w:t>来源：国务院办公厅</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宋体" w:hAnsi="宋体" w:eastAsia="宋体" w:cs="宋体"/>
          <w:i/>
          <w:iCs/>
          <w:caps w:val="0"/>
          <w:color w:val="666666"/>
          <w:spacing w:val="0"/>
          <w:sz w:val="21"/>
          <w:szCs w:val="21"/>
          <w:shd w:val="clear" w:color="auto" w:fill="FFFFFF"/>
          <w:lang w:val="en-US" w:eastAsia="zh-CN"/>
        </w:rPr>
      </w:pPr>
      <w:r>
        <w:rPr>
          <w:rFonts w:hint="eastAsia" w:ascii="宋体" w:hAnsi="宋体" w:cs="宋体"/>
          <w:i/>
          <w:iCs/>
          <w:caps w:val="0"/>
          <w:color w:val="666666"/>
          <w:spacing w:val="0"/>
          <w:sz w:val="21"/>
          <w:szCs w:val="21"/>
          <w:shd w:val="clear" w:color="auto" w:fill="FFFFFF"/>
          <w:lang w:val="en-US" w:eastAsia="zh-CN"/>
        </w:rPr>
        <w:t>发布时间：2024年12月25日</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r>
        <w:rPr>
          <w:rFonts w:hint="eastAsia" w:ascii="宋体" w:hAnsi="宋体" w:eastAsia="宋体" w:cs="宋体"/>
          <w:i/>
          <w:iCs/>
          <w:caps w:val="0"/>
          <w:color w:val="666666"/>
          <w:spacing w:val="0"/>
          <w:sz w:val="21"/>
          <w:szCs w:val="21"/>
          <w:shd w:val="clear" w:color="auto" w:fill="FFFFFF"/>
        </w:rPr>
        <w:t>相关索引：</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r>
        <w:rPr>
          <w:rFonts w:hint="eastAsia" w:ascii="宋体" w:hAnsi="宋体" w:eastAsia="宋体" w:cs="宋体"/>
          <w:i/>
          <w:iCs/>
          <w:caps w:val="0"/>
          <w:color w:val="666666"/>
          <w:spacing w:val="0"/>
          <w:sz w:val="21"/>
          <w:szCs w:val="21"/>
          <w:shd w:val="clear" w:color="auto" w:fill="FFFFFF"/>
        </w:rPr>
        <w:fldChar w:fldCharType="begin"/>
      </w:r>
      <w:r>
        <w:rPr>
          <w:rFonts w:hint="eastAsia" w:ascii="宋体" w:hAnsi="宋体" w:eastAsia="宋体" w:cs="宋体"/>
          <w:i/>
          <w:iCs/>
          <w:caps w:val="0"/>
          <w:color w:val="666666"/>
          <w:spacing w:val="0"/>
          <w:sz w:val="21"/>
          <w:szCs w:val="21"/>
          <w:shd w:val="clear" w:color="auto" w:fill="FFFFFF"/>
        </w:rPr>
        <w:instrText xml:space="preserve"> HYPERLINK "https://www.gov.cn/zhengce/content/202412/content_6994502.htm" </w:instrText>
      </w:r>
      <w:r>
        <w:rPr>
          <w:rFonts w:hint="eastAsia" w:ascii="宋体" w:hAnsi="宋体" w:eastAsia="宋体" w:cs="宋体"/>
          <w:i/>
          <w:iCs/>
          <w:caps w:val="0"/>
          <w:color w:val="666666"/>
          <w:spacing w:val="0"/>
          <w:sz w:val="21"/>
          <w:szCs w:val="21"/>
          <w:shd w:val="clear" w:color="auto" w:fill="FFFFFF"/>
        </w:rPr>
        <w:fldChar w:fldCharType="separate"/>
      </w:r>
      <w:r>
        <w:rPr>
          <w:rStyle w:val="33"/>
          <w:rFonts w:hint="eastAsia" w:ascii="宋体" w:hAnsi="宋体" w:eastAsia="宋体" w:cs="宋体"/>
          <w:i/>
          <w:iCs/>
          <w:caps w:val="0"/>
          <w:color w:val="666666"/>
          <w:spacing w:val="0"/>
          <w:sz w:val="21"/>
          <w:szCs w:val="21"/>
          <w:shd w:val="clear" w:color="auto" w:fill="FFFFFF"/>
        </w:rPr>
        <w:t>https://www.gov.cn/zhengce/content/202412/content_6994502.htm</w:t>
      </w:r>
      <w:r>
        <w:rPr>
          <w:rFonts w:hint="eastAsia" w:ascii="宋体" w:hAnsi="宋体" w:eastAsia="宋体" w:cs="宋体"/>
          <w:i/>
          <w:iCs/>
          <w:caps w:val="0"/>
          <w:color w:val="666666"/>
          <w:spacing w:val="0"/>
          <w:sz w:val="21"/>
          <w:szCs w:val="21"/>
          <w:shd w:val="clear" w:color="auto" w:fill="FFFFFF"/>
        </w:rPr>
        <w:fldChar w:fldCharType="end"/>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宋体" w:hAnsi="宋体" w:eastAsia="宋体" w:cs="宋体"/>
          <w:i/>
          <w:iCs/>
          <w:caps w:val="0"/>
          <w:color w:val="666666"/>
          <w:spacing w:val="0"/>
          <w:sz w:val="21"/>
          <w:szCs w:val="21"/>
          <w:shd w:val="clear" w:color="auto" w:fill="FFFFFF"/>
          <w:lang w:val="en-US" w:eastAsia="zh-CN"/>
        </w:rPr>
      </w:pPr>
      <w:r>
        <w:rPr>
          <w:rFonts w:hint="eastAsia" w:ascii="宋体" w:hAnsi="宋体" w:eastAsia="宋体" w:cs="宋体"/>
          <w:i/>
          <w:iCs/>
          <w:caps w:val="0"/>
          <w:color w:val="666666"/>
          <w:spacing w:val="0"/>
          <w:sz w:val="21"/>
          <w:szCs w:val="21"/>
          <w:shd w:val="clear" w:color="auto" w:fill="FFFFFF"/>
          <w:lang w:val="en-US" w:eastAsia="zh-CN"/>
        </w:rPr>
        <w:t>专项解读</w:t>
      </w:r>
      <w:r>
        <w:rPr>
          <w:rFonts w:hint="eastAsia" w:ascii="宋体" w:hAnsi="宋体" w:cs="宋体"/>
          <w:i/>
          <w:iCs/>
          <w:caps w:val="0"/>
          <w:color w:val="666666"/>
          <w:spacing w:val="0"/>
          <w:sz w:val="21"/>
          <w:szCs w:val="21"/>
          <w:shd w:val="clear" w:color="auto" w:fill="FFFFFF"/>
          <w:lang w:val="en-US" w:eastAsia="zh-CN"/>
        </w:rPr>
        <w:t>：</w:t>
      </w:r>
      <w:r>
        <w:rPr>
          <w:rFonts w:hint="eastAsia" w:ascii="宋体" w:hAnsi="宋体" w:eastAsia="宋体" w:cs="宋体"/>
          <w:i/>
          <w:iCs/>
          <w:caps w:val="0"/>
          <w:color w:val="666666"/>
          <w:spacing w:val="0"/>
          <w:sz w:val="21"/>
          <w:szCs w:val="21"/>
          <w:shd w:val="clear" w:color="auto" w:fill="FFFFFF"/>
        </w:rPr>
        <w:fldChar w:fldCharType="begin"/>
      </w:r>
      <w:r>
        <w:rPr>
          <w:rFonts w:hint="eastAsia" w:ascii="宋体" w:hAnsi="宋体" w:eastAsia="宋体" w:cs="宋体"/>
          <w:i/>
          <w:iCs/>
          <w:caps w:val="0"/>
          <w:color w:val="666666"/>
          <w:spacing w:val="0"/>
          <w:sz w:val="21"/>
          <w:szCs w:val="21"/>
          <w:shd w:val="clear" w:color="auto" w:fill="FFFFFF"/>
        </w:rPr>
        <w:instrText xml:space="preserve"> HYPERLINK "https://mp.weixin.qq.com/s/hmXyoB-NP-G34bMvg18vDg" </w:instrText>
      </w:r>
      <w:r>
        <w:rPr>
          <w:rFonts w:hint="eastAsia" w:ascii="宋体" w:hAnsi="宋体" w:eastAsia="宋体" w:cs="宋体"/>
          <w:i/>
          <w:iCs/>
          <w:caps w:val="0"/>
          <w:color w:val="666666"/>
          <w:spacing w:val="0"/>
          <w:sz w:val="21"/>
          <w:szCs w:val="21"/>
          <w:shd w:val="clear" w:color="auto" w:fill="FFFFFF"/>
        </w:rPr>
        <w:fldChar w:fldCharType="separate"/>
      </w:r>
      <w:r>
        <w:rPr>
          <w:rFonts w:hint="eastAsia" w:ascii="宋体" w:hAnsi="宋体" w:eastAsia="宋体" w:cs="宋体"/>
          <w:i/>
          <w:iCs/>
          <w:caps w:val="0"/>
          <w:color w:val="666666"/>
          <w:spacing w:val="0"/>
          <w:sz w:val="21"/>
          <w:szCs w:val="21"/>
          <w:shd w:val="clear" w:color="auto" w:fill="FFFFFF"/>
        </w:rPr>
        <w:t>https://mp.weixin.qq.com/s/hmXyoB-NP-G34bMvg18vDg</w:t>
      </w:r>
      <w:r>
        <w:rPr>
          <w:rFonts w:hint="eastAsia" w:ascii="宋体" w:hAnsi="宋体" w:eastAsia="宋体" w:cs="宋体"/>
          <w:i/>
          <w:iCs/>
          <w:caps w:val="0"/>
          <w:color w:val="666666"/>
          <w:spacing w:val="0"/>
          <w:sz w:val="21"/>
          <w:szCs w:val="21"/>
          <w:shd w:val="clear" w:color="auto" w:fill="FFFFFF"/>
        </w:rPr>
        <w:fldChar w:fldCharType="end"/>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p>
    <w:p>
      <w:pPr>
        <w:jc w:val="center"/>
        <w:rPr>
          <w:rFonts w:hint="eastAsia"/>
          <w:b/>
          <w:bCs/>
          <w:lang w:val="en-US" w:eastAsia="zh-CN"/>
        </w:rPr>
      </w:pPr>
    </w:p>
    <w:p>
      <w:pPr>
        <w:jc w:val="center"/>
        <w:rPr>
          <w:rFonts w:hint="eastAsia"/>
          <w:b/>
          <w:bCs/>
          <w:lang w:val="en-US" w:eastAsia="zh-CN"/>
        </w:rPr>
      </w:pPr>
    </w:p>
    <w:p>
      <w:pPr>
        <w:jc w:val="center"/>
        <w:rPr>
          <w:rFonts w:hint="default"/>
          <w:b/>
          <w:bCs/>
          <w:sz w:val="28"/>
          <w:szCs w:val="28"/>
          <w:lang w:val="en-US" w:eastAsia="zh-CN"/>
        </w:rPr>
      </w:pPr>
      <w:r>
        <w:rPr>
          <w:rFonts w:hint="eastAsia"/>
          <w:b/>
          <w:bCs/>
          <w:sz w:val="28"/>
          <w:szCs w:val="28"/>
          <w:lang w:val="en-US" w:eastAsia="zh-CN"/>
        </w:rPr>
        <w:t>中 央</w:t>
      </w:r>
    </w:p>
    <w:p>
      <w:pPr>
        <w:pStyle w:val="3"/>
        <w:keepNext w:val="0"/>
        <w:keepLines w:val="0"/>
        <w:widowControl/>
        <w:numPr>
          <w:numId w:val="0"/>
        </w:numPr>
        <w:suppressLineNumbers w:val="0"/>
        <w:spacing w:after="360" w:afterAutospacing="0" w:line="315" w:lineRule="atLeast"/>
        <w:ind w:leftChars="0"/>
      </w:pPr>
      <w:r>
        <w:rPr>
          <w:rStyle w:val="29"/>
          <w:rFonts w:ascii="黑体" w:hAnsi="宋体" w:eastAsia="黑体" w:cs="黑体"/>
          <w:b/>
          <w:sz w:val="24"/>
          <w:szCs w:val="24"/>
        </w:rPr>
        <w:t>一、《</w:t>
      </w:r>
      <w:r>
        <w:rPr>
          <w:rStyle w:val="29"/>
          <w:rFonts w:hint="eastAsia" w:ascii="黑体" w:hAnsi="宋体" w:eastAsia="黑体" w:cs="黑体"/>
          <w:b/>
          <w:spacing w:val="7"/>
          <w:sz w:val="24"/>
          <w:szCs w:val="24"/>
        </w:rPr>
        <w:t>国家数据局等部门关于促进企业数据资源开发利用的意见》</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ascii="Times New Roman" w:hAnsi="Times New Roman" w:eastAsia="宋体" w:cs="Times New Roman"/>
          <w:lang w:val="en-US" w:eastAsia="zh-CN"/>
        </w:rPr>
      </w:pPr>
      <w:r>
        <w:rPr>
          <w:rFonts w:ascii="Times New Roman" w:hAnsi="Times New Roman" w:eastAsia="宋体" w:cs="Times New Roman"/>
          <w:lang w:val="en-US" w:eastAsia="zh-CN"/>
        </w:rPr>
        <w:t>国家数据局等部门，为充分释放企业数据资源价值，构建以数据为关键要素的数字经济，对加强企业数据资源开发利用提出要求和措施。核心内容包括：“健全企业数据权益实现机制”，“培育企业数字化竞争力”，“赋能产业转型升级”，“服务经济社会高质量发展”，“营造开放透明可预期的发展环境”五大类。</w:t>
      </w:r>
    </w:p>
    <w:p>
      <w:pPr>
        <w:keepNext w:val="0"/>
        <w:keepLines w:val="0"/>
        <w:widowControl/>
        <w:suppressLineNumbers w:val="0"/>
        <w:jc w:val="left"/>
        <w:rPr>
          <w:rFonts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left"/>
        <w:rPr>
          <w:rFonts w:ascii="Microsoft YaHei UI" w:hAnsi="Microsoft YaHei UI" w:eastAsia="Microsoft YaHei UI" w:cs="Microsoft YaHei UI"/>
          <w:spacing w:val="7"/>
          <w:kern w:val="0"/>
          <w:sz w:val="15"/>
          <w:szCs w:val="15"/>
          <w:lang w:val="en-US" w:eastAsia="zh-CN" w:bidi="ar"/>
        </w:rPr>
      </w:pPr>
      <w:r>
        <w:rPr>
          <w:rFonts w:ascii="Microsoft YaHei UI" w:hAnsi="Microsoft YaHei UI" w:eastAsia="Microsoft YaHei UI" w:cs="Microsoft YaHei UI"/>
          <w:spacing w:val="7"/>
          <w:kern w:val="0"/>
          <w:sz w:val="15"/>
          <w:szCs w:val="15"/>
          <w:lang w:val="en-US" w:eastAsia="zh-CN" w:bidi="ar"/>
        </w:rPr>
        <w:t>发文日期：2024年12月20日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 中央网信办 工业和信息化部 公安部 国务院国资委</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"https://www.gov.cn/zhengce/zhengceku/202412/content_6994570.htm"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Style w:val="33"/>
          <w:rFonts w:hint="eastAsia" w:ascii="Microsoft YaHei UI" w:hAnsi="Microsoft YaHei UI" w:eastAsia="Microsoft YaHei UI" w:cs="Microsoft YaHei UI"/>
          <w:spacing w:val="7"/>
          <w:kern w:val="0"/>
          <w:sz w:val="15"/>
          <w:szCs w:val="15"/>
          <w:lang w:val="en-US" w:eastAsia="zh-CN" w:bidi="ar"/>
        </w:rPr>
        <w:t>https://www.gov.cn/zhengce/zhengceku/202412/content_6994570.htm</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spacing w:line="360" w:lineRule="auto"/>
        <w:jc w:val="left"/>
        <w:rPr>
          <w:rFonts w:ascii="宋体" w:hAnsi="宋体" w:eastAsia="宋体" w:cs="宋体"/>
          <w:kern w:val="0"/>
          <w:sz w:val="24"/>
          <w:szCs w:val="24"/>
          <w:lang w:val="en-US" w:eastAsia="zh-CN" w:bidi="ar"/>
        </w:rPr>
      </w:pPr>
      <w:r>
        <w:rPr>
          <w:rStyle w:val="29"/>
          <w:rFonts w:hint="eastAsia" w:ascii="Microsoft YaHei UI" w:hAnsi="Microsoft YaHei UI" w:eastAsia="Microsoft YaHei UI" w:cs="Microsoft YaHei UI"/>
          <w:spacing w:val="7"/>
          <w:kern w:val="0"/>
          <w:sz w:val="15"/>
          <w:szCs w:val="15"/>
          <w:lang w:val="en-US" w:eastAsia="zh-CN" w:bidi="ar"/>
        </w:rPr>
        <w:t>注：后续将推出专题解读</w:t>
      </w:r>
      <w:r>
        <w:rPr>
          <w:rFonts w:hint="eastAsia" w:ascii="Microsoft YaHei UI" w:hAnsi="Microsoft YaHei UI" w:eastAsia="Microsoft YaHei UI" w:cs="Microsoft YaHei UI"/>
          <w:spacing w:val="7"/>
          <w:kern w:val="0"/>
          <w:sz w:val="15"/>
          <w:szCs w:val="15"/>
          <w:lang w:val="en-US" w:eastAsia="zh-CN" w:bidi="ar"/>
        </w:rPr>
        <w:br w:type="textWrapping"/>
      </w:r>
      <w:r>
        <w:rPr>
          <w:rFonts w:ascii="宋体" w:hAnsi="宋体" w:eastAsia="宋体" w:cs="宋体"/>
          <w:kern w:val="0"/>
          <w:sz w:val="24"/>
          <w:szCs w:val="24"/>
          <w:lang w:val="en-US" w:eastAsia="zh-CN" w:bidi="ar"/>
        </w:rPr>
        <w:br w:type="textWrapping"/>
      </w:r>
    </w:p>
    <w:p>
      <w:pPr>
        <w:keepNext w:val="0"/>
        <w:keepLines w:val="0"/>
        <w:widowControl/>
        <w:suppressLineNumbers w:val="0"/>
        <w:spacing w:line="360" w:lineRule="auto"/>
        <w:jc w:val="left"/>
        <w:rPr>
          <w:rFonts w:ascii="宋体" w:hAnsi="宋体" w:eastAsia="宋体" w:cs="宋体"/>
          <w:spacing w:val="7"/>
          <w:kern w:val="0"/>
          <w:sz w:val="21"/>
          <w:szCs w:val="21"/>
          <w:lang w:val="en-US" w:eastAsia="zh-CN" w:bidi="ar"/>
        </w:rPr>
      </w:pPr>
      <w:r>
        <w:rPr>
          <w:rStyle w:val="29"/>
          <w:rFonts w:hint="eastAsia" w:ascii="黑体" w:hAnsi="宋体" w:eastAsia="黑体" w:cs="黑体"/>
          <w:kern w:val="0"/>
          <w:sz w:val="24"/>
          <w:szCs w:val="24"/>
          <w:lang w:val="en-US" w:eastAsia="zh-CN" w:bidi="ar"/>
        </w:rPr>
        <w:t>二、《关于加快建设统一开放的交通运输市场的意见》</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ascii="Times New Roman" w:hAnsi="Times New Roman" w:eastAsia="宋体" w:cs="Times New Roman"/>
          <w:lang w:val="en-US" w:eastAsia="zh-CN"/>
        </w:rPr>
      </w:pPr>
      <w:r>
        <w:rPr>
          <w:rFonts w:ascii="Times New Roman" w:hAnsi="Times New Roman" w:eastAsia="宋体" w:cs="Times New Roman"/>
          <w:lang w:val="en-US" w:eastAsia="zh-CN"/>
        </w:rPr>
        <w:t>12月23日，中共中央办公厅、国务院办公厅发布关于加快建设统一开放的交通运输市场的意见（以下简称“意见”）。其中提及，持续推进空管体制改革，深化低空空域管理改革，发展通用航空和低空经济。在优化土地和空域资源配置方面，意见提出，扩大空域资源供给，实施空域资源分类精细化管理。积极稳妥推进航线、时刻等资源的差异化、精准化、协同化管理，科学合理增加临时航线的划设和使用。</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发文日期：2024年12月23日</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来源：中共中央办公厅 国务院办公厅</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fldChar w:fldCharType="begin"/>
      </w:r>
      <w:r>
        <w:rPr>
          <w:rFonts w:hint="eastAsia" w:ascii="Microsoft YaHei UI" w:hAnsi="Microsoft YaHei UI" w:eastAsia="Microsoft YaHei UI" w:cs="Microsoft YaHei UI"/>
          <w:spacing w:val="7"/>
          <w:sz w:val="15"/>
          <w:szCs w:val="15"/>
        </w:rPr>
        <w:instrText xml:space="preserve"> HYPERLINK "https://www.gov.cn/zhengce/202412/content_6994162.htm" </w:instrText>
      </w:r>
      <w:r>
        <w:rPr>
          <w:rFonts w:hint="eastAsia" w:ascii="Microsoft YaHei UI" w:hAnsi="Microsoft YaHei UI" w:eastAsia="Microsoft YaHei UI" w:cs="Microsoft YaHei UI"/>
          <w:spacing w:val="7"/>
          <w:sz w:val="15"/>
          <w:szCs w:val="15"/>
        </w:rPr>
        <w:fldChar w:fldCharType="separate"/>
      </w:r>
      <w:r>
        <w:rPr>
          <w:rStyle w:val="33"/>
          <w:rFonts w:hint="eastAsia" w:ascii="Microsoft YaHei UI" w:hAnsi="Microsoft YaHei UI" w:eastAsia="Microsoft YaHei UI" w:cs="Microsoft YaHei UI"/>
          <w:spacing w:val="7"/>
          <w:sz w:val="15"/>
          <w:szCs w:val="15"/>
        </w:rPr>
        <w:t>https://www.gov.cn/zhengce/202412/content_6994162.htm</w:t>
      </w:r>
      <w:r>
        <w:rPr>
          <w:rFonts w:hint="eastAsia" w:ascii="Microsoft YaHei UI" w:hAnsi="Microsoft YaHei UI" w:eastAsia="Microsoft YaHei UI" w:cs="Microsoft YaHei UI"/>
          <w:spacing w:val="7"/>
          <w:sz w:val="15"/>
          <w:szCs w:val="15"/>
        </w:rPr>
        <w:fldChar w:fldCharType="end"/>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spacing w:before="0" w:beforeAutospacing="0" w:after="0" w:afterAutospacing="0" w:line="240" w:lineRule="auto"/>
        <w:jc w:val="left"/>
      </w:pPr>
    </w:p>
    <w:p>
      <w:pPr>
        <w:keepNext w:val="0"/>
        <w:keepLines w:val="0"/>
        <w:widowControl/>
        <w:suppressLineNumbers w:val="0"/>
        <w:spacing w:line="360" w:lineRule="auto"/>
        <w:jc w:val="left"/>
      </w:pPr>
      <w:r>
        <w:rPr>
          <w:rStyle w:val="29"/>
          <w:rFonts w:hint="eastAsia" w:ascii="黑体" w:hAnsi="宋体" w:eastAsia="黑体" w:cs="黑体"/>
          <w:spacing w:val="7"/>
          <w:kern w:val="0"/>
          <w:sz w:val="24"/>
          <w:szCs w:val="24"/>
          <w:lang w:val="en-US" w:eastAsia="zh-CN" w:bidi="ar"/>
        </w:rPr>
        <w:t>三、</w:t>
      </w:r>
      <w:r>
        <w:rPr>
          <w:rStyle w:val="29"/>
          <w:rFonts w:hint="eastAsia" w:ascii="黑体" w:hAnsi="宋体" w:eastAsia="黑体" w:cs="黑体"/>
          <w:spacing w:val="9"/>
          <w:kern w:val="0"/>
          <w:sz w:val="24"/>
          <w:szCs w:val="24"/>
          <w:lang w:val="en-US" w:eastAsia="zh-CN" w:bidi="ar"/>
        </w:rPr>
        <w:t>《</w:t>
      </w:r>
      <w:r>
        <w:rPr>
          <w:rStyle w:val="29"/>
          <w:rFonts w:hint="eastAsia" w:ascii="黑体" w:hAnsi="宋体" w:eastAsia="黑体" w:cs="黑体"/>
          <w:spacing w:val="7"/>
          <w:kern w:val="0"/>
          <w:sz w:val="24"/>
          <w:szCs w:val="24"/>
          <w:lang w:val="en-US" w:eastAsia="zh-CN" w:bidi="ar"/>
        </w:rPr>
        <w:t>关于进一步做好政府和社会资本合作新机制项目规范实施工作的通知(发改办投资〔2024〕1013号)》</w:t>
      </w:r>
    </w:p>
    <w:p>
      <w:pPr>
        <w:keepNext w:val="0"/>
        <w:keepLines w:val="0"/>
        <w:widowControl/>
        <w:suppressLineNumbers w:val="0"/>
        <w:spacing w:line="360" w:lineRule="auto"/>
        <w:jc w:val="left"/>
        <w:rPr>
          <w:rFonts w:ascii="Times New Roman" w:hAnsi="Times New Roman" w:eastAsia="宋体" w:cs="Times New Roman"/>
          <w:lang w:val="en-US" w:eastAsia="zh-CN"/>
        </w:rPr>
      </w:pPr>
      <w:r>
        <w:rPr>
          <w:rFonts w:ascii="宋体" w:hAnsi="宋体" w:eastAsia="宋体" w:cs="宋体"/>
          <w:kern w:val="0"/>
          <w:sz w:val="21"/>
          <w:szCs w:val="21"/>
          <w:lang w:val="en-US" w:eastAsia="zh-CN" w:bidi="ar"/>
        </w:rPr>
        <w:t>   </w:t>
      </w:r>
      <w:r>
        <w:rPr>
          <w:rFonts w:ascii="Times New Roman" w:hAnsi="Times New Roman" w:eastAsia="宋体" w:cs="Times New Roman"/>
          <w:lang w:val="en-US" w:eastAsia="zh-CN"/>
        </w:rPr>
        <w:t>为进一步推动政府和社会资本合作（PPP）新机制落实落细，推进PPP新机制项目规范有序实施，通知提出八条具体措施。通知中还强调，各省级发展改革委要高度重视，切实负起牵头责任，对本省（区、市）所有PPP新机制项目加强监督管理，强化项目全流程把关。对具有一定投资回报的基础设施和公用事业固定资产投资项目，要充分论证采取特许经营模式的必要性和可行性，合理决策是否采取特许经营模式。严格按照《支持民营企业参与的特许经营新建（含改扩建）项目清单（2023年版）》要求，推动有关特许经营新建或改扩建项目吸引民营企业参与。同时，持续完善PPP新机制现行制度体系，最大程度鼓励民营企业参与，不断提升基础设施等项目建设运营水平。</w:t>
      </w:r>
    </w:p>
    <w:p>
      <w:pPr>
        <w:keepNext w:val="0"/>
        <w:keepLines w:val="0"/>
        <w:widowControl/>
        <w:suppressLineNumbers w:val="0"/>
        <w:jc w:val="left"/>
        <w:rPr>
          <w:rFonts w:ascii="Times New Roman" w:hAnsi="Times New Roman" w:eastAsia="宋体" w:cs="Times New Roman"/>
          <w:lang w:val="en-US" w:eastAsia="zh-CN"/>
        </w:rPr>
      </w:pPr>
    </w:p>
    <w:p>
      <w:pPr>
        <w:keepNext w:val="0"/>
        <w:keepLines w:val="0"/>
        <w:widowControl/>
        <w:suppressLineNumbers w:val="0"/>
        <w:jc w:val="left"/>
      </w:pPr>
      <w:r>
        <w:rPr>
          <w:rFonts w:hint="eastAsia" w:ascii="Microsoft YaHei UI" w:hAnsi="Microsoft YaHei UI" w:eastAsia="Microsoft YaHei UI" w:cs="Microsoft YaHei UI"/>
          <w:spacing w:val="7"/>
          <w:kern w:val="0"/>
          <w:sz w:val="15"/>
          <w:szCs w:val="15"/>
          <w:lang w:val="en-US" w:eastAsia="zh-CN" w:bidi="ar"/>
        </w:rPr>
        <w:t>发文时间：2024年12月24日</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发文单位：国家发改委</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https://www.ndrc.gov.cn/xxgk/zcfb/tz/202412/t20241224_1395144.html</w:t>
      </w:r>
    </w:p>
    <w:p>
      <w:pPr>
        <w:pStyle w:val="3"/>
        <w:keepNext w:val="0"/>
        <w:keepLines w:val="0"/>
        <w:widowControl/>
        <w:numPr>
          <w:numId w:val="0"/>
        </w:numPr>
        <w:suppressLineNumbers w:val="0"/>
        <w:spacing w:after="360" w:afterAutospacing="0" w:line="315" w:lineRule="atLeast"/>
        <w:ind w:leftChars="0"/>
        <w:rPr>
          <w:rStyle w:val="29"/>
          <w:rFonts w:hint="eastAsia" w:ascii="黑体" w:hAnsi="宋体" w:eastAsia="黑体" w:cs="黑体"/>
          <w:b/>
          <w:sz w:val="24"/>
          <w:szCs w:val="24"/>
        </w:rPr>
      </w:pPr>
    </w:p>
    <w:p>
      <w:pPr>
        <w:pStyle w:val="3"/>
        <w:keepNext w:val="0"/>
        <w:keepLines w:val="0"/>
        <w:widowControl/>
        <w:numPr>
          <w:numId w:val="0"/>
        </w:numPr>
        <w:suppressLineNumbers w:val="0"/>
        <w:spacing w:after="360" w:afterAutospacing="0" w:line="315" w:lineRule="atLeast"/>
        <w:ind w:leftChars="0"/>
      </w:pPr>
      <w:r>
        <w:rPr>
          <w:rStyle w:val="29"/>
          <w:rFonts w:hint="eastAsia" w:ascii="黑体" w:hAnsi="宋体" w:eastAsia="黑体" w:cs="黑体"/>
          <w:b/>
          <w:sz w:val="24"/>
          <w:szCs w:val="24"/>
        </w:rPr>
        <w:t>四、</w:t>
      </w:r>
      <w:r>
        <w:rPr>
          <w:rStyle w:val="29"/>
          <w:rFonts w:hint="eastAsia" w:ascii="黑体" w:hAnsi="宋体" w:eastAsia="黑体" w:cs="黑体"/>
          <w:b/>
          <w:spacing w:val="7"/>
          <w:sz w:val="24"/>
          <w:szCs w:val="24"/>
        </w:rPr>
        <w:t>《制造业企业数字化转型实施指南》</w:t>
      </w:r>
    </w:p>
    <w:p>
      <w:pPr>
        <w:keepNext w:val="0"/>
        <w:keepLines w:val="0"/>
        <w:widowControl/>
        <w:suppressLineNumbers w:val="0"/>
        <w:spacing w:line="360" w:lineRule="auto"/>
        <w:jc w:val="left"/>
        <w:rPr>
          <w:rFonts w:ascii="Times New Roman" w:hAnsi="Times New Roman" w:eastAsia="宋体" w:cs="Times New Roman"/>
          <w:lang w:val="en-US" w:eastAsia="zh-CN"/>
        </w:rPr>
      </w:pPr>
      <w:r>
        <w:rPr>
          <w:rFonts w:ascii="宋体" w:hAnsi="宋体" w:eastAsia="宋体" w:cs="宋体"/>
          <w:kern w:val="0"/>
          <w:sz w:val="21"/>
          <w:szCs w:val="21"/>
          <w:lang w:val="en-US" w:eastAsia="zh-CN" w:bidi="ar"/>
        </w:rPr>
        <w:t xml:space="preserve">  </w:t>
      </w:r>
      <w:r>
        <w:rPr>
          <w:rFonts w:hint="eastAsia" w:ascii="宋体" w:hAnsi="宋体" w:cs="宋体"/>
          <w:kern w:val="0"/>
          <w:sz w:val="21"/>
          <w:szCs w:val="21"/>
          <w:lang w:val="en-US" w:eastAsia="zh-CN" w:bidi="ar"/>
        </w:rPr>
        <w:t xml:space="preserve">  </w:t>
      </w:r>
      <w:r>
        <w:rPr>
          <w:rFonts w:ascii="Times New Roman" w:hAnsi="Times New Roman" w:eastAsia="宋体" w:cs="Times New Roman"/>
          <w:lang w:val="en-US" w:eastAsia="zh-CN"/>
        </w:rPr>
        <w:t>工业和信息化部、国务院国有资产监督管理委员会、中华全国工商业联合会等三部门联合印发了《制造业企业数字化转型实施指南》（以下简称《指南》）。编制《指南》有四方面考虑：一是提升企业系统谋划能力，二是加强企业对标研判能力，三是明确企业差异化转型路径，四是健全企业转型保障体系；《指南》围绕研发设计、生产制造、运维服务、经营管理、供应链管理、跨环节协同等业务流程提出了以下六个方面的举措：强化研发设计云端协同；推动生产过程智能转型；加速运维服务模式创新；促进经营管理流程优化；提升供应链弹性和韧性；探索跨场景集成优化。</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发文时间：2024年12月25日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发文单位：工业和信息化部，国务院国有资产监督管理委员会，中华全国工商业联合会</w:t>
      </w:r>
    </w:p>
    <w:p>
      <w:pPr>
        <w:keepNext w:val="0"/>
        <w:keepLines w:val="0"/>
        <w:widowControl/>
        <w:suppressLineNumbers w:val="0"/>
        <w:jc w:val="left"/>
      </w:pPr>
      <w:r>
        <w:rPr>
          <w:rFonts w:hint="eastAsia" w:ascii="Microsoft YaHei UI" w:hAnsi="Microsoft YaHei UI" w:eastAsia="Microsoft YaHei UI" w:cs="Microsoft YaHei UI"/>
          <w:spacing w:val="7"/>
          <w:kern w:val="0"/>
          <w:sz w:val="15"/>
          <w:szCs w:val="15"/>
          <w:lang w:val="en-US" w:eastAsia="zh-CN" w:bidi="ar"/>
        </w:rPr>
        <w:t>原文链接：https://www.miit.gov.cn/zwgk/zcwj/wjfb/tz/art/2024/art_a277e626fcdb4082918e838e6d042bb3.html</w:t>
      </w:r>
    </w:p>
    <w:p>
      <w:pPr>
        <w:pStyle w:val="26"/>
        <w:keepNext w:val="0"/>
        <w:keepLines w:val="0"/>
        <w:widowControl/>
        <w:suppressLineNumbers w:val="0"/>
        <w:spacing w:before="0" w:beforeAutospacing="0" w:after="0" w:afterAutospacing="0" w:line="240" w:lineRule="auto"/>
        <w:jc w:val="left"/>
      </w:pPr>
    </w:p>
    <w:p>
      <w:pPr>
        <w:pStyle w:val="26"/>
        <w:keepNext w:val="0"/>
        <w:keepLines w:val="0"/>
        <w:widowControl/>
        <w:suppressLineNumbers w:val="0"/>
        <w:spacing w:before="0" w:beforeAutospacing="0" w:after="0" w:afterAutospacing="0" w:line="240" w:lineRule="auto"/>
        <w:jc w:val="left"/>
      </w:pPr>
    </w:p>
    <w:p>
      <w:pPr>
        <w:keepNext w:val="0"/>
        <w:keepLines w:val="0"/>
        <w:widowControl/>
        <w:suppressLineNumbers w:val="0"/>
        <w:jc w:val="center"/>
        <w:rPr>
          <w:rFonts w:ascii="宋体" w:hAnsi="宋体" w:eastAsia="宋体" w:cs="宋体"/>
          <w:spacing w:val="9"/>
          <w:kern w:val="0"/>
          <w:sz w:val="24"/>
          <w:szCs w:val="24"/>
          <w:lang w:val="en-US" w:eastAsia="zh-CN" w:bidi="ar"/>
        </w:rPr>
      </w:pPr>
      <w:r>
        <w:rPr>
          <w:rFonts w:ascii="宋体" w:hAnsi="宋体" w:eastAsia="宋体" w:cs="宋体"/>
          <w:spacing w:val="9"/>
          <w:kern w:val="0"/>
          <w:sz w:val="24"/>
          <w:szCs w:val="24"/>
          <w:lang w:val="en-US" w:eastAsia="zh-CN" w:bidi="ar"/>
        </w:rPr>
        <w:drawing>
          <wp:inline distT="0" distB="0" distL="114300" distR="114300">
            <wp:extent cx="296545" cy="296545"/>
            <wp:effectExtent l="0" t="0" r="8255" b="825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8"/>
                    <a:stretch>
                      <a:fillRect/>
                    </a:stretch>
                  </pic:blipFill>
                  <pic:spPr>
                    <a:xfrm>
                      <a:off x="0" y="0"/>
                      <a:ext cx="296545" cy="296545"/>
                    </a:xfrm>
                    <a:prstGeom prst="rect">
                      <a:avLst/>
                    </a:prstGeom>
                    <a:noFill/>
                    <a:ln w="9525">
                      <a:noFill/>
                    </a:ln>
                  </pic:spPr>
                </pic:pic>
              </a:graphicData>
            </a:graphic>
          </wp:inline>
        </w:drawing>
      </w:r>
    </w:p>
    <w:p>
      <w:pPr>
        <w:keepNext w:val="0"/>
        <w:keepLines w:val="0"/>
        <w:widowControl/>
        <w:suppressLineNumbers w:val="0"/>
        <w:jc w:val="center"/>
      </w:pPr>
      <w:r>
        <w:rPr>
          <w:rStyle w:val="29"/>
          <w:rFonts w:ascii="PingFangTC-light" w:hAnsi="PingFangTC-light" w:eastAsia="PingFangTC-light" w:cs="PingFangTC-light"/>
          <w:color w:val="000000"/>
          <w:kern w:val="0"/>
          <w:sz w:val="25"/>
          <w:szCs w:val="25"/>
          <w:lang w:val="en-US" w:eastAsia="zh-CN" w:bidi="ar"/>
        </w:rPr>
        <w:t>湖北省</w:t>
      </w:r>
    </w:p>
    <w:p>
      <w:pPr>
        <w:pStyle w:val="3"/>
        <w:keepNext w:val="0"/>
        <w:keepLines w:val="0"/>
        <w:widowControl/>
        <w:numPr>
          <w:numId w:val="0"/>
        </w:numPr>
        <w:suppressLineNumbers w:val="0"/>
        <w:spacing w:after="360" w:afterAutospacing="0"/>
        <w:ind w:leftChars="0"/>
      </w:pPr>
      <w:r>
        <w:rPr>
          <w:rStyle w:val="29"/>
          <w:rFonts w:hint="eastAsia" w:ascii="黑体" w:hAnsi="宋体" w:eastAsia="黑体" w:cs="黑体"/>
          <w:b/>
          <w:sz w:val="24"/>
          <w:szCs w:val="24"/>
        </w:rPr>
        <w:t>一、《</w:t>
      </w:r>
      <w:r>
        <w:rPr>
          <w:rStyle w:val="29"/>
          <w:rFonts w:hint="eastAsia" w:ascii="黑体" w:hAnsi="宋体" w:eastAsia="黑体" w:cs="黑体"/>
          <w:b/>
          <w:spacing w:val="7"/>
          <w:sz w:val="24"/>
          <w:szCs w:val="24"/>
        </w:rPr>
        <w:t>关于全面加强绿色矿山建设的通知》</w:t>
      </w:r>
    </w:p>
    <w:p>
      <w:pPr>
        <w:pStyle w:val="26"/>
        <w:keepNext w:val="0"/>
        <w:keepLines w:val="0"/>
        <w:widowControl/>
        <w:suppressLineNumbers w:val="0"/>
        <w:spacing w:after="360" w:afterAutospacing="0" w:line="360" w:lineRule="auto"/>
        <w:ind w:left="0" w:firstLine="42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为全面加强我省绿色矿山建设，省自然资源厅印发了《关于全面加强绿色矿山建设的通知》（以下简称《通知》）。该通知提出总体要求：明确到2028年底，力争持证在产生产规模为大型的矿山95％以上、中型的矿山85％以上要达到绿色矿山标准，小型矿山要按照绿色矿山标准加强管理。全面推进绿色矿山建设，支持矿山企业加快融合5G、大数据、互联网、人工智能等信息化技术应用，建立完善矿山一体化集中管控平台。同时该通知中明确职责分工：生态环境主管部门负责矿山生态环境监督、污染防治监管；省自然资源厅联合相关部门，定期或不定期对第三方评估机构进行抽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发文时间：2024年12月24日</w:t>
      </w:r>
      <w:r>
        <w:rPr>
          <w:rFonts w:ascii="宋体" w:hAnsi="宋体" w:eastAsia="宋体" w:cs="宋体"/>
          <w:kern w:val="0"/>
          <w:sz w:val="24"/>
          <w:szCs w:val="24"/>
          <w:lang w:val="en-US" w:eastAsia="zh-CN" w:bidi="ar"/>
        </w:rPr>
        <w:br w:type="textWrapping"/>
      </w:r>
      <w:r>
        <w:rPr>
          <w:rFonts w:hint="eastAsia" w:ascii="Microsoft YaHei UI" w:hAnsi="Microsoft YaHei UI" w:eastAsia="Microsoft YaHei UI" w:cs="Microsoft YaHei UI"/>
          <w:spacing w:val="7"/>
          <w:kern w:val="0"/>
          <w:sz w:val="15"/>
          <w:szCs w:val="15"/>
          <w:lang w:val="en-US" w:eastAsia="zh-CN" w:bidi="ar"/>
        </w:rPr>
        <w:t>发文单位：湖北省自然资源厅</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"https://zrzyt.hubei.gov.cn/fbjd/zhengce/gfwj/xxyxgfxwj/202412/t20241224_5473258.shtml"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Style w:val="33"/>
          <w:rFonts w:hint="eastAsia" w:ascii="Microsoft YaHei UI" w:hAnsi="Microsoft YaHei UI" w:eastAsia="Microsoft YaHei UI" w:cs="Microsoft YaHei UI"/>
          <w:spacing w:val="7"/>
          <w:kern w:val="0"/>
          <w:sz w:val="15"/>
          <w:szCs w:val="15"/>
          <w:lang w:val="en-US" w:eastAsia="zh-CN" w:bidi="ar"/>
        </w:rPr>
        <w:t>https://zrzyt.hubei.gov.cn/fbjd/zhengce/gfwj/xxyxgfxwj/202412/t20241224_5473258.shtml</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p>
    <w:p>
      <w:pPr>
        <w:pStyle w:val="3"/>
        <w:keepNext w:val="0"/>
        <w:keepLines w:val="0"/>
        <w:widowControl/>
        <w:numPr>
          <w:numId w:val="0"/>
        </w:numPr>
        <w:suppressLineNumbers w:val="0"/>
        <w:ind w:leftChars="0"/>
      </w:pPr>
      <w:r>
        <w:rPr>
          <w:rStyle w:val="29"/>
          <w:rFonts w:hint="eastAsia" w:ascii="黑体" w:hAnsi="宋体" w:eastAsia="黑体" w:cs="黑体"/>
          <w:b/>
          <w:sz w:val="24"/>
          <w:szCs w:val="24"/>
        </w:rPr>
        <w:t>二、《</w:t>
      </w:r>
      <w:r>
        <w:rPr>
          <w:rStyle w:val="29"/>
          <w:rFonts w:hint="eastAsia" w:ascii="黑体" w:hAnsi="宋体" w:eastAsia="黑体" w:cs="黑体"/>
          <w:b/>
          <w:spacing w:val="7"/>
          <w:sz w:val="24"/>
          <w:szCs w:val="24"/>
        </w:rPr>
        <w:t>联动建设花湖国际自由贸易航空港打造“空中出海口”工作方案的通知》</w:t>
      </w:r>
    </w:p>
    <w:p>
      <w:pPr>
        <w:keepNext w:val="0"/>
        <w:keepLines w:val="0"/>
        <w:widowControl/>
        <w:suppressLineNumbers w:val="0"/>
        <w:spacing w:after="240" w:afterAutospacing="0" w:line="360" w:lineRule="auto"/>
        <w:jc w:val="left"/>
        <w:rPr>
          <w:rFonts w:ascii="Times New Roman" w:hAnsi="Times New Roman" w:eastAsia="宋体" w:cs="Times New Roman"/>
          <w:lang w:val="en-US" w:eastAsia="zh-CN"/>
        </w:rPr>
      </w:pPr>
      <w:r>
        <w:rPr>
          <w:rFonts w:ascii="宋体" w:hAnsi="宋体" w:eastAsia="宋体" w:cs="宋体"/>
          <w:kern w:val="0"/>
          <w:sz w:val="21"/>
          <w:szCs w:val="21"/>
          <w:lang w:val="en-US" w:eastAsia="zh-CN" w:bidi="ar"/>
        </w:rPr>
        <w:t xml:space="preserve">  </w:t>
      </w:r>
      <w:r>
        <w:rPr>
          <w:rFonts w:hint="eastAsia" w:ascii="宋体" w:hAnsi="宋体" w:cs="宋体"/>
          <w:kern w:val="0"/>
          <w:sz w:val="21"/>
          <w:szCs w:val="21"/>
          <w:lang w:val="en-US" w:eastAsia="zh-CN" w:bidi="ar"/>
        </w:rPr>
        <w:t xml:space="preserve"> </w:t>
      </w:r>
      <w:r>
        <w:rPr>
          <w:rFonts w:ascii="Times New Roman" w:hAnsi="Times New Roman" w:eastAsia="宋体" w:cs="Times New Roman"/>
          <w:lang w:val="en-US" w:eastAsia="zh-CN"/>
        </w:rPr>
        <w:t>本方案以深入推进武汉天河机场、鄂州花湖机场国际航空客货运“双枢纽”建设为总体目标，提出包括“搭建武汉都市圈航空供应链平台”的四项重点任务：具体措施包括“数字化赋能企业出海，打通武汉天河机场、鄂州花湖机场和光谷货站之间信息流”；“完善武汉国际贸易数字化平台功能，开发建设AI助理等特色应用”等。方案中还提出，预计到2027年，建设跨境电商产业园13个以上。</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发文时间：2024年12月23日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发文单位：武汉市人民政府办公厅</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left"/>
      </w:pPr>
      <w:r>
        <w:rPr>
          <w:rFonts w:hint="eastAsia" w:ascii="Microsoft YaHei UI" w:hAnsi="Microsoft YaHei UI" w:eastAsia="Microsoft YaHei UI" w:cs="Microsoft YaHei UI"/>
          <w:spacing w:val="7"/>
          <w:kern w:val="0"/>
          <w:sz w:val="15"/>
          <w:szCs w:val="15"/>
          <w:lang w:val="en-US" w:eastAsia="zh-CN" w:bidi="ar"/>
        </w:rPr>
        <w:t>http://www.xiangyang.gov.cn/szf/zfxxgk/zc/gfxwj2/xzg/202412/t20241219_3732129.shtml</w:t>
      </w:r>
      <w:r>
        <w:rPr>
          <w:rFonts w:hint="eastAsia" w:ascii="Microsoft YaHei UI" w:hAnsi="Microsoft YaHei UI" w:eastAsia="Microsoft YaHei UI" w:cs="Microsoft YaHei UI"/>
          <w:spacing w:val="7"/>
          <w:kern w:val="0"/>
          <w:sz w:val="15"/>
          <w:szCs w:val="15"/>
          <w:lang w:val="en-US" w:eastAsia="zh-CN" w:bidi="ar"/>
        </w:rPr>
        <w:br w:type="textWrapping"/>
      </w:r>
    </w:p>
    <w:p>
      <w:pPr>
        <w:pStyle w:val="2"/>
        <w:keepNext w:val="0"/>
        <w:keepLines w:val="0"/>
        <w:widowControl/>
        <w:numPr>
          <w:numId w:val="0"/>
        </w:numPr>
        <w:suppressLineNumbers w:val="0"/>
        <w:spacing w:line="336" w:lineRule="atLeast"/>
        <w:ind w:leftChars="0"/>
      </w:pPr>
      <w:r>
        <w:rPr>
          <w:rStyle w:val="29"/>
          <w:rFonts w:hint="eastAsia" w:ascii="黑体" w:hAnsi="宋体" w:eastAsia="黑体" w:cs="黑体"/>
          <w:b/>
          <w:spacing w:val="7"/>
          <w:sz w:val="24"/>
          <w:szCs w:val="24"/>
        </w:rPr>
        <w:t>三</w:t>
      </w:r>
      <w:r>
        <w:rPr>
          <w:rStyle w:val="29"/>
          <w:rFonts w:hint="eastAsia" w:ascii="黑体" w:hAnsi="宋体" w:eastAsia="黑体" w:cs="黑体"/>
          <w:b/>
          <w:spacing w:val="9"/>
          <w:sz w:val="24"/>
          <w:szCs w:val="24"/>
        </w:rPr>
        <w:t>、</w:t>
      </w:r>
      <w:r>
        <w:rPr>
          <w:rStyle w:val="29"/>
          <w:rFonts w:hint="eastAsia" w:ascii="黑体" w:hAnsi="宋体" w:eastAsia="黑体" w:cs="黑体"/>
          <w:b/>
          <w:spacing w:val="7"/>
          <w:sz w:val="24"/>
          <w:szCs w:val="24"/>
        </w:rPr>
        <w:t>《省人民政府办公厅关于印发&lt;湖北省加快发展农业微生物产业实施方案&gt;</w:t>
      </w:r>
      <w:r>
        <w:rPr>
          <w:rStyle w:val="29"/>
          <w:rFonts w:hint="eastAsia" w:ascii="黑体" w:hAnsi="宋体" w:eastAsia="黑体" w:cs="黑体"/>
          <w:b/>
          <w:sz w:val="24"/>
          <w:szCs w:val="24"/>
        </w:rPr>
        <w:t>的通知》</w:t>
      </w:r>
    </w:p>
    <w:p>
      <w:pPr>
        <w:pStyle w:val="2"/>
        <w:keepNext w:val="0"/>
        <w:keepLines w:val="0"/>
        <w:widowControl/>
        <w:numPr>
          <w:numId w:val="0"/>
        </w:numPr>
        <w:suppressLineNumbers w:val="0"/>
        <w:spacing w:line="360" w:lineRule="auto"/>
        <w:ind w:firstLine="480" w:firstLineChars="200"/>
        <w:rPr>
          <w:rFonts w:ascii="Times New Roman" w:hAnsi="Times New Roman" w:eastAsia="宋体" w:cs="Times New Roman"/>
          <w:b w:val="0"/>
          <w:bCs w:val="0"/>
          <w:kern w:val="2"/>
          <w:sz w:val="24"/>
          <w:szCs w:val="24"/>
          <w:lang w:val="en-US" w:eastAsia="zh-CN" w:bidi="ar-SA"/>
        </w:rPr>
      </w:pPr>
      <w:r>
        <w:rPr>
          <w:rFonts w:ascii="Times New Roman" w:hAnsi="Times New Roman" w:eastAsia="宋体" w:cs="Times New Roman"/>
          <w:b w:val="0"/>
          <w:bCs w:val="0"/>
          <w:kern w:val="2"/>
          <w:sz w:val="24"/>
          <w:szCs w:val="24"/>
          <w:lang w:val="en-US" w:eastAsia="zh-CN" w:bidi="ar-SA"/>
        </w:rPr>
        <w:t>12月25日，省农业农村厅对《人民政府办公厅印发《微生物产业实施方案》的通知》进行了解读。解读中指出，《实施方案》包括重点方向、重点举措和保障措施三个部分，将重点研发具有自主知识产权和市场竞争力的新产品，攻关具有引领性和颠覆性的新技术，到2027年，取得标志性成果10项以上；将统筹实施平台提质，构建农业微生物全产业链发展体系，到2027年，建设30个农业微生物产业示范基地，技术普及率提高10%以上；作为保障措施，将设立省级农业微生物产业发展重大专项，2025年至2027年，每年安排5000万元，重点支持关键核心技术攻关和产业化应用。</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ascii="宋体" w:hAnsi="宋体" w:eastAsia="宋体" w:cs="宋体"/>
          <w:kern w:val="0"/>
          <w:sz w:val="24"/>
          <w:szCs w:val="24"/>
          <w:lang w:val="en-US" w:eastAsia="zh-CN" w:bidi="ar"/>
        </w:rPr>
        <w:br w:type="textWrapping"/>
      </w:r>
      <w:r>
        <w:rPr>
          <w:rFonts w:hint="eastAsia" w:ascii="Microsoft YaHei UI" w:hAnsi="Microsoft YaHei UI" w:eastAsia="Microsoft YaHei UI" w:cs="Microsoft YaHei UI"/>
          <w:spacing w:val="7"/>
          <w:kern w:val="0"/>
          <w:sz w:val="15"/>
          <w:szCs w:val="15"/>
          <w:lang w:val="en-US" w:eastAsia="zh-CN" w:bidi="ar"/>
        </w:rPr>
        <w:t>发文时间：2024年12月25日</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发文单位：湖北省人民政府门户网站</w:t>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"https://www.hubei.gov.cn/xxgk/hbzcjd/zcjdjgh/202412/t20241225_5474609.shtml"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Style w:val="33"/>
          <w:rFonts w:hint="eastAsia" w:ascii="Microsoft YaHei UI" w:hAnsi="Microsoft YaHei UI" w:eastAsia="Microsoft YaHei UI" w:cs="Microsoft YaHei UI"/>
          <w:spacing w:val="7"/>
          <w:kern w:val="0"/>
          <w:sz w:val="15"/>
          <w:szCs w:val="15"/>
          <w:lang w:val="en-US" w:eastAsia="zh-CN" w:bidi="ar"/>
        </w:rPr>
        <w:t>https://www.hubei.gov.cn/xxgk/hbzcjd/zcjdjgh/202412/t20241225_5474609.shtml</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rPr>
          <w:rFonts w:hint="eastAsia" w:ascii="宋体" w:hAnsi="宋体" w:cs="宋体"/>
          <w:i/>
          <w:iCs/>
          <w:caps w:val="0"/>
          <w:color w:val="666666"/>
          <w:spacing w:val="0"/>
          <w:kern w:val="0"/>
          <w:sz w:val="21"/>
          <w:szCs w:val="21"/>
          <w:shd w:val="clear" w:color="auto" w:fill="FFFFFF"/>
          <w:lang w:val="en-US" w:eastAsia="zh-CN" w:bidi="ar"/>
        </w:rPr>
      </w:pPr>
    </w:p>
    <w:p>
      <w:pPr>
        <w:pStyle w:val="3"/>
        <w:keepNext w:val="0"/>
        <w:keepLines w:val="0"/>
        <w:widowControl/>
        <w:numPr>
          <w:ilvl w:val="0"/>
          <w:numId w:val="4"/>
        </w:numPr>
        <w:suppressLineNumbers w:val="0"/>
        <w:spacing w:after="360" w:afterAutospacing="0"/>
        <w:ind w:leftChars="0"/>
        <w:rPr>
          <w:rStyle w:val="29"/>
          <w:rFonts w:hint="eastAsia" w:ascii="黑体" w:hAnsi="宋体" w:eastAsia="黑体" w:cs="黑体"/>
          <w:b/>
          <w:bCs/>
          <w:spacing w:val="7"/>
          <w:kern w:val="44"/>
          <w:sz w:val="24"/>
          <w:szCs w:val="24"/>
          <w:lang w:val="en-US" w:eastAsia="zh-CN" w:bidi="ar-SA"/>
        </w:rPr>
      </w:pPr>
      <w:r>
        <w:rPr>
          <w:rStyle w:val="29"/>
          <w:rFonts w:hint="eastAsia" w:ascii="黑体" w:hAnsi="宋体" w:eastAsia="黑体" w:cs="黑体"/>
          <w:b/>
          <w:bCs/>
          <w:spacing w:val="7"/>
          <w:kern w:val="44"/>
          <w:sz w:val="24"/>
          <w:szCs w:val="24"/>
          <w:lang w:val="en-US" w:eastAsia="zh-CN" w:bidi="ar-SA"/>
        </w:rPr>
        <w:t>王蒙徽主持召开省委专题会议研究加快推进武汉新城建设</w:t>
      </w:r>
    </w:p>
    <w:p>
      <w:pPr>
        <w:pStyle w:val="3"/>
        <w:keepNext w:val="0"/>
        <w:keepLines w:val="0"/>
        <w:widowControl/>
        <w:numPr>
          <w:numId w:val="0"/>
        </w:numPr>
        <w:suppressLineNumbers w:val="0"/>
        <w:spacing w:after="360" w:afterAutospacing="0"/>
        <w:ind w:leftChars="0"/>
      </w:pPr>
      <w:r>
        <w:rPr>
          <w:rFonts w:hint="eastAsia" w:ascii="Times New Roman" w:hAnsi="Times New Roman" w:eastAsia="宋体" w:cs="Times New Roman"/>
          <w:b w:val="0"/>
          <w:bCs w:val="0"/>
          <w:kern w:val="2"/>
          <w:sz w:val="24"/>
          <w:szCs w:val="24"/>
          <w:lang w:val="en-US" w:eastAsia="zh-CN" w:bidi="ar-SA"/>
        </w:rPr>
        <w:tab/>
      </w:r>
      <w:r>
        <w:rPr>
          <w:rFonts w:ascii="Times New Roman" w:hAnsi="Times New Roman" w:eastAsia="宋体" w:cs="Times New Roman"/>
          <w:b w:val="0"/>
          <w:bCs w:val="0"/>
          <w:kern w:val="2"/>
          <w:sz w:val="24"/>
          <w:szCs w:val="24"/>
          <w:lang w:val="en-US" w:eastAsia="zh-CN" w:bidi="ar-SA"/>
        </w:rPr>
        <w:t>12月25日下午，省委书记、省人大常委会主任王蒙徽主持召开省委专题会议，听取武汉新城建设等工作推进情况汇报，研究部署明年重点任务。过去两年，武汉及鄂州等地积极实施规划，新城功能提升，产业人口集聚初显成效。未来，要深化省委部署，</w:t>
      </w:r>
      <w:r>
        <w:rPr>
          <w:rFonts w:hint="default" w:ascii="Times New Roman" w:hAnsi="Times New Roman" w:eastAsia="宋体" w:cs="Times New Roman"/>
          <w:b w:val="0"/>
          <w:bCs w:val="0"/>
          <w:kern w:val="2"/>
          <w:sz w:val="24"/>
          <w:szCs w:val="24"/>
          <w:lang w:val="en-US" w:eastAsia="zh-CN" w:bidi="ar-SA"/>
        </w:rPr>
        <w:t>提升武汉新城建设站位，细化目标定位，强化工作措施，完善交通、数字基建、公共服务体系，优化产业布局，推动产城融合。同时，加强省市联动，发挥主体作用，凝聚建设合力，探索以湖为单元的城市空间布局，推动老城新城联动发展。</w:t>
      </w:r>
    </w:p>
    <w:p>
      <w:pPr>
        <w:keepNext w:val="0"/>
        <w:keepLines w:val="0"/>
        <w:widowControl/>
        <w:suppressLineNumbers w:val="0"/>
        <w:jc w:val="left"/>
      </w:pPr>
      <w:r>
        <w:rPr>
          <w:rFonts w:ascii="Microsoft YaHei UI" w:hAnsi="Microsoft YaHei UI" w:eastAsia="Microsoft YaHei UI" w:cs="Microsoft YaHei UI"/>
          <w:spacing w:val="7"/>
          <w:kern w:val="0"/>
          <w:sz w:val="15"/>
          <w:szCs w:val="15"/>
          <w:lang w:val="en-US" w:eastAsia="zh-CN" w:bidi="ar"/>
        </w:rPr>
        <w:t>发文时间：12月26日</w:t>
      </w:r>
      <w:r>
        <w:rPr>
          <w:rFonts w:ascii="宋体" w:hAnsi="宋体" w:eastAsia="宋体" w:cs="宋体"/>
          <w:kern w:val="0"/>
          <w:sz w:val="24"/>
          <w:szCs w:val="24"/>
          <w:lang w:val="en-US" w:eastAsia="zh-CN" w:bidi="ar"/>
        </w:rPr>
        <w:br w:type="textWrapping"/>
      </w:r>
      <w:r>
        <w:rPr>
          <w:rFonts w:hint="eastAsia" w:ascii="Microsoft YaHei UI" w:hAnsi="Microsoft YaHei UI" w:eastAsia="Microsoft YaHei UI" w:cs="Microsoft YaHei UI"/>
          <w:spacing w:val="7"/>
          <w:kern w:val="0"/>
          <w:sz w:val="15"/>
          <w:szCs w:val="15"/>
          <w:lang w:val="en-US" w:eastAsia="zh-CN" w:bidi="ar"/>
        </w:rPr>
        <w:t>原文链接：https://www.hubei.gov.cn/zwgk/hbyw/hbywqb/202412/t20241226_5475507.shtml</w:t>
      </w:r>
    </w:p>
    <w:p>
      <w:pPr>
        <w:pStyle w:val="26"/>
        <w:keepNext w:val="0"/>
        <w:keepLines w:val="0"/>
        <w:widowControl/>
        <w:suppressLineNumbers w:val="0"/>
        <w:spacing w:before="0" w:beforeAutospacing="0" w:after="0" w:afterAutospacing="0" w:line="240" w:lineRule="auto"/>
        <w:jc w:val="left"/>
      </w:pPr>
    </w:p>
    <w:p>
      <w:pPr>
        <w:pStyle w:val="3"/>
        <w:keepNext w:val="0"/>
        <w:keepLines w:val="0"/>
        <w:widowControl/>
        <w:numPr>
          <w:ilvl w:val="0"/>
          <w:numId w:val="4"/>
        </w:numPr>
        <w:suppressLineNumbers w:val="0"/>
        <w:spacing w:after="360" w:afterAutospacing="0"/>
        <w:ind w:leftChars="0"/>
        <w:rPr>
          <w:rStyle w:val="29"/>
          <w:rFonts w:hint="eastAsia" w:ascii="黑体" w:hAnsi="宋体" w:eastAsia="黑体" w:cs="黑体"/>
          <w:b/>
          <w:bCs/>
          <w:spacing w:val="7"/>
          <w:kern w:val="44"/>
          <w:sz w:val="24"/>
          <w:szCs w:val="24"/>
          <w:lang w:val="en-US" w:eastAsia="zh-CN" w:bidi="ar-SA"/>
        </w:rPr>
      </w:pPr>
      <w:r>
        <w:rPr>
          <w:rStyle w:val="29"/>
          <w:rFonts w:hint="eastAsia" w:ascii="黑体" w:hAnsi="宋体" w:eastAsia="黑体" w:cs="黑体"/>
          <w:b/>
          <w:bCs/>
          <w:spacing w:val="7"/>
          <w:kern w:val="44"/>
          <w:sz w:val="24"/>
          <w:szCs w:val="24"/>
          <w:lang w:val="en-US" w:eastAsia="zh-CN" w:bidi="ar-SA"/>
        </w:rPr>
        <w:t>大力发展智慧农业有了时间表和路线图 “千里眼”“顺风耳”让种地更高效</w:t>
      </w:r>
    </w:p>
    <w:p>
      <w:pPr>
        <w:pStyle w:val="26"/>
        <w:keepNext w:val="0"/>
        <w:keepLines w:val="0"/>
        <w:widowControl/>
        <w:suppressLineNumbers w:val="0"/>
      </w:pPr>
      <w:r>
        <w:rPr>
          <w:spacing w:val="7"/>
          <w:sz w:val="21"/>
          <w:szCs w:val="21"/>
        </w:rPr>
        <w:t>     </w:t>
      </w:r>
      <w:r>
        <w:rPr>
          <w:rFonts w:hint="default" w:ascii="Times New Roman" w:hAnsi="Times New Roman" w:eastAsia="宋体" w:cs="Times New Roman"/>
          <w:b w:val="0"/>
          <w:bCs w:val="0"/>
          <w:kern w:val="2"/>
          <w:sz w:val="24"/>
          <w:szCs w:val="24"/>
          <w:lang w:val="en-US" w:eastAsia="zh-CN" w:bidi="ar-SA"/>
        </w:rPr>
        <w:t xml:space="preserve"> 12月23日，人民日报对农业农村部印发《农业农村部关于大力发展智慧农业的指导意见》（以下简称《指导意见》）和《全国智慧农业行动计划（2024—2028年）》（以下简称《行动计划》）进行了解读。《指导意见》指出，将加速信息技术在农业农村领域全方位全链条普及应用。看时间表和路线图：力争到2030年，高端传感器、关键零部件、成套智能装备等关键技术装备取得重大突破，智慧农业标准体系、检测制度基本建立，智慧农业在重点地区得到广泛应用，农业生产信息化率达到35%左右。将实施智慧农业公共服务能力提升行动，通过打造国家农业农村大数据平台、共建农业农村用地“一张图”、开发一批基础模型算法，强化智慧农业公共服务底座建设，提升公共服务能力水平。</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发文时间：12月23日</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pPr>
      <w:r>
        <w:rPr>
          <w:rFonts w:hint="eastAsia" w:ascii="Microsoft YaHei UI" w:hAnsi="Microsoft YaHei UI" w:eastAsia="Microsoft YaHei UI" w:cs="Microsoft YaHei UI"/>
          <w:spacing w:val="7"/>
          <w:sz w:val="15"/>
          <w:szCs w:val="15"/>
        </w:rPr>
        <w:t>https://www.gov.cn/zhengce/202412/content_6994103.htm</w:t>
      </w:r>
    </w:p>
    <w:p>
      <w:pPr>
        <w:pStyle w:val="26"/>
        <w:keepNext w:val="0"/>
        <w:keepLines w:val="0"/>
        <w:widowControl/>
        <w:suppressLineNumbers w:val="0"/>
        <w:spacing w:before="0" w:beforeAutospacing="0" w:after="0" w:afterAutospacing="0" w:line="240" w:lineRule="auto"/>
        <w:jc w:val="left"/>
      </w:pPr>
    </w:p>
    <w:p>
      <w:pPr>
        <w:pStyle w:val="26"/>
        <w:keepNext w:val="0"/>
        <w:keepLines w:val="0"/>
        <w:widowControl/>
        <w:suppressLineNumbers w:val="0"/>
        <w:spacing w:before="0" w:beforeAutospacing="0" w:after="0" w:afterAutospacing="0" w:line="240" w:lineRule="auto"/>
        <w:jc w:val="left"/>
      </w:pPr>
    </w:p>
    <w:p>
      <w:pPr>
        <w:pStyle w:val="26"/>
        <w:keepNext w:val="0"/>
        <w:keepLines w:val="0"/>
        <w:widowControl/>
        <w:suppressLineNumbers w:val="0"/>
        <w:spacing w:before="0" w:beforeAutospacing="0" w:after="0" w:afterAutospacing="0" w:line="240" w:lineRule="auto"/>
        <w:jc w:val="left"/>
      </w:pPr>
    </w:p>
    <w:p>
      <w:pPr>
        <w:pStyle w:val="3"/>
        <w:keepNext w:val="0"/>
        <w:keepLines w:val="0"/>
        <w:widowControl/>
        <w:numPr>
          <w:numId w:val="0"/>
        </w:numPr>
        <w:suppressLineNumbers w:val="0"/>
        <w:spacing w:line="368" w:lineRule="atLeast"/>
        <w:ind w:leftChars="0"/>
      </w:pPr>
      <w:r>
        <w:rPr>
          <w:rFonts w:hint="eastAsia" w:ascii="Arial" w:hAnsi="Arial" w:eastAsia="黑体" w:cs="Times New Roman"/>
          <w:b/>
          <w:bCs/>
          <w:kern w:val="2"/>
          <w:sz w:val="24"/>
          <w:szCs w:val="24"/>
        </w:rPr>
        <w:t>三、</w:t>
      </w:r>
      <w:r>
        <w:rPr>
          <w:rStyle w:val="29"/>
          <w:rFonts w:hint="eastAsia" w:ascii="黑体" w:hAnsi="宋体" w:eastAsia="黑体" w:cs="黑体"/>
          <w:b/>
          <w:spacing w:val="7"/>
          <w:sz w:val="24"/>
          <w:szCs w:val="24"/>
        </w:rPr>
        <w:t>教育部召开2024年年终总结会</w:t>
      </w:r>
    </w:p>
    <w:p>
      <w:pPr>
        <w:keepNext w:val="0"/>
        <w:keepLines w:val="0"/>
        <w:widowControl/>
        <w:suppressLineNumbers w:val="0"/>
        <w:jc w:val="left"/>
        <w:rPr>
          <w:rFonts w:hint="default" w:ascii="Times New Roman" w:hAnsi="Times New Roman" w:eastAsia="宋体" w:cs="Times New Roman"/>
          <w:b w:val="0"/>
          <w:bCs w:val="0"/>
          <w:kern w:val="2"/>
          <w:sz w:val="24"/>
          <w:szCs w:val="24"/>
          <w:lang w:val="en-US" w:eastAsia="zh-CN" w:bidi="ar-SA"/>
        </w:rPr>
      </w:pPr>
      <w:r>
        <w:rPr>
          <w:rFonts w:ascii="宋体" w:hAnsi="宋体" w:eastAsia="宋体" w:cs="宋体"/>
          <w:spacing w:val="7"/>
          <w:kern w:val="0"/>
          <w:sz w:val="21"/>
          <w:szCs w:val="21"/>
          <w:lang w:val="en-US" w:eastAsia="zh-CN" w:bidi="ar"/>
        </w:rPr>
        <w:t>  </w:t>
      </w:r>
      <w:r>
        <w:rPr>
          <w:rFonts w:hint="default" w:ascii="Times New Roman" w:hAnsi="Times New Roman" w:eastAsia="宋体" w:cs="Times New Roman"/>
          <w:b w:val="0"/>
          <w:bCs w:val="0"/>
          <w:kern w:val="2"/>
          <w:sz w:val="24"/>
          <w:szCs w:val="24"/>
          <w:lang w:val="en-US" w:eastAsia="zh-CN" w:bidi="ar-SA"/>
        </w:rPr>
        <w:t>12月13日，“数字赋能产业转型升级服务能力培训班暨2024年湖北省中小企业数字化服务联盟理事会年会”在武汉成功举办。此次培训由省经济和信息化厅指导，湖北省中小企业服务中心主办。省经信息厅信息化推进处相关负责人介绍了我省在数字化转型推进工作方面最新进展，并就下一步数字化转型工作部署方案提出了明确的目标。</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bookmarkStart w:id="0" w:name="_GoBack"/>
      <w:bookmarkEnd w:id="0"/>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发文时间：12月26日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r>
        <w:rPr>
          <w:rFonts w:hint="eastAsia" w:ascii="Microsoft YaHei UI" w:hAnsi="Microsoft YaHei UI" w:eastAsia="Microsoft YaHei UI" w:cs="Microsoft YaHei UI"/>
          <w:spacing w:val="7"/>
          <w:sz w:val="15"/>
          <w:szCs w:val="15"/>
        </w:rPr>
        <w:br w:type="textWrapping"/>
      </w:r>
      <w:r>
        <w:rPr>
          <w:rFonts w:hint="eastAsia" w:ascii="Microsoft YaHei UI" w:hAnsi="Microsoft YaHei UI" w:eastAsia="Microsoft YaHei UI" w:cs="Microsoft YaHei UI"/>
          <w:spacing w:val="7"/>
          <w:sz w:val="15"/>
          <w:szCs w:val="15"/>
        </w:rPr>
        <w:t>http://www.moe.gov.cn/jyb_zzjg/huodong/202412/t20241226_1170783.html</w:t>
      </w:r>
    </w:p>
    <w:p>
      <w:pPr>
        <w:rPr>
          <w:rFonts w:hint="default"/>
          <w:lang w:val="en-US" w:eastAsia="zh-CN"/>
        </w:rPr>
      </w:pPr>
    </w:p>
    <w:p>
      <w:pPr>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ascii="宋体" w:hAnsi="宋体" w:eastAsia="宋体" w:cs="宋体"/>
          <w:b w:val="0"/>
          <w:bCs w:val="0"/>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cs="宋体"/>
          <w:i/>
          <w:iCs/>
          <w:caps w:val="0"/>
          <w:color w:val="666666"/>
          <w:spacing w:val="0"/>
          <w:kern w:val="0"/>
          <w:sz w:val="21"/>
          <w:szCs w:val="21"/>
          <w:shd w:val="clear" w:color="auto" w:fill="FFFFFF"/>
          <w:lang w:val="en-US" w:eastAsia="zh-CN" w:bidi="ar"/>
        </w:rPr>
      </w:pPr>
      <w:r>
        <w:rPr>
          <w:rFonts w:hint="eastAsia" w:ascii="宋体" w:hAnsi="宋体" w:eastAsia="宋体" w:cs="宋体"/>
          <w:i/>
          <w:iCs/>
          <w:caps w:val="0"/>
          <w:color w:val="666666"/>
          <w:spacing w:val="0"/>
          <w:kern w:val="0"/>
          <w:sz w:val="21"/>
          <w:szCs w:val="21"/>
          <w:shd w:val="clear" w:color="auto" w:fill="FFFFFF"/>
          <w:lang w:val="en-US" w:eastAsia="zh-CN" w:bidi="ar"/>
        </w:rPr>
        <w:t>审核人：</w:t>
      </w:r>
      <w:r>
        <w:rPr>
          <w:rFonts w:hint="eastAsia" w:ascii="宋体" w:hAnsi="宋体" w:cs="宋体"/>
          <w:i/>
          <w:iCs/>
          <w:caps w:val="0"/>
          <w:color w:val="666666"/>
          <w:spacing w:val="0"/>
          <w:kern w:val="0"/>
          <w:sz w:val="21"/>
          <w:szCs w:val="21"/>
          <w:shd w:val="clear" w:color="auto" w:fill="FFFFFF"/>
          <w:lang w:val="en-US" w:eastAsia="zh-CN" w:bidi="ar"/>
        </w:rPr>
        <w:t>杨军农</w:t>
      </w:r>
    </w:p>
    <w:p>
      <w:pPr>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DB9FE"/>
    <w:multiLevelType w:val="singleLevel"/>
    <w:tmpl w:val="0A2DB9FE"/>
    <w:lvl w:ilvl="0" w:tentative="0">
      <w:start w:val="1"/>
      <w:numFmt w:val="chineseCounting"/>
      <w:suff w:val="nothing"/>
      <w:lvlText w:val="%1、"/>
      <w:lvlJc w:val="left"/>
      <w:rPr>
        <w:rFonts w:hint="eastAsia"/>
      </w:rPr>
    </w:lvl>
  </w:abstractNum>
  <w:abstractNum w:abstractNumId="1">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5"/>
      <w:lvlText w:val="%1"/>
      <w:lvlJc w:val="left"/>
      <w:pPr>
        <w:tabs>
          <w:tab w:val="left" w:pos="425"/>
        </w:tabs>
        <w:ind w:left="425" w:hanging="425"/>
      </w:pPr>
      <w:rPr>
        <w:rFonts w:hint="eastAsia"/>
      </w:rPr>
    </w:lvl>
    <w:lvl w:ilvl="1" w:tentative="0">
      <w:start w:val="1"/>
      <w:numFmt w:val="upperLetter"/>
      <w:pStyle w:val="36"/>
      <w:lvlText w:val="%1附录%2"/>
      <w:lvlJc w:val="left"/>
      <w:pPr>
        <w:tabs>
          <w:tab w:val="left" w:pos="1080"/>
        </w:tabs>
        <w:ind w:left="567" w:hanging="567"/>
      </w:pPr>
      <w:rPr>
        <w:rFonts w:hint="eastAsia"/>
      </w:rPr>
    </w:lvl>
    <w:lvl w:ilvl="2" w:tentative="0">
      <w:start w:val="1"/>
      <w:numFmt w:val="decimal"/>
      <w:pStyle w:val="37"/>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40"/>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50F64AF"/>
    <w:rsid w:val="06601CDF"/>
    <w:rsid w:val="067D27D9"/>
    <w:rsid w:val="0826583C"/>
    <w:rsid w:val="08683CDA"/>
    <w:rsid w:val="08753AC5"/>
    <w:rsid w:val="087607E6"/>
    <w:rsid w:val="09405381"/>
    <w:rsid w:val="0A434350"/>
    <w:rsid w:val="0BDC6B84"/>
    <w:rsid w:val="0C4F07D9"/>
    <w:rsid w:val="0E83792A"/>
    <w:rsid w:val="0FBC07B5"/>
    <w:rsid w:val="10440482"/>
    <w:rsid w:val="10FC2F79"/>
    <w:rsid w:val="11823249"/>
    <w:rsid w:val="11BE2A5C"/>
    <w:rsid w:val="12134735"/>
    <w:rsid w:val="123B7AAA"/>
    <w:rsid w:val="13874EC8"/>
    <w:rsid w:val="142C6563"/>
    <w:rsid w:val="14C64FA3"/>
    <w:rsid w:val="161A531E"/>
    <w:rsid w:val="16FC4447"/>
    <w:rsid w:val="17680B0C"/>
    <w:rsid w:val="17B83DC4"/>
    <w:rsid w:val="17FD7FE9"/>
    <w:rsid w:val="190E24E6"/>
    <w:rsid w:val="1918096B"/>
    <w:rsid w:val="194C3CCF"/>
    <w:rsid w:val="1A0F674F"/>
    <w:rsid w:val="1A845EF2"/>
    <w:rsid w:val="1A9D4E5B"/>
    <w:rsid w:val="1AF417A3"/>
    <w:rsid w:val="1B59234B"/>
    <w:rsid w:val="1B7D415C"/>
    <w:rsid w:val="1BF12377"/>
    <w:rsid w:val="1CF57803"/>
    <w:rsid w:val="1D271D7A"/>
    <w:rsid w:val="1D281EAC"/>
    <w:rsid w:val="1D37585D"/>
    <w:rsid w:val="1DCA2FAB"/>
    <w:rsid w:val="1DF069A8"/>
    <w:rsid w:val="1EE44AF0"/>
    <w:rsid w:val="1F3E7A96"/>
    <w:rsid w:val="20041B75"/>
    <w:rsid w:val="20252704"/>
    <w:rsid w:val="20E51F26"/>
    <w:rsid w:val="2103535F"/>
    <w:rsid w:val="21A9142B"/>
    <w:rsid w:val="21E6176B"/>
    <w:rsid w:val="231A50A3"/>
    <w:rsid w:val="23C0562A"/>
    <w:rsid w:val="243A4E0B"/>
    <w:rsid w:val="24AC6718"/>
    <w:rsid w:val="25DB28FA"/>
    <w:rsid w:val="266876DA"/>
    <w:rsid w:val="290A5904"/>
    <w:rsid w:val="29355D18"/>
    <w:rsid w:val="2A1B05EA"/>
    <w:rsid w:val="2B8A4E7D"/>
    <w:rsid w:val="2BDC1404"/>
    <w:rsid w:val="2BE713BB"/>
    <w:rsid w:val="2C8A4A20"/>
    <w:rsid w:val="2D6708C5"/>
    <w:rsid w:val="2D856BEC"/>
    <w:rsid w:val="2DAD387D"/>
    <w:rsid w:val="2DE44242"/>
    <w:rsid w:val="2F3E7A4E"/>
    <w:rsid w:val="30656B3C"/>
    <w:rsid w:val="310247BE"/>
    <w:rsid w:val="310835FF"/>
    <w:rsid w:val="31A1082A"/>
    <w:rsid w:val="32CA1293"/>
    <w:rsid w:val="33281481"/>
    <w:rsid w:val="33595EFA"/>
    <w:rsid w:val="3363215A"/>
    <w:rsid w:val="34935BC5"/>
    <w:rsid w:val="3619453F"/>
    <w:rsid w:val="39C678D5"/>
    <w:rsid w:val="3A1351F8"/>
    <w:rsid w:val="3CA96714"/>
    <w:rsid w:val="3D485319"/>
    <w:rsid w:val="3D4D7047"/>
    <w:rsid w:val="3EA04765"/>
    <w:rsid w:val="3F5274EE"/>
    <w:rsid w:val="400E49F6"/>
    <w:rsid w:val="40387CC5"/>
    <w:rsid w:val="40DE5DF9"/>
    <w:rsid w:val="42E10978"/>
    <w:rsid w:val="43B26B9C"/>
    <w:rsid w:val="443C6B00"/>
    <w:rsid w:val="44A61752"/>
    <w:rsid w:val="44BC03D1"/>
    <w:rsid w:val="44F05DF6"/>
    <w:rsid w:val="44F720B3"/>
    <w:rsid w:val="4623525F"/>
    <w:rsid w:val="46300235"/>
    <w:rsid w:val="46B40180"/>
    <w:rsid w:val="478D1C10"/>
    <w:rsid w:val="47BD1E82"/>
    <w:rsid w:val="487A37DC"/>
    <w:rsid w:val="49263474"/>
    <w:rsid w:val="499A7B7E"/>
    <w:rsid w:val="4A0E7992"/>
    <w:rsid w:val="4AC544BB"/>
    <w:rsid w:val="4BCB5F67"/>
    <w:rsid w:val="4C14267B"/>
    <w:rsid w:val="4CB41768"/>
    <w:rsid w:val="4D341C91"/>
    <w:rsid w:val="4F1D0E77"/>
    <w:rsid w:val="4F252466"/>
    <w:rsid w:val="50804CA1"/>
    <w:rsid w:val="50D4623C"/>
    <w:rsid w:val="51CD567E"/>
    <w:rsid w:val="51DD2A0A"/>
    <w:rsid w:val="51FA302C"/>
    <w:rsid w:val="521E7BC5"/>
    <w:rsid w:val="523C0389"/>
    <w:rsid w:val="52C92E63"/>
    <w:rsid w:val="536313E2"/>
    <w:rsid w:val="54B8530B"/>
    <w:rsid w:val="564A639B"/>
    <w:rsid w:val="565B7F3A"/>
    <w:rsid w:val="57146818"/>
    <w:rsid w:val="572465F5"/>
    <w:rsid w:val="574959B6"/>
    <w:rsid w:val="57592C33"/>
    <w:rsid w:val="57CB3FEF"/>
    <w:rsid w:val="58A91308"/>
    <w:rsid w:val="59B51A6B"/>
    <w:rsid w:val="59D30900"/>
    <w:rsid w:val="5A2537F3"/>
    <w:rsid w:val="5A316BBC"/>
    <w:rsid w:val="5B310B71"/>
    <w:rsid w:val="5B49484F"/>
    <w:rsid w:val="5C89392A"/>
    <w:rsid w:val="5CAA6A49"/>
    <w:rsid w:val="5DFF1BDB"/>
    <w:rsid w:val="5E572837"/>
    <w:rsid w:val="5EB236E5"/>
    <w:rsid w:val="5EF27BD4"/>
    <w:rsid w:val="607C09C6"/>
    <w:rsid w:val="63FA5093"/>
    <w:rsid w:val="65B7249A"/>
    <w:rsid w:val="65C47781"/>
    <w:rsid w:val="66772F7A"/>
    <w:rsid w:val="66ED547A"/>
    <w:rsid w:val="67732727"/>
    <w:rsid w:val="68364FD5"/>
    <w:rsid w:val="693D1977"/>
    <w:rsid w:val="694E21FD"/>
    <w:rsid w:val="69F56662"/>
    <w:rsid w:val="6A6065EE"/>
    <w:rsid w:val="6AC03372"/>
    <w:rsid w:val="6B947D69"/>
    <w:rsid w:val="6BBD0307"/>
    <w:rsid w:val="6D2B042A"/>
    <w:rsid w:val="6E401E74"/>
    <w:rsid w:val="6E426C72"/>
    <w:rsid w:val="701E1630"/>
    <w:rsid w:val="713B6CCF"/>
    <w:rsid w:val="71CD4FC5"/>
    <w:rsid w:val="72902B04"/>
    <w:rsid w:val="730D7F28"/>
    <w:rsid w:val="731C016A"/>
    <w:rsid w:val="733F4FD0"/>
    <w:rsid w:val="7542549A"/>
    <w:rsid w:val="7709372E"/>
    <w:rsid w:val="7A39200E"/>
    <w:rsid w:val="7D8B028D"/>
    <w:rsid w:val="7E3E551B"/>
    <w:rsid w:val="7F0250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Emphasis"/>
    <w:basedOn w:val="28"/>
    <w:uiPriority w:val="0"/>
    <w:rPr>
      <w:i/>
    </w:rPr>
  </w:style>
  <w:style w:type="character" w:styleId="33">
    <w:name w:val="Hyperlink"/>
    <w:basedOn w:val="28"/>
    <w:qFormat/>
    <w:uiPriority w:val="0"/>
    <w:rPr>
      <w:color w:val="0000FF"/>
      <w:u w:val="single"/>
    </w:rPr>
  </w:style>
  <w:style w:type="paragraph" w:customStyle="1" w:styleId="34">
    <w:name w:val="正文居中"/>
    <w:basedOn w:val="1"/>
    <w:qFormat/>
    <w:uiPriority w:val="0"/>
    <w:pPr>
      <w:keepNext/>
      <w:jc w:val="center"/>
    </w:pPr>
    <w:rPr>
      <w:rFonts w:ascii="宋体"/>
    </w:rPr>
  </w:style>
  <w:style w:type="paragraph" w:customStyle="1" w:styleId="35">
    <w:name w:val="附录1"/>
    <w:basedOn w:val="1"/>
    <w:next w:val="36"/>
    <w:qFormat/>
    <w:uiPriority w:val="0"/>
    <w:pPr>
      <w:keepNext/>
      <w:keepLines/>
      <w:numPr>
        <w:ilvl w:val="0"/>
        <w:numId w:val="2"/>
      </w:numPr>
      <w:spacing w:before="50" w:beforeLines="50" w:after="50" w:afterLines="50" w:line="240" w:lineRule="auto"/>
      <w:outlineLvl w:val="0"/>
    </w:pPr>
    <w:rPr>
      <w:b/>
      <w:sz w:val="28"/>
    </w:rPr>
  </w:style>
  <w:style w:type="paragraph" w:customStyle="1" w:styleId="36">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7">
    <w:name w:val="附录3"/>
    <w:basedOn w:val="1"/>
    <w:next w:val="1"/>
    <w:qFormat/>
    <w:uiPriority w:val="0"/>
    <w:pPr>
      <w:numPr>
        <w:ilvl w:val="2"/>
        <w:numId w:val="2"/>
      </w:numPr>
      <w:spacing w:before="156" w:after="156"/>
      <w:ind w:hangingChars="200"/>
      <w:outlineLvl w:val="2"/>
    </w:pPr>
  </w:style>
  <w:style w:type="paragraph" w:customStyle="1" w:styleId="38">
    <w:name w:val="前言标题1"/>
    <w:basedOn w:val="1"/>
    <w:next w:val="1"/>
    <w:qFormat/>
    <w:uiPriority w:val="0"/>
    <w:pPr>
      <w:keepNext/>
      <w:keepLines/>
      <w:spacing w:before="50" w:beforeLines="50" w:after="50" w:afterLines="50"/>
    </w:pPr>
    <w:rPr>
      <w:b/>
      <w:sz w:val="28"/>
    </w:rPr>
  </w:style>
  <w:style w:type="paragraph" w:customStyle="1" w:styleId="39">
    <w:name w:val="缩写词"/>
    <w:basedOn w:val="1"/>
    <w:qFormat/>
    <w:uiPriority w:val="0"/>
    <w:pPr>
      <w:tabs>
        <w:tab w:val="left" w:pos="1620"/>
      </w:tabs>
    </w:pPr>
  </w:style>
  <w:style w:type="paragraph" w:customStyle="1" w:styleId="40">
    <w:name w:val="参考文献"/>
    <w:basedOn w:val="1"/>
    <w:qFormat/>
    <w:uiPriority w:val="0"/>
    <w:pPr>
      <w:numPr>
        <w:ilvl w:val="0"/>
        <w:numId w:val="3"/>
      </w:numPr>
    </w:pPr>
  </w:style>
  <w:style w:type="paragraph" w:customStyle="1" w:styleId="41">
    <w:name w:val="正文首行缩进2字"/>
    <w:basedOn w:val="1"/>
    <w:qFormat/>
    <w:uiPriority w:val="0"/>
    <w:pPr>
      <w:adjustRightInd w:val="0"/>
      <w:spacing w:line="312" w:lineRule="auto"/>
      <w:ind w:firstLine="200" w:firstLineChars="200"/>
    </w:pPr>
  </w:style>
  <w:style w:type="paragraph" w:customStyle="1" w:styleId="42">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7</Pages>
  <Words>912</Words>
  <Characters>5202</Characters>
  <Lines>43</Lines>
  <Paragraphs>12</Paragraphs>
  <TotalTime>196</TotalTime>
  <ScaleCrop>false</ScaleCrop>
  <LinksUpToDate>false</LinksUpToDate>
  <CharactersWithSpaces>6102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2025-01-10T06:51:46Z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AD1F4B9F7BF6414C85109645EA7F125E</vt:lpwstr>
  </property>
</Properties>
</file>