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基于 OFDM 信道响应的电力线载波拓扑识别：核心理论推导与仿真基线</w:t>
      </w:r>
    </w:p>
    <w:p>
      <w:pPr>
        <w:pStyle w:val="Quote"/>
      </w:pPr>
      <w:r>
        <w:rPr>
          <w:i/>
        </w:rPr>
        <w:t xml:space="preserve">文档性质：导师汇报用理论报告（Markdown 主稿）。</w:t>
      </w:r>
    </w:p>
    <w:p>
      <w:pPr>
        <w:pStyle w:val="Quote"/>
      </w:pPr>
      <w:r>
        <w:rPr>
          <w:i/>
        </w:rPr>
        <w:t xml:space="preserve"/>
      </w:r>
    </w:p>
    <w:p>
      <w:pPr>
        <w:pStyle w:val="Quote"/>
      </w:pPr>
      <w:r>
        <w:rPr>
          <w:i/>
        </w:rPr>
        <w:t xml:space="preserve">研究边界：本文给出基于分布参数传输线与 OFDM 等效信道测量的拓扑感知理论和当前仿真基线；不宣称已完成真实商用 PLC 收发机、现场配电网唯一拓扑重建、FDR/TFDR 仪器实现或接地故障定位。</w:t>
      </w:r>
    </w:p>
    <w:p>
      <w:pPr>
        <w:pStyle w:val="Quote"/>
      </w:pPr>
      <w:r>
        <w:rPr>
          <w:i/>
        </w:rPr>
        <w:t xml:space="preserve"/>
      </w:r>
    </w:p>
    <w:p>
      <w:pPr>
        <w:pStyle w:val="Quote"/>
      </w:pPr>
      <w:r>
        <w:rPr>
          <w:i/>
        </w:rPr>
        <w:t xml:space="preserve">编写依据：本地原始论文 PDF、项目代码、阶段 1.5—3A.2 报告和历史结果。每个结论以“[论文证据]”“[代码核对]”“[历史结果]”“[模型推断]”或“[待确认]”标示，避免混淆。</w:t>
      </w:r>
    </w:p>
    <w:p>
      <w:pPr>
        <w:pStyle w:val="Quote"/>
      </w:pPr>
      <w:r>
        <w:rPr>
          <w:i/>
        </w:rPr>
        <w:t xml:space="preserve"/>
      </w:r>
    </w:p>
    <w:p>
      <w:pPr>
        <w:pStyle w:val="Quote"/>
      </w:pPr>
      <w:r>
        <w:rPr>
          <w:i/>
        </w:rPr>
        <w:t xml:space="preserve">版本审计：外层工作集 Git 提交 a9dd423；MATLAB 主项目 matlab_plc_cfr_publish 的独立 Git 提交 f663bda。本文件为本次新撰写文档，未重新执行 MATLAB 数值实验。</w:t>
      </w:r>
    </w:p>
    <w:p>
      <w:pPr>
        <w:pStyle w:val="Heading1"/>
      </w:pPr>
      <w:r>
        <w:t xml:space="preserve">摘要</w:t>
      </w:r>
    </w:p>
    <w:p>
      <w:pPr>
        <w:pStyle w:val="BodyText"/>
      </w:pPr>
      <w:r>
        <w:t xml:space="preserve">低压配电网中的电力线同时承担能量传输和信息传输功能。线路长度、支路、终端负载、端接阻抗及电缆参数会共同塑造电力线通信（power line communication, PLC）的频率选择性信道。因此，通信型正交频分复用（orthogonal frequency division multiplexing, OFDM）所产生的信道频率响应（channel frequency response, CFR）在原则上包含与网络结构相关的信息；但“CFR 随拓扑变化”并不等价于“仅凭一次端到端 CFR 可以唯一确定任意树状拓扑”。</w:t>
      </w:r>
    </w:p>
    <w:p>
      <w:pPr>
        <w:pStyle w:val="BodyText"/>
      </w:pPr>
      <w:r>
        <w:t xml:space="preserve">本文围绕“OFDM 探测信号—RLGC 分布参数网络—接收 CFR 估计—CFR/CIR/时延代理特征—候选拓扑匹配—可辨识性审计”的链条，建立统一模型 $H_{rt}(f;G,\theta,O)$。其中，$G$ 为候选拓扑，$\theta$ 汇集线路、负载、端接和测量参数，$O$ 为观测协议。首先由电报方程推导频率相关的传播常数与复特性阻抗；随后在项目固定端口约定下给出均匀传输线 ABCD 矩阵、支路输入阻抗、并联导纳、级联传递函数和数值稳定回推。进一步给出完整节点导纳网络、OFDM 导频最小二乘（LS）估计、循环带限 CIR 与循环时延代理的定义。最后，建立幅值、相位、复数 CFR、CIR 和联合特征的距离函数，并从映射是否为单射的角度分析拓扑可辨识性。</w:t>
      </w:r>
    </w:p>
    <w:p>
      <w:pPr>
        <w:pStyle w:val="BodyText"/>
      </w:pPr>
      <w:r>
        <w:t xml:space="preserve">项目历史仿真表明：在同一采样 CFR 模型内，频域乘法与显式循环卷积数值一致；在对称单端 SISO 条件下，镜像候选 T3/T5 构成明确的观测等价类，低 CFR NMSE 不能保证唯一拓扑识别；完整网络内增加接收视角可提高当前模型的可分性，但内部接收机的并联负载也会改变网络工作点。由此，本文的阶段性结论是：现有通信型 OFDM 可作为拓扑感知的 CFR 测量入口，但必须连同端口、端接、负载、同步和观测方式共同建模，并优先输出拓扑等价类。真实 PHY、耦合器、现场噪声和多导体测量冻结之前，不宜将问题直接归因于导频或波形资源不足。</w:t>
      </w:r>
    </w:p>
    <w:p>
      <w:pPr>
        <w:pStyle w:val="BodyText"/>
      </w:pPr>
      <w:r>
        <w:t xml:space="preserve">关键词：电力线通信；OFDM；RLGC；ABCD 矩阵；信道频率响应；拓扑识别；可辨识性；观测等价类</w:t>
      </w:r>
    </w:p>
    <w:p>
      <w:r>
        <w:br w:type="page"/>
      </w:r>
    </w:p>
    <w:p>
      <w:pPr>
        <w:pStyle w:val="Heading1"/>
      </w:pPr>
      <w:r>
        <w:t xml:space="preserve">1. 研究背景、问题与总体链条</w:t>
      </w:r>
    </w:p>
    <w:p>
      <w:pPr>
        <w:pStyle w:val="Heading2"/>
      </w:pPr>
      <w:r>
        <w:t xml:space="preserve">1.1 研究背景</w:t>
      </w:r>
    </w:p>
    <w:p>
      <w:pPr>
        <w:pStyle w:val="BodyText"/>
      </w:pPr>
      <w:r>
        <w:t xml:space="preserve">配电网的线路、支路和用户侧负载通常不是为高速通信和在线感知而设计的。其阻抗不连续、分支反射和频率相关损耗会使端到端传递函数出现衰减、峰谷和相位变化。[论文证据] 卢文冰等在 $2$–$30\,\mathrm{MHz}$ 的传输线仿真中比较线路长度、分支长度、分支数与负载，指出这些因素会改变频响峰值/陷波及逆变换后的响应；谢志远等则从输入阻抗相关电流常数出发分析负载阻抗与幅频响应的关系。[P02, P03]</w:t>
      </w:r>
    </w:p>
    <w:p>
      <w:pPr>
        <w:pStyle w:val="BodyText"/>
      </w:pPr>
      <w:r>
        <w:t xml:space="preserve">PLC 设备原本以可靠通信为目标。OFDM 把可用频带离散为子载波，导频或前导可用于估计每个频率点的传递函数。[论文证据] Cortes 等研究室内宽带 PLC 的帧初始信道估计，讨论了前导、头部、LMMSE 与低复杂度估计器，并在 171 个实测室内信道上评价估计性能。[P05] 然而，通信接收机的“能估准 CFR”并没有给出由 CFR 到未知树拓扑的唯一反演定理。</w:t>
      </w:r>
    </w:p>
    <w:p>
      <w:pPr>
        <w:pStyle w:val="BodyText"/>
      </w:pPr>
      <w:r>
        <w:t xml:space="preserve">因此，本项目的研究问题不是简单分类一条曲线，而是：在给定网络参数不确定性和观测协议 $O$ 的条件下，通信型 OFDM 测得的响应究竟能把候选拓扑区分到何种粒度？如果不能唯一识别，限制来自物理观测等价、参数失配、信道估计误差，还是频率资源本身？</w:t>
      </w:r>
    </w:p>
    <w:p>
      <w:pPr>
        <w:pStyle w:val="Heading2"/>
      </w:pPr>
      <w:r>
        <w:t xml:space="preserve">1.2 总体信号与反演流程</w:t>
      </w:r>
    </w:p>
    <w:p>
      <w:pPr>
        <w:pStyle w:val="BodyText"/>
      </w:pPr>
      <w:r>
        <w:t xml:space="preserve">本文采用以下闭环：</w:t>
      </w:r>
    </w:p>
    <w:p>
      <w:pPr>
        <w:pStyle w:val="Code"/>
      </w:pPr>
      <w:r>
        <w:rPr>
          <w:rFonts w:ascii="Consolas" w:hAnsi="Consolas" w:eastAsia="Consolas"/>
        </w:rPr>
        <w:t xml:space="preserve">已知 OFDM 导频/前导 X[k]
       ↓
完整 PLC 网络 Hrt(fk; G, θ, O)
       ↓
Yrt[k] = Xt[k] Hrt(fk; G, θ, O) + Nrt[k]
       ↓
LS / 插值获得 Ĥrt[k]
       ↓
CFR 幅相、循环带限 CIR、循环时延代理、可选阻抗/导纳特征
       ↓
候选拓扑匹配与有界参数搜索
       ↓
拓扑编号或更审慎的拓扑观测等价类</w:t>
      </w:r>
    </w:p>
    <w:p>
      <w:pPr>
        <w:pStyle w:val="BodyText"/>
      </w:pPr>
      <w:r>
        <w:t xml:space="preserve">其中，传输线与网络方程决定 物理响应；OFDM 链路决定 如何采样和估计该响应；匹配器决定 如何在有限候选集合中做决策。三层不能互相替代。</w:t>
      </w:r>
    </w:p>
    <w:p>
      <w:pPr>
        <w:pStyle w:val="Heading2"/>
      </w:pPr>
      <w:r>
        <w:t xml:space="preserve">1.3 本文范围与不在范围内的内容</w:t>
      </w:r>
    </w:p>
    <w:p>
      <w:pPr>
        <w:pStyle w:val="BodyText"/>
      </w:pPr>
      <w:r>
        <w:t xml:space="preserve">本文当前针对“拓扑变化下的 PLC/OFDM 理论与仿真模型”。接地故障、老化和负载变化可以在数学上表现为 $\theta$ 中的阻抗或 RLGC 改变，但尚未作为实际故障定位系统完成验证。普通端到端 OFDM CFR、输入阻抗 $Z_{\mathrm{PL}}$、反射系数 $\rho$、FDR trace 和节点导纳 $Y$ 也是不同的观测量，不能因为都受网络影响而互相替代。</w:t>
      </w:r>
    </w:p>
    <w:p>
      <w:r>
        <w:br w:type="page"/>
      </w:r>
    </w:p>
    <w:p>
      <w:pPr>
        <w:pStyle w:val="Heading1"/>
      </w:pPr>
      <w:r>
        <w:t xml:space="preserve">2. 前人工作及本文定位</w:t>
      </w:r>
    </w:p>
    <w:p>
      <w:pPr>
        <w:pStyle w:val="Heading2"/>
      </w:pPr>
      <w:r>
        <w:t xml:space="preserve">2.1 PLC 信道、OFDM 与估计</w:t>
      </w:r>
    </w:p>
    <w:p>
      <w:pPr>
        <w:pStyle w:val="BodyText"/>
      </w:pPr>
      <w:r>
        <w:t xml:space="preserve">宽带 PLC 中的 OFDM 帧可包含前导、头部和有效载荷，且不同标准及符号类型的子载波间隔、有效载波和估计机制并不相同。[论文证据] P05 指出，G.hn、IEEE P1901 与 HomePlug AV2 均使用 OFDM，但其帧/前导设计并不互通；其估计问题针对通信解码，且 PLC 信道由具体物理网络决定，不应直接套用无线衰落的遍历统计假设。[P05]</w:t>
      </w:r>
    </w:p>
    <w:p>
      <w:pPr>
        <w:pStyle w:val="BodyText"/>
      </w:pPr>
      <w:r>
        <w:t xml:space="preserve">脉冲噪声、多径、阻抗失配及频率选择性会共同影响通信链路。[论文证据] Ma 等将背景噪声与脉冲噪声区分，分析多径和保护间隔对 OFDM BER 的影响。[P04] 该结论支持在感知实验中分别考察白噪声、有色噪声与脉冲噪声；但 BER 最优的 CP 或保护间隔不必然等于拓扑感知最优设置。</w:t>
      </w:r>
    </w:p>
    <w:p>
      <w:pPr>
        <w:pStyle w:val="Heading2"/>
      </w:pPr>
      <w:r>
        <w:t xml:space="preserve">2.2 传输线、路径与拓扑变化感知</w:t>
      </w:r>
    </w:p>
    <w:p>
      <w:pPr>
        <w:pStyle w:val="BodyText"/>
      </w:pPr>
      <w:r>
        <w:t xml:space="preserve">路径识别工作将频率域传递函数视为若干传播路径的叠加。[论文证据] Pagani 等以频域最大似然（FDML）和 Matrix Pencil 提取路径幅度和时延，并用实验网络测量验证了重构传递函数与检测路径的吻合。[P06] 该类方法可为后续“路径特征”提供候选模块；但识别若干路径并不自动等于唯一重建任意树状网络。</w:t>
      </w:r>
    </w:p>
    <w:p>
      <w:pPr>
        <w:pStyle w:val="BodyText"/>
      </w:pPr>
      <w:r>
        <w:t xml:space="preserve">[论文证据] Hernandez Fernandez 等提出基于 CIR 路径时延和分布式本地通信的拓扑变化检测，所给高检测率属于其仿真噪声与网络规模条件下的变化检测结果，而不是对任意未知树的现场唯一反演。[P07] 对本项目而言，它说明已有 PLC 设备的 CFR/CIR 可成为变化检测信号，但不能消除负载变化产生的假警报风险。</w:t>
      </w:r>
    </w:p>
    <w:p>
      <w:pPr>
        <w:pStyle w:val="Heading2"/>
      </w:pPr>
      <w:r>
        <w:t xml:space="preserve">2.3 反射、输入阻抗与节点导纳方法</w:t>
      </w:r>
    </w:p>
    <w:p>
      <w:pPr>
        <w:pStyle w:val="BodyText"/>
      </w:pPr>
      <w:r>
        <w:t xml:space="preserve">同端反射/阻抗方法和端到端 CFR 方法的边界必须明确。[论文证据] Passerini 与 Tonello 对单端输入阻抗、反射系数和 FDR trace 给出关系：其共同前提是同端发射—接收或电压/电流测量，并依赖耦合器、环行器或自干扰消除链路。[P08] 因而，普通 $H_{rt}$ 不能直接写成 $Z_{\mathrm{PL}}$、$\rho$ 或 FDR。</w:t>
      </w:r>
    </w:p>
    <w:p>
      <w:pPr>
        <w:pStyle w:val="BodyText"/>
      </w:pPr>
      <w:r>
        <w:t xml:space="preserve">[论文证据] Passerini 与 Tonello 的节点导纳/TLS 方法在网络各节点执行导纳测量，并基于 transmission-line carry-back 方程和多频/多次测量进行拓扑反演。[P09] 此类算法需要节点电压电流或导纳信息，不能被当前单端端到端 CFR 匹配器冒充。Lehmann 等则表明 PLC 设备的 OFDM 信道估计可用于点到点线路退化诊断，但其 proof-of-concept 是点到点配置且明确受带宽、端接和测量重复的约束。[P10]</w:t>
      </w:r>
    </w:p>
    <w:p>
      <w:pPr>
        <w:pStyle w:val="Heading2"/>
      </w:pPr>
      <w:r>
        <w:t xml:space="preserve">2.4 研究空白和项目定位</w:t>
      </w:r>
    </w:p>
    <w:p>
      <w:pPr>
        <w:pStyle w:val="BodyText"/>
      </w:pPr>
      <w:r>
        <w:t xml:space="preserve">现有工作分别强调通信估计、路径提取、变化检测、反射/阻抗或节点导纳。它们提示四项尚未自动解决的问题：</w:t>
      </w:r>
    </w:p>
    <w:p>
      <w:pPr>
        <w:pStyle w:val="ListNumber"/>
      </w:pPr>
      <w:r>
        <w:t xml:space="preserve">1. 通信型 OFDM 的导频和带宽是否在给定端口下保留足够的拓扑信息；</w:t>
      </w:r>
    </w:p>
    <w:p>
      <w:pPr>
        <w:pStyle w:val="ListNumber"/>
      </w:pPr>
      <w:r>
        <w:t xml:space="preserve">2. 单端 SISO 的端到端 CFR 是否存在严格结构等价；</w:t>
      </w:r>
    </w:p>
    <w:p>
      <w:pPr>
        <w:pStyle w:val="ListNumber"/>
      </w:pPr>
      <w:r>
        <w:t xml:space="preserve">3. 负载、长度、RLGC、端接和耦合误差能否伪装成拓扑变化；</w:t>
      </w:r>
    </w:p>
    <w:p>
      <w:pPr>
        <w:pStyle w:val="ListNumber"/>
      </w:pPr>
      <w:r>
        <w:t xml:space="preserve">4. 多接收节点新增的信息与其并联负载造成的网络工作点变化如何区分。</w:t>
      </w:r>
    </w:p>
    <w:p>
      <w:pPr>
        <w:pStyle w:val="BodyText"/>
      </w:pPr>
      <w:r>
        <w:t xml:space="preserve">当前项目的定位是一个可复现的理论与仿真基线：复用稳定的 PLC 正向模型，定义 OFDM 等效观测与候选匹配，审计 SISO 等价类和多视图观测；它不是对任何真实 PLC 标准、现场网络或接地故障的完整复现。</w:t>
      </w:r>
    </w:p>
    <w:p>
      <w:r>
        <w:br w:type="page"/>
      </w:r>
    </w:p>
    <w:p>
      <w:pPr>
        <w:pStyle w:val="Heading1"/>
      </w:pPr>
      <w:r>
        <w:t xml:space="preserve">3. 问题定义、符号与观测协议</w:t>
      </w:r>
    </w:p>
    <w:p>
      <w:pPr>
        <w:pStyle w:val="Heading2"/>
      </w:pPr>
      <w:r>
        <w:t xml:space="preserve">3.1 拓扑—参数—观测三元组</w:t>
      </w:r>
    </w:p>
    <w:p>
      <w:pPr>
        <w:pStyle w:val="BodyText"/>
      </w:pPr>
      <w:r>
        <w:t xml:space="preserve">令候选树网络为 $G=(\mathcal N,\mathcal E)$，其中节点集 $\mathcal N$ 表示主线节点、支路节点和端点，边集 $\mathcal E$ 表示分布参数电缆。统一参数向量写为</w:t>
      </w:r>
    </w:p>
    <w:p>
      <w:pPr>
        <w:pStyle w:val="Equation"/>
      </w:pPr>
      <w:r>
        <w:rPr>
          <w:rFonts w:ascii="Consolas" w:hAnsi="Consolas" w:eastAsia="Consolas"/>
          <w:color w:val="1F4E79"/>
        </w:rPr>
        <w:t xml:space="preserve">\theta=\{d_e,R'_e(f),L'_e(f),G'_e(f),C'_e(f),Z_{L,e}(f),Z_s,Z_r,\eta_{\mathrm{cpl}}\}_{e\in\mathcal E},</w:t>
      </w:r>
    </w:p>
    <w:p>
      <w:pPr>
        <w:pStyle w:val="BodyText"/>
      </w:pPr>
      <w:r>
        <w:t xml:space="preserve">其中 $d_e$ 为长度，$Z_{L,e}$ 为负载，$Z_s,Z_r$ 为源/接收端阻抗，$\eta_{\mathrm{cpl}}$ 表示耦合器增益、相位或参考面等误差参数。所有频率使用 Hz，长度使用 m，单位长度 RLGC 分别使用 $\Omega/\mathrm m$、$\mathrm H/\mathrm m$、$\mathrm S/\mathrm m$、$\mathrm F/\mathrm m$。</w:t>
      </w:r>
    </w:p>
    <w:p>
      <w:pPr>
        <w:pStyle w:val="BodyText"/>
      </w:pPr>
      <w:r>
        <w:t xml:space="preserve">端到端物理信道写为</w:t>
      </w:r>
    </w:p>
    <w:p>
      <w:pPr>
        <w:pStyle w:val="Equation"/>
      </w:pPr>
      <w:r>
        <w:rPr>
          <w:rFonts w:ascii="Consolas" w:hAnsi="Consolas" w:eastAsia="Consolas"/>
          <w:color w:val="1F4E79"/>
        </w:rPr>
        <w:t xml:space="preserve">H_{rt}(f;G,\theta),</w:t>
      </w:r>
    </w:p>
    <w:p>
      <w:pPr>
        <w:pStyle w:val="BodyText"/>
      </w:pPr>
      <w:r>
        <w:t xml:space="preserve">但实际可测响应还受端口和测量方式影响。故使用</w:t>
      </w:r>
    </w:p>
    <w:p>
      <w:pPr>
        <w:pStyle w:val="Equation"/>
      </w:pPr>
      <w:r>
        <w:rPr>
          <w:rFonts w:ascii="Consolas" w:hAnsi="Consolas" w:eastAsia="Consolas"/>
          <w:color w:val="1F4E79"/>
        </w:rPr>
        <w:t xml:space="preserve">H_O(f;G,\theta)\equiv \mathcal M_O\{G,\theta\},</w:t>
      </w:r>
    </w:p>
    <w:p>
      <w:pPr>
        <w:pStyle w:val="BodyText"/>
      </w:pPr>
      <w:r>
        <w:t xml:space="preserve">其中 $O$ 可以是：单端 SISO、固定端点双向测量、内部节点双接收、多视图拼接、同端反射、输入阻抗或多节点导纳。$O$ 不应被理解为脱离物理端口边界的“免费额外信息”。</w:t>
      </w:r>
    </w:p>
    <w:p>
      <w:pPr>
        <w:pStyle w:val="Heading2"/>
      </w:pPr>
      <w:r>
        <w:t xml:space="preserve">3.2 主要符号</w:t>
      </w:r>
    </w:p>
    <w:tbl>
      <w:tblPr>
        <w:tblW w:w="0" w:type="auto"/>
        <w:tblBorders>
          <w:top w:val="single" w:sz="4" w:color="A6A6A6"/>
          <w:left w:val="single" w:sz="4" w:color="A6A6A6"/>
          <w:bottom w:val="single" w:sz="4" w:color="A6A6A6"/>
          <w:right w:val="single" w:sz="4" w:color="A6A6A6"/>
          <w:insideH w:val="single" w:sz="4" w:color="D9D9D9"/>
          <w:insideV w:val="single" w:sz="4" w:color="D9D9D9"/>
        </w:tblBorders>
      </w:tblPr>
      <w:tr>
        <w:tc>
          <w:tcPr>
            <w:tcW w:w="2400" w:type="dxa"/>
          </w:tcPr>
          <w:p>
            <w:pPr>
              <w:pStyle w:val="TableText"/>
            </w:pPr>
            <w:r>
              <w:t xml:space="preserve">符号</w:t>
            </w:r>
          </w:p>
        </w:tc>
        <w:tc>
          <w:tcPr>
            <w:tcW w:w="2400" w:type="dxa"/>
          </w:tcPr>
          <w:p>
            <w:pPr>
              <w:pStyle w:val="TableText"/>
            </w:pPr>
            <w:r>
              <w:t xml:space="preserve">中文/英文</w:t>
            </w:r>
          </w:p>
        </w:tc>
        <w:tc>
          <w:tcPr>
            <w:tcW w:w="2400" w:type="dxa"/>
          </w:tcPr>
          <w:p>
            <w:pPr>
              <w:pStyle w:val="TableText"/>
            </w:pPr>
            <w:r>
              <w:t xml:space="preserve">单位或说明</w:t>
            </w:r>
          </w:p>
        </w:tc>
      </w:tr>
      <w:tr>
        <w:tc>
          <w:tcPr>
            <w:tcW w:w="2400" w:type="dxa"/>
          </w:tcPr>
          <w:p>
            <w:pPr>
              <w:pStyle w:val="TableText"/>
            </w:pPr>
            <w:r>
              <w:t xml:space="preserve">$f,\omega=2\pi f$</w:t>
            </w:r>
          </w:p>
        </w:tc>
        <w:tc>
          <w:tcPr>
            <w:tcW w:w="2400" w:type="dxa"/>
          </w:tcPr>
          <w:p>
            <w:pPr>
              <w:pStyle w:val="TableText"/>
            </w:pPr>
            <w:r>
              <w:t xml:space="preserve">频率 / angular frequency</w:t>
            </w:r>
          </w:p>
        </w:tc>
        <w:tc>
          <w:tcPr>
            <w:tcW w:w="2400" w:type="dxa"/>
          </w:tcPr>
          <w:p>
            <w:pPr>
              <w:pStyle w:val="TableText"/>
            </w:pPr>
            <w:r>
              <w:t xml:space="preserve">Hz, rad/s</w:t>
            </w:r>
          </w:p>
        </w:tc>
      </w:tr>
      <w:tr>
        <w:tc>
          <w:tcPr>
            <w:tcW w:w="2400" w:type="dxa"/>
          </w:tcPr>
          <w:p>
            <w:pPr>
              <w:pStyle w:val="TableText"/>
            </w:pPr>
            <w:r>
              <w:t xml:space="preserve">$R',L',G',C'$</w:t>
            </w:r>
          </w:p>
        </w:tc>
        <w:tc>
          <w:tcPr>
            <w:tcW w:w="2400" w:type="dxa"/>
          </w:tcPr>
          <w:p>
            <w:pPr>
              <w:pStyle w:val="TableText"/>
            </w:pPr>
            <w:r>
              <w:t xml:space="preserve">单位长度电阻、电感、电导、电容</w:t>
            </w:r>
          </w:p>
        </w:tc>
        <w:tc>
          <w:tcPr>
            <w:tcW w:w="2400" w:type="dxa"/>
          </w:tcPr>
          <w:p>
            <w:pPr>
              <w:pStyle w:val="TableText"/>
            </w:pPr>
            <w:r>
              <w:t xml:space="preserve">SI 单位/米</w:t>
            </w:r>
          </w:p>
        </w:tc>
      </w:tr>
      <w:tr>
        <w:tc>
          <w:tcPr>
            <w:tcW w:w="2400" w:type="dxa"/>
          </w:tcPr>
          <w:p>
            <w:pPr>
              <w:pStyle w:val="TableText"/>
            </w:pPr>
            <w:r>
              <w:t xml:space="preserve">$\gamma=\alpha+j\beta$</w:t>
            </w:r>
          </w:p>
        </w:tc>
        <w:tc>
          <w:tcPr>
            <w:tcW w:w="2400" w:type="dxa"/>
          </w:tcPr>
          <w:p>
            <w:pPr>
              <w:pStyle w:val="TableText"/>
            </w:pPr>
            <w:r>
              <w:t xml:space="preserve">传播常数 / propagation constant</w:t>
            </w:r>
          </w:p>
        </w:tc>
        <w:tc>
          <w:tcPr>
            <w:tcW w:w="2400" w:type="dxa"/>
          </w:tcPr>
          <w:p>
            <w:pPr>
              <w:pStyle w:val="TableText"/>
            </w:pPr>
            <w:r>
              <w:t xml:space="preserve">$\mathrm{m}^{-1}$</w:t>
            </w:r>
          </w:p>
        </w:tc>
      </w:tr>
      <w:tr>
        <w:tc>
          <w:tcPr>
            <w:tcW w:w="2400" w:type="dxa"/>
          </w:tcPr>
          <w:p>
            <w:pPr>
              <w:pStyle w:val="TableText"/>
            </w:pPr>
            <w:r>
              <w:t xml:space="preserve">$Z_c(f)$</w:t>
            </w:r>
          </w:p>
        </w:tc>
        <w:tc>
          <w:tcPr>
            <w:tcW w:w="2400" w:type="dxa"/>
          </w:tcPr>
          <w:p>
            <w:pPr>
              <w:pStyle w:val="TableText"/>
            </w:pPr>
            <w:r>
              <w:t xml:space="preserve">复特性阻抗 / characteristic impedance</w:t>
            </w:r>
          </w:p>
        </w:tc>
        <w:tc>
          <w:tcPr>
            <w:tcW w:w="2400" w:type="dxa"/>
          </w:tcPr>
          <w:p>
            <w:pPr>
              <w:pStyle w:val="TableText"/>
            </w:pPr>
            <w:r>
              <w:t xml:space="preserve">$\Omega$</w:t>
            </w:r>
          </w:p>
        </w:tc>
      </w:tr>
      <w:tr>
        <w:tc>
          <w:tcPr>
            <w:tcW w:w="2400" w:type="dxa"/>
          </w:tcPr>
          <w:p>
            <w:pPr>
              <w:pStyle w:val="TableText"/>
            </w:pPr>
            <w:r>
              <w:t xml:space="preserve">$T=[A\ B;C\ D]$</w:t>
            </w:r>
          </w:p>
        </w:tc>
        <w:tc>
          <w:tcPr>
            <w:tcW w:w="2400" w:type="dxa"/>
          </w:tcPr>
          <w:p>
            <w:pPr>
              <w:pStyle w:val="TableText"/>
            </w:pPr>
            <w:r>
              <w:t xml:space="preserve">二端口 ABCD 矩阵</w:t>
            </w:r>
          </w:p>
        </w:tc>
        <w:tc>
          <w:tcPr>
            <w:tcW w:w="2400" w:type="dxa"/>
          </w:tcPr>
          <w:p>
            <w:pPr>
              <w:pStyle w:val="TableText"/>
            </w:pPr>
            <w:r>
              <w:t xml:space="preserve">当前项目端口约定</w:t>
            </w:r>
          </w:p>
        </w:tc>
      </w:tr>
      <w:tr>
        <w:tc>
          <w:tcPr>
            <w:tcW w:w="2400" w:type="dxa"/>
          </w:tcPr>
          <w:p>
            <w:pPr>
              <w:pStyle w:val="TableText"/>
            </w:pPr>
            <w:r>
              <w:t xml:space="preserve">$Z_s,Z_r$</w:t>
            </w:r>
          </w:p>
        </w:tc>
        <w:tc>
          <w:tcPr>
            <w:tcW w:w="2400" w:type="dxa"/>
          </w:tcPr>
          <w:p>
            <w:pPr>
              <w:pStyle w:val="TableText"/>
            </w:pPr>
            <w:r>
              <w:t xml:space="preserve">Thevenin 源阻抗、接收端负载</w:t>
            </w:r>
          </w:p>
        </w:tc>
        <w:tc>
          <w:tcPr>
            <w:tcW w:w="2400" w:type="dxa"/>
          </w:tcPr>
          <w:p>
            <w:pPr>
              <w:pStyle w:val="TableText"/>
            </w:pPr>
            <w:r>
              <w:t xml:space="preserve">$\Omega$</w:t>
            </w:r>
          </w:p>
        </w:tc>
      </w:tr>
      <w:tr>
        <w:tc>
          <w:tcPr>
            <w:tcW w:w="2400" w:type="dxa"/>
          </w:tcPr>
          <w:p>
            <w:pPr>
              <w:pStyle w:val="TableText"/>
            </w:pPr>
            <w:r>
              <w:t xml:space="preserve">$H_V,H_{\mathrm{port}}$</w:t>
            </w:r>
          </w:p>
        </w:tc>
        <w:tc>
          <w:tcPr>
            <w:tcW w:w="2400" w:type="dxa"/>
          </w:tcPr>
          <w:p>
            <w:pPr>
              <w:pStyle w:val="TableText"/>
            </w:pPr>
            <w:r>
              <w:t xml:space="preserve">源电压传递、端口归一化响应</w:t>
            </w:r>
          </w:p>
        </w:tc>
        <w:tc>
          <w:tcPr>
            <w:tcW w:w="2400" w:type="dxa"/>
          </w:tcPr>
          <w:p>
            <w:pPr>
              <w:pStyle w:val="TableText"/>
            </w:pPr>
            <w:r>
              <w:t xml:space="preserve">无量纲</w:t>
            </w:r>
          </w:p>
        </w:tc>
      </w:tr>
      <w:tr>
        <w:tc>
          <w:tcPr>
            <w:tcW w:w="2400" w:type="dxa"/>
          </w:tcPr>
          <w:p>
            <w:pPr>
              <w:pStyle w:val="TableText"/>
            </w:pPr>
            <w:r>
              <w:t xml:space="preserve">$X[k],Y[k],N[k]$</w:t>
            </w:r>
          </w:p>
        </w:tc>
        <w:tc>
          <w:tcPr>
            <w:tcW w:w="2400" w:type="dxa"/>
          </w:tcPr>
          <w:p>
            <w:pPr>
              <w:pStyle w:val="TableText"/>
            </w:pPr>
            <w:r>
              <w:t xml:space="preserve">导频、接收频谱、等效噪声</w:t>
            </w:r>
          </w:p>
        </w:tc>
        <w:tc>
          <w:tcPr>
            <w:tcW w:w="2400" w:type="dxa"/>
          </w:tcPr>
          <w:p>
            <w:pPr>
              <w:pStyle w:val="TableText"/>
            </w:pPr>
            <w:r>
              <w:t xml:space="preserve">复基带量</w:t>
            </w:r>
          </w:p>
        </w:tc>
      </w:tr>
      <w:tr>
        <w:tc>
          <w:tcPr>
            <w:tcW w:w="2400" w:type="dxa"/>
          </w:tcPr>
          <w:p>
            <w:pPr>
              <w:pStyle w:val="TableText"/>
            </w:pPr>
            <w:r>
              <w:t xml:space="preserve">$\hat H[k]$</w:t>
            </w:r>
          </w:p>
        </w:tc>
        <w:tc>
          <w:tcPr>
            <w:tcW w:w="2400" w:type="dxa"/>
          </w:tcPr>
          <w:p>
            <w:pPr>
              <w:pStyle w:val="TableText"/>
            </w:pPr>
            <w:r>
              <w:t xml:space="preserve">LS 估计 CFR</w:t>
            </w:r>
          </w:p>
        </w:tc>
        <w:tc>
          <w:tcPr>
            <w:tcW w:w="2400" w:type="dxa"/>
          </w:tcPr>
          <w:p>
            <w:pPr>
              <w:pStyle w:val="TableText"/>
            </w:pPr>
            <w:r>
              <w:t xml:space="preserve">复数</w:t>
            </w:r>
          </w:p>
        </w:tc>
      </w:tr>
      <w:tr>
        <w:tc>
          <w:tcPr>
            <w:tcW w:w="2400" w:type="dxa"/>
          </w:tcPr>
          <w:p>
            <w:pPr>
              <w:pStyle w:val="TableText"/>
            </w:pPr>
            <w:r>
              <w:t xml:space="preserve">$h[n]$</w:t>
            </w:r>
          </w:p>
        </w:tc>
        <w:tc>
          <w:tcPr>
            <w:tcW w:w="2400" w:type="dxa"/>
          </w:tcPr>
          <w:p>
            <w:pPr>
              <w:pStyle w:val="TableText"/>
            </w:pPr>
            <w:r>
              <w:t xml:space="preserve">circular band-limited CIR</w:t>
            </w:r>
          </w:p>
        </w:tc>
        <w:tc>
          <w:tcPr>
            <w:tcW w:w="2400" w:type="dxa"/>
          </w:tcPr>
          <w:p>
            <w:pPr>
              <w:pStyle w:val="TableText"/>
            </w:pPr>
            <w:r>
              <w:t xml:space="preserve">采样域响应</w:t>
            </w:r>
          </w:p>
        </w:tc>
      </w:tr>
      <w:tr>
        <w:tc>
          <w:tcPr>
            <w:tcW w:w="2400" w:type="dxa"/>
          </w:tcPr>
          <w:p>
            <w:pPr>
              <w:pStyle w:val="TableText"/>
            </w:pPr>
            <w:r>
              <w:t xml:space="preserve">$\tau_{\mathrm{circ}}$</w:t>
            </w:r>
          </w:p>
        </w:tc>
        <w:tc>
          <w:tcPr>
            <w:tcW w:w="2400" w:type="dxa"/>
          </w:tcPr>
          <w:p>
            <w:pPr>
              <w:pStyle w:val="TableText"/>
            </w:pPr>
            <w:r>
              <w:t xml:space="preserve">circular-delay proxy</w:t>
            </w:r>
          </w:p>
        </w:tc>
        <w:tc>
          <w:tcPr>
            <w:tcW w:w="2400" w:type="dxa"/>
          </w:tcPr>
          <w:p>
            <w:pPr>
              <w:pStyle w:val="TableText"/>
            </w:pPr>
            <w:r>
              <w:t xml:space="preserve">不是真实 ToA</w:t>
            </w:r>
          </w:p>
        </w:tc>
      </w:tr>
      <w:tr>
        <w:tc>
          <w:tcPr>
            <w:tcW w:w="2400" w:type="dxa"/>
          </w:tcPr>
          <w:p>
            <w:pPr>
              <w:pStyle w:val="TableText"/>
            </w:pPr>
            <w:r>
              <w:t xml:space="preserve">$\mathcal C_O(G)$</w:t>
            </w:r>
          </w:p>
        </w:tc>
        <w:tc>
          <w:tcPr>
            <w:tcW w:w="2400" w:type="dxa"/>
          </w:tcPr>
          <w:p>
            <w:pPr>
              <w:pStyle w:val="TableText"/>
            </w:pPr>
            <w:r>
              <w:t xml:space="preserve">$O$ 下的拓扑等价类</w:t>
            </w:r>
          </w:p>
        </w:tc>
        <w:tc>
          <w:tcPr>
            <w:tcW w:w="2400" w:type="dxa"/>
          </w:tcPr>
          <w:p>
            <w:pPr>
              <w:pStyle w:val="TableText"/>
            </w:pPr>
            <w:r>
              <w:t xml:space="preserve">候选拓扑集合</w:t>
            </w:r>
          </w:p>
        </w:tc>
      </w:tr>
    </w:tbl>
    <w:p>
      <w:pPr>
        <w:pStyle w:val="Heading2"/>
      </w:pPr>
      <w:r>
        <w:t xml:space="preserve">3.3 可辨识目标</w:t>
      </w:r>
    </w:p>
    <w:p>
      <w:pPr>
        <w:pStyle w:val="BodyText"/>
      </w:pPr>
      <w:r>
        <w:t xml:space="preserve">理想情况下，给定 $\theta$ 和 $O$，可用最近邻写为</w:t>
      </w:r>
    </w:p>
    <w:p>
      <w:pPr>
        <w:pStyle w:val="Equation"/>
      </w:pPr>
      <w:r>
        <w:rPr>
          <w:rFonts w:ascii="Consolas" w:hAnsi="Consolas" w:eastAsia="Consolas"/>
          <w:color w:val="1F4E79"/>
        </w:rPr>
        <w:t xml:space="preserve">\hat G=\arg\min_{G_i\in\mathcal G}D\bigl(\hat H_O,H_O(G_i,\theta_0)\bigr).</w:t>
      </w:r>
    </w:p>
    <w:p>
      <w:pPr>
        <w:pStyle w:val="BodyText"/>
      </w:pPr>
      <w:r>
        <w:t xml:space="preserve">但在参数不确定时，合理的目标是</w:t>
      </w:r>
    </w:p>
    <w:p>
      <w:pPr>
        <w:pStyle w:val="Equation"/>
      </w:pPr>
      <w:r>
        <w:rPr>
          <w:rFonts w:ascii="Consolas" w:hAnsi="Consolas" w:eastAsia="Consolas"/>
          <w:color w:val="1F4E79"/>
        </w:rPr>
        <w:t xml:space="preserve">(\hat G,\hat\theta)=\arg\min_{G_i\in\mathcal G,\theta\in\Theta} \left[D\bigl(\hat H_O,H_O(G_i,\theta)\bigr)+\lambda R(\theta)\right],</w:t>
      </w:r>
    </w:p>
    <w:p>
      <w:pPr>
        <w:pStyle w:val="BodyText"/>
      </w:pPr>
      <w:r>
        <w:t xml:space="preserve">其中 $\Theta$ 是明确、有界的搜索范围，$R(\theta)$ 为偏离标称值的正则项。若多个候选在观测容差内等价，应报告 $\mathcal C_O(G)$，而非由最小数组下标或浮点微差强行输出唯一编号。</w:t>
      </w:r>
    </w:p>
    <w:p>
      <w:r>
        <w:br w:type="page"/>
      </w:r>
    </w:p>
    <w:p>
      <w:pPr>
        <w:pStyle w:val="Heading1"/>
      </w:pPr>
      <w:r>
        <w:t xml:space="preserve">4. RLGC 分布参数传输线模型</w:t>
      </w:r>
    </w:p>
    <w:p>
      <w:pPr>
        <w:pStyle w:val="Heading2"/>
      </w:pPr>
      <w:r>
        <w:t xml:space="preserve">4.1 电报方程</w:t>
      </w:r>
    </w:p>
    <w:p>
      <w:pPr>
        <w:pStyle w:val="BodyText"/>
      </w:pPr>
      <w:r>
        <w:t xml:space="preserve">对均匀双导体线路的微小段，在正弦稳态复相量下有</w:t>
      </w:r>
    </w:p>
    <w:p>
      <w:pPr>
        <w:pStyle w:val="Equation"/>
      </w:pPr>
      <w:r>
        <w:rPr>
          <w:rFonts w:ascii="Consolas" w:hAnsi="Consolas" w:eastAsia="Consolas"/>
          <w:color w:val="1F4E79"/>
        </w:rPr>
        <w:t xml:space="preserve">\frac{\mathrm dV(x)}{\mathrm dx}=-(R'+j\omega L')I(x),\qquad \frac{\mathrm dI(x)}{\mathrm dx}=-(G'+j\omega C')V(x).</w:t>
      </w:r>
    </w:p>
    <w:p>
      <w:pPr>
        <w:pStyle w:val="BodyText"/>
      </w:pPr>
      <w:r>
        <w:t xml:space="preserve">联立后得到二阶方程 $\mathrm d^2V/\mathrm dx^2=\gamma^2V$ 与 $\mathrm d^2I/\mathrm dx^2=\gamma^2I$，其中</w:t>
      </w:r>
    </w:p>
    <w:p>
      <w:pPr>
        <w:pStyle w:val="Equation"/>
      </w:pPr>
      <w:r>
        <w:rPr>
          <w:rFonts w:ascii="Consolas" w:hAnsi="Consolas" w:eastAsia="Consolas"/>
          <w:color w:val="1F4E79"/>
        </w:rPr>
        <w:t xml:space="preserve">\gamma(f)=\sqrt{(R'+j\omega L')(G'+j\omega C')}, \tag{1}</w:t>
      </w:r>
    </w:p>
    <w:p>
      <w:pPr>
        <w:pStyle w:val="Equation"/>
      </w:pPr>
      <w:r>
        <w:rPr>
          <w:rFonts w:ascii="Consolas" w:hAnsi="Consolas" w:eastAsia="Consolas"/>
          <w:color w:val="1F4E79"/>
        </w:rPr>
        <w:t xml:space="preserve">Z_c(f)=\sqrt{\frac{R'+j\omega L'}{G'+j\omega C'}}. \tag{2}</w:t>
      </w:r>
    </w:p>
    <w:p>
      <w:pPr>
        <w:pStyle w:val="BodyText"/>
      </w:pPr>
      <w:r>
        <w:t xml:space="preserve">[代码核对] cable_rlgc.m 按式 (1)–(2)计算 $\gamma$ 与 $Z_c$，并要求频率为有限、严格正的 Hz 值。当前经验模型对 $R'$ 和 $G'$ 含频率依赖，$k_G$ 是经验电导损耗修正因子而非长度。任何跨出已审计 $2$–$30\,\mathrm{MHz}$ 频带或原参数校准长度的使用均应标为参数外推。</w:t>
      </w:r>
    </w:p>
    <w:p>
      <w:pPr>
        <w:pStyle w:val="Heading2"/>
      </w:pPr>
      <w:r>
        <w:t xml:space="preserve">4.2 名义阻抗与复特性阻抗的区分</w:t>
      </w:r>
    </w:p>
    <w:p>
      <w:pPr>
        <w:pStyle w:val="BodyText"/>
      </w:pPr>
      <w:r>
        <w:t xml:space="preserve">项目配置中的 Z0_nominal_ohm 是名义参考字段；式 (2) 的 $Z_c(f)$ 是每个频率点实际参与计算的复数特性阻抗。二者不可混写。特别是在有损、频率选择性线路中，$Z_c(f)$ 同时具有实部和虚部，且随 $f$ 变化。</w:t>
      </w:r>
    </w:p>
    <w:p>
      <w:r>
        <w:br w:type="page"/>
      </w:r>
    </w:p>
    <w:p>
      <w:pPr>
        <w:pStyle w:val="Heading1"/>
      </w:pPr>
      <w:r>
        <w:t xml:space="preserve">5. ABCD 二端口、支路与网络级联</w:t>
      </w:r>
    </w:p>
    <w:p>
      <w:pPr>
        <w:pStyle w:val="Heading2"/>
      </w:pPr>
      <w:r>
        <w:t xml:space="preserve">5.1 当前项目端口约定</w:t>
      </w:r>
    </w:p>
    <w:p>
      <w:pPr>
        <w:pStyle w:val="BodyText"/>
      </w:pPr>
      <w:r>
        <w:t xml:space="preserve">项目固定使用</w:t>
      </w:r>
    </w:p>
    <w:p>
      <w:pPr>
        <w:pStyle w:val="Equation"/>
      </w:pPr>
      <w:r>
        <w:rPr>
          <w:rFonts w:ascii="Consolas" w:hAnsi="Consolas" w:eastAsia="Consolas"/>
          <w:color w:val="1F4E79"/>
        </w:rPr>
        <w:t xml:space="preserve">\begin{bmatrix}V_1\\I_1\end{bmatrix}= \begin{bmatrix}A&amp;B\\C&amp;D\end{bmatrix} \begin{bmatrix}V_2\\I_2\end{bmatrix}, \tag{3}</w:t>
      </w:r>
    </w:p>
    <w:p>
      <w:pPr>
        <w:pStyle w:val="BodyText"/>
      </w:pPr>
      <w:r>
        <w:t xml:space="preserve">其中端口 1 位于发送侧，端口 2 位于接收侧，电流按项目约定由发送侧指向接收侧。[代码核对] transmission_line_abcd.m 以此约定实现。其他教材常将端口 2 电流定义为“流入二端口”，若直接引用其 ABCD 公式而不变换符号，会导致支路并联与端接公式不一致。</w:t>
      </w:r>
    </w:p>
    <w:p>
      <w:pPr>
        <w:pStyle w:val="BodyText"/>
      </w:pPr>
      <w:r>
        <w:t xml:space="preserve">长度为 $d$ 的均匀线路满足</w:t>
      </w:r>
    </w:p>
    <w:p>
      <w:pPr>
        <w:pStyle w:val="Equation"/>
      </w:pPr>
      <w:r>
        <w:rPr>
          <w:rFonts w:ascii="Consolas" w:hAnsi="Consolas" w:eastAsia="Consolas"/>
          <w:color w:val="1F4E79"/>
        </w:rPr>
        <w:t xml:space="preserve">T_{\mathrm{line}}(d,f)= \begin{bmatrix} \cosh(\gamma d)&amp;Z_c\sinh(\gamma d)\\ Z_c^{-1}\sinh(\gamma d)&amp;\cosh(\gamma d) \end{bmatrix}. \tag{4}</w:t>
      </w:r>
    </w:p>
    <w:p>
      <w:pPr>
        <w:pStyle w:val="BodyText"/>
      </w:pPr>
      <w:r>
        <w:t xml:space="preserve">对当前端口约定下的互易二端口，理论上 $AD-BC=1$。这里的充分物理来源是互易性；无源性并不是该恒等式的必要条件。因此，长线路下 $|AD-BC-1|$ 很大首先是直接双曲函数/矩阵乘法的数值病态信号，不能直接解释为物理互易性被破坏。</w:t>
      </w:r>
    </w:p>
    <w:p>
      <w:pPr>
        <w:pStyle w:val="Heading2"/>
      </w:pPr>
      <w:r>
        <w:t xml:space="preserve">5.2 支路输入阻抗和并联导纳</w:t>
      </w:r>
    </w:p>
    <w:p>
      <w:pPr>
        <w:pStyle w:val="BodyText"/>
      </w:pPr>
      <w:r>
        <w:t xml:space="preserve">支路末端负载 $Z_L(f)$ 经长度 $d_b$ 的均匀线回推至连接节点，得到</w:t>
      </w:r>
    </w:p>
    <w:p>
      <w:pPr>
        <w:pStyle w:val="Equation"/>
      </w:pPr>
      <w:r>
        <w:rPr>
          <w:rFonts w:ascii="Consolas" w:hAnsi="Consolas" w:eastAsia="Consolas"/>
          <w:color w:val="1F4E79"/>
        </w:rPr>
        <w:t xml:space="preserve">Z_{\mathrm{in}}(f)=Z_c \frac{Z_L+Z_c\tanh(\gamma d_b)} {Z_c+Z_L\tanh(\gamma d_b)}. \tag{5}</w:t>
      </w:r>
    </w:p>
    <w:p>
      <w:pPr>
        <w:pStyle w:val="BodyText"/>
      </w:pPr>
      <w:r>
        <w:t xml:space="preserve">其极限形式为：</w:t>
      </w:r>
    </w:p>
    <w:p>
      <w:pPr>
        <w:pStyle w:val="Equation"/>
      </w:pPr>
      <w:r>
        <w:rPr>
          <w:rFonts w:ascii="Consolas" w:hAnsi="Consolas" w:eastAsia="Consolas"/>
          <w:color w:val="1F4E79"/>
        </w:rPr>
        <w:t xml:space="preserve">Z_L\to\infty:\quad Z_{\mathrm{in}}=Z_c\coth(\gamma d_b), \qquad Z_L=0:\quad Z_{\mathrm{in}}=Z_c\tanh(\gamma d_b). \tag{6}</w:t>
      </w:r>
    </w:p>
    <w:p>
      <w:pPr>
        <w:pStyle w:val="BodyText"/>
      </w:pPr>
      <w:r>
        <w:t xml:space="preserve">当 $d_b=0$ 时，应直接返回 $Z_L$，而不是在数值上绕行双曲函数。[代码核对] branch_input_impedance.m 对有限实/复标量、同频率长度复向量、开路、短路和零长度均有显式分支。</w:t>
      </w:r>
    </w:p>
    <w:p>
      <w:pPr>
        <w:pStyle w:val="BodyText"/>
      </w:pPr>
      <w:r>
        <w:t xml:space="preserve">在主线连接节点，已回推的支路等效为并联导纳</w:t>
      </w:r>
    </w:p>
    <w:p>
      <w:pPr>
        <w:pStyle w:val="Equation"/>
      </w:pPr>
      <w:r>
        <w:rPr>
          <w:rFonts w:ascii="Consolas" w:hAnsi="Consolas" w:eastAsia="Consolas"/>
          <w:color w:val="1F4E79"/>
        </w:rPr>
        <w:t xml:space="preserve">Y_{\mathrm{branch}}(f)=1/Z_{\mathrm{in}}(f),</w:t>
      </w:r>
    </w:p>
    <w:p>
      <w:pPr>
        <w:pStyle w:val="BodyText"/>
      </w:pPr>
      <w:r>
        <w:t xml:space="preserve">对应 ABCD 矩阵</w:t>
      </w:r>
    </w:p>
    <w:p>
      <w:pPr>
        <w:pStyle w:val="Equation"/>
      </w:pPr>
      <w:r>
        <w:rPr>
          <w:rFonts w:ascii="Consolas" w:hAnsi="Consolas" w:eastAsia="Consolas"/>
          <w:color w:val="1F4E79"/>
        </w:rPr>
        <w:t xml:space="preserve">T_{\mathrm{shunt}}= \begin{bmatrix}1&amp;0\\Y_{\mathrm{branch}}&amp;1\end{bmatrix}. \tag{7}</w:t>
      </w:r>
    </w:p>
    <w:p>
      <w:pPr>
        <w:pStyle w:val="BodyText"/>
      </w:pPr>
      <w:r>
        <w:t xml:space="preserve">多条支路先在导纳域求和，再作为同一节点的并联负载。支路本身仍是分布参数线路；只有完成式 (5) 回推后，才能以式 (7) 插入主线级联。shunt_abcd.m 明确拒绝零欧姆并联支路所产生的有限 ABCD 奇异情形。</w:t>
      </w:r>
    </w:p>
    <w:p>
      <w:pPr>
        <w:pStyle w:val="Heading2"/>
      </w:pPr>
      <w:r>
        <w:t xml:space="preserve">5.3 端接与电压传递函数</w:t>
      </w:r>
    </w:p>
    <w:p>
      <w:pPr>
        <w:pStyle w:val="BodyText"/>
      </w:pPr>
      <w:r>
        <w:t xml:space="preserve">设总 ABCD 矩阵为 $T$，Thevenin 开路源电压为 $V_s$，接收端电压为 $V_r$。对有限 $Z_r$，由式 (3) 及 $I_2=V_r/Z_r$ 得</w:t>
      </w:r>
    </w:p>
    <w:p>
      <w:pPr>
        <w:pStyle w:val="Equation"/>
      </w:pPr>
      <w:r>
        <w:rPr>
          <w:rFonts w:ascii="Consolas" w:hAnsi="Consolas" w:eastAsia="Consolas"/>
          <w:color w:val="1F4E79"/>
        </w:rPr>
        <w:t xml:space="preserve">H_V(f)\equiv\frac{V_r}{V_s} =\frac{Z_r}{AZ_r+B+Z_s(CZ_r+D)}. \tag{8}</w:t>
      </w:r>
    </w:p>
    <w:p>
      <w:pPr>
        <w:pStyle w:val="BodyText"/>
      </w:pPr>
      <w:r>
        <w:t xml:space="preserve">当 $Z_r\to\infty$，取极限可得</w:t>
      </w:r>
    </w:p>
    <w:p>
      <w:pPr>
        <w:pStyle w:val="Equation"/>
      </w:pPr>
      <w:r>
        <w:rPr>
          <w:rFonts w:ascii="Consolas" w:hAnsi="Consolas" w:eastAsia="Consolas"/>
          <w:color w:val="1F4E79"/>
        </w:rPr>
        <w:t xml:space="preserve">H_V(f)=\frac{1}{A+Z_sC}. \tag{9}</w:t>
      </w:r>
    </w:p>
    <w:p>
      <w:pPr>
        <w:pStyle w:val="BodyText"/>
      </w:pPr>
      <w:r>
        <w:t xml:space="preserve">若将响应归一化至参考端口阻抗 $Z_{\mathrm{ref}}$ 下的源端参考电压，则</w:t>
      </w:r>
    </w:p>
    <w:p>
      <w:pPr>
        <w:pStyle w:val="Equation"/>
      </w:pPr>
      <w:r>
        <w:rPr>
          <w:rFonts w:ascii="Consolas" w:hAnsi="Consolas" w:eastAsia="Consolas"/>
          <w:color w:val="1F4E79"/>
        </w:rPr>
        <w:t xml:space="preserve">H_{\mathrm{port}}(f)=\frac{Z_s+Z_{\mathrm{ref}}}{Z_{\mathrm{ref}}}H_V(f). \tag{10}</w:t>
      </w:r>
    </w:p>
    <w:p>
      <w:pPr>
        <w:pStyle w:val="BodyText"/>
      </w:pPr>
      <w:r>
        <w:t xml:space="preserve">只有 $Z_s=Z_{\mathrm{ref}}=50\,\Omega$ 时，式 (10) 才退化为 $H_{\mathrm{port}}=2H_V$。改变 $Z_s$ 或参考阻抗后，不得继续无条件使用两倍关系。[代码核对] abcd_to_transfer.m 同时返回 $H_V$、$H_{\mathrm{port}}$ 和分母，用于审计端接奇异性。</w:t>
      </w:r>
    </w:p>
    <w:p>
      <w:r>
        <w:br w:type="page"/>
      </w:r>
    </w:p>
    <w:p>
      <w:pPr>
        <w:pStyle w:val="Heading1"/>
      </w:pPr>
      <w:r>
        <w:t xml:space="preserve">6. 长线路稳定计算与完整节点网络</w:t>
      </w:r>
    </w:p>
    <w:p>
      <w:pPr>
        <w:pStyle w:val="Heading2"/>
      </w:pPr>
      <w:r>
        <w:t xml:space="preserve">6.1 长线路稳定递推</w:t>
      </w:r>
    </w:p>
    <w:p>
      <w:pPr>
        <w:pStyle w:val="BodyText"/>
      </w:pPr>
      <w:r>
        <w:t xml:space="preserve">当 $\Re\{\gamma d\}$ 很大时，$\cosh(\gamma d)$、$\sinh(\gamma d)$ 及多个 ABCD 矩阵相乘可能产生巨大的中间量，最后再由近似相消获得小传递函数；这会放大浮点舍入误差。仅检查“没有 NaN/Inf”不足以证明可靠。</w:t>
      </w:r>
    </w:p>
    <w:p>
      <w:pPr>
        <w:pStyle w:val="BodyText"/>
      </w:pPr>
      <w:r>
        <w:t xml:space="preserve">[代码核对] cascade_network_stable.m 不显式形成总 ABCD 矩阵，而是从终端 $Z_r$ 反向递推：先把下游等效阻抗经每段线变换到左端，同时累积采用衰减指数表达的电压比；在含支路节点处于导纳域相加。terminated_line_response.m 提供单段稳定变换。短线范围内，稳定递推应与原 ABCD 复数 CFR 交叉验证；对病态长线，稳定递推而非病态总 ABCD 被作为正式结论入口。</w:t>
      </w:r>
    </w:p>
    <w:p>
      <w:pPr>
        <w:pStyle w:val="Heading2"/>
      </w:pPr>
      <w:r>
        <w:t xml:space="preserve">6.2 完整节点导纳模型</w:t>
      </w:r>
    </w:p>
    <w:p>
      <w:pPr>
        <w:pStyle w:val="BodyText"/>
      </w:pPr>
      <w:r>
        <w:t xml:space="preserve">对多接收点或完整树，项目在阶段 2.2 后使用节点导纳形式</w:t>
      </w:r>
    </w:p>
    <w:p>
      <w:pPr>
        <w:pStyle w:val="Equation"/>
      </w:pPr>
      <w:r>
        <w:rPr>
          <w:rFonts w:ascii="Consolas" w:hAnsi="Consolas" w:eastAsia="Consolas"/>
          <w:color w:val="1F4E79"/>
        </w:rPr>
        <w:t xml:space="preserve">Y_{\mathrm{net}}(f;G,\theta,O)V(f)=I_{\mathrm{exc}}(f). \tag{11}</w:t>
      </w:r>
    </w:p>
    <w:p>
      <w:pPr>
        <w:pStyle w:val="BodyText"/>
      </w:pPr>
      <w:r>
        <w:t xml:space="preserve">每条分布参数边的两端导纳由 $Z_c$、$\gamma$ 与长度构成；源以 Norton 等效进入源节点；支路终端负载和每个接收机输入阻抗以节点并联导纳进入矩阵。[代码核对] plc_full_network_response.m 保留网络全部主线与支路，不采用阶段 2.1 中已废弃的“截断前缀网络”冒充内部节点观测。</w:t>
      </w:r>
    </w:p>
    <w:p>
      <w:pPr>
        <w:pStyle w:val="BodyText"/>
      </w:pPr>
      <w:r>
        <w:t xml:space="preserve">这也给出重要的测量解释：dual_receiver_complete 的内部接收机是并联负载，不仅增加一个读出量，也改变了式 (11) 的网络工作点；dual_receiver_highz_complete 仅将这种扰动减小，而不等于零；dual_receiver_counterfactual 是不接入内部负载的分析对照，不是可直接宣称的无扰动硬件模型。</w:t>
      </w:r>
    </w:p>
    <w:p>
      <w:r>
        <w:br w:type="page"/>
      </w:r>
    </w:p>
    <w:p>
      <w:pPr>
        <w:pStyle w:val="Heading1"/>
      </w:pPr>
      <w:r>
        <w:t xml:space="preserve">7. OFDM 等效测量、LS 估计与循环时域表示</w:t>
      </w:r>
    </w:p>
    <w:p>
      <w:pPr>
        <w:pStyle w:val="Heading2"/>
      </w:pPr>
      <w:r>
        <w:t xml:space="preserve">7.1 频域导频模型</w:t>
      </w:r>
    </w:p>
    <w:p>
      <w:pPr>
        <w:pStyle w:val="BodyText"/>
      </w:pPr>
      <w:r>
        <w:t xml:space="preserve">在第 $k$ 个有效子载波 $f_k$ 上，项目的通信型等效模型为</w:t>
      </w:r>
    </w:p>
    <w:p>
      <w:pPr>
        <w:pStyle w:val="Equation"/>
      </w:pPr>
      <w:r>
        <w:rPr>
          <w:rFonts w:ascii="Consolas" w:hAnsi="Consolas" w:eastAsia="Consolas"/>
          <w:color w:val="1F4E79"/>
        </w:rPr>
        <w:t xml:space="preserve">Y_{rt}[k]=X_t[k]H_{rt}(f_k;G,\theta,O)+N_{rt}[k]. \tag{12}</w:t>
      </w:r>
    </w:p>
    <w:p>
      <w:pPr>
        <w:pStyle w:val="BodyText"/>
      </w:pPr>
      <w:r>
        <w:t xml:space="preserve">当 $X_t[k]\neq0$ 且子载波同步已假定成立，LS 估计为</w:t>
      </w:r>
    </w:p>
    <w:p>
      <w:pPr>
        <w:pStyle w:val="Equation"/>
      </w:pPr>
      <w:r>
        <w:rPr>
          <w:rFonts w:ascii="Consolas" w:hAnsi="Consolas" w:eastAsia="Consolas"/>
          <w:color w:val="1F4E79"/>
        </w:rPr>
        <w:t xml:space="preserve">\hat H_{rt}[k]=\frac{Y_{rt}[k]}{X_t[k]} =H_{rt}(f_k;G,\theta,O)+\frac{N_{rt}[k]}{X_t[k]}. \tag{13}</w:t>
      </w:r>
    </w:p>
    <w:p>
      <w:pPr>
        <w:pStyle w:val="BodyText"/>
      </w:pPr>
      <w:r>
        <w:t xml:space="preserve">阶段 2 的 ofdm_config.m 采用 $N_{\mathrm{FFT}}=4096$、$F_s=64\,\mathrm{MHz}$、$2$–$30\,\mathrm{MHz}$、全有效子载波导频的复基带频域等效基线。这些是项目仿真假设，不是已确认商用标准 PHY。稀疏导频时，stage3a_receive_ofdm.m 以有效频率网格上的复线性插值形成 $\hat H$；插值误差必须和 LS 噪声误差分别记录。</w:t>
      </w:r>
    </w:p>
    <w:p>
      <w:pPr>
        <w:pStyle w:val="Heading2"/>
      </w:pPr>
      <w:r>
        <w:t xml:space="preserve">7.2 IFFT、CP 与循环卷积</w:t>
      </w:r>
    </w:p>
    <w:p>
      <w:pPr>
        <w:pStyle w:val="BodyText"/>
      </w:pPr>
      <w:r>
        <w:t xml:space="preserve">阶段 2 的频域基线 CP 为 0。阶段 3A 仅为 IFFT/CP 审计将 CP 设置为 256 点，来源字段为 stage3a_project_simulation_assumption；它不是从真实物理时延扩展推导出的标准参数。</w:t>
      </w:r>
    </w:p>
    <w:p>
      <w:pPr>
        <w:pStyle w:val="BodyText"/>
      </w:pPr>
      <w:r>
        <w:t xml:space="preserve">对填入 $N_{\mathrm{FFT}}$ 点网格的采样 CFR $H_{\mathrm{full}}[k]$，定义</w:t>
      </w:r>
    </w:p>
    <w:p>
      <w:pPr>
        <w:pStyle w:val="Equation"/>
      </w:pPr>
      <w:r>
        <w:rPr>
          <w:rFonts w:ascii="Consolas" w:hAnsi="Consolas" w:eastAsia="Consolas"/>
          <w:color w:val="1F4E79"/>
        </w:rPr>
        <w:t xml:space="preserve">h_{\mathrm{sampled}}[n]=\mathrm{IFFT}\{H_{\mathrm{full}}[k]\}. \tag{14}</w:t>
      </w:r>
    </w:p>
    <w:p>
      <w:pPr>
        <w:pStyle w:val="BodyText"/>
      </w:pPr>
      <w:r>
        <w:t xml:space="preserve">在当前基线的循环模型中，</w:t>
      </w:r>
    </w:p>
    <w:p>
      <w:pPr>
        <w:pStyle w:val="Equation"/>
      </w:pPr>
      <w:r>
        <w:rPr>
          <w:rFonts w:ascii="Consolas" w:hAnsi="Consolas" w:eastAsia="Consolas"/>
          <w:color w:val="1F4E79"/>
        </w:rPr>
        <w:t xml:space="preserve">y_{\mathrm{circ}}[n]=x[n]\circledast_N h_{\mathrm{sampled}}[n] =\mathrm{IFFT}\{\mathrm{FFT}\{x\}[k]H_{\mathrm{full}}[k]\}. \tag{15}</w:t>
      </w:r>
    </w:p>
    <w:p>
      <w:pPr>
        <w:pStyle w:val="BodyText"/>
      </w:pPr>
      <w:r>
        <w:t xml:space="preserve">式 (15) 是 DFT 的严格数值等价关系；它本身不证明 $h_{\mathrm{sampled}}$ 是具有真实时间原点、因果性和完整负频谱的物理线路冲激响应。</w:t>
      </w:r>
    </w:p>
    <w:p>
      <w:pPr>
        <w:pStyle w:val="BodyText"/>
      </w:pPr>
      <w:r>
        <w:t xml:space="preserve">[代码核对] stage3a_apply_ofdm_channel.m 区分 circular_sampled_cfr 与 linear_sampled_cfr：前者按式 (15) 处理 payload 后再构造 CP；后者将含 CP 的有限帧与同一 $h_{\mathrm{sampled}}$ 显式线性卷积，仅作模型审计。stage3a_receive_ofdm.m 先按指定采样位置去 CP，再 FFT 与 LS；定时偏移在去 CP 采样起点、采样时钟偏差在采样位置插值、公共相位旋转在接收帧上分别施加，三类接口不可混为一种误差。</w:t>
      </w:r>
    </w:p>
    <w:p>
      <w:pPr>
        <w:pStyle w:val="Heading2"/>
      </w:pPr>
      <w:r>
        <w:t xml:space="preserve">7.3 circular band-limited CIR 与循环时延代理</w:t>
      </w:r>
    </w:p>
    <w:p>
      <w:pPr>
        <w:pStyle w:val="BodyText"/>
      </w:pPr>
      <w:r>
        <w:t xml:space="preserve">当前 $H_{\mathrm{full}}$ 仅包含单边 $2$–$30\,\mathrm{MHz}$ 的有效频点，其余网格被置零；没有负频率共轭补全、模拟滤波器建模或真实时钟对齐。因此 IFFT 输出应命名为</w:t>
      </w:r>
    </w:p>
    <w:p>
      <w:pPr>
        <w:pStyle w:val="Equation"/>
      </w:pPr>
      <w:r>
        <w:rPr>
          <w:rFonts w:ascii="Consolas" w:hAnsi="Consolas" w:eastAsia="Consolas"/>
          <w:color w:val="1F4E79"/>
        </w:rPr>
        <w:t xml:space="preserve">h_{\mathrm{circ,BL}}[n]=\mathrm{IFFT}\{H_{\mathrm{full}}[k]\},</w:t>
      </w:r>
    </w:p>
    <w:p>
      <w:pPr>
        <w:pStyle w:val="BodyText"/>
      </w:pPr>
      <w:r>
        <w:t xml:space="preserve">即 循环带限 CIR（circular band-limited CIR）。stage3a_toa_feature.m 的峰值位置仅输出 circular-delay proxy，不能表述为真实到达时间 ToA、物理传播距离或现场测距结果。</w:t>
      </w:r>
    </w:p>
    <w:p>
      <w:pPr>
        <w:pStyle w:val="BodyText"/>
      </w:pPr>
      <w:r>
        <w:t xml:space="preserve">stage3a_cp_coverage.m 会把最大抽头旋转至首样本并报告阈值支撑与 99% 能量支撑；由于式 (14) 没有物理时间原点，physical_delay_support_samples=NaN 是模型边界而非数值失败。带限 IFFT 的旁瓣可令支撑接近整个 NFFT，不能直接据此宣布“真实 PLC CP 不足”。</w:t>
      </w:r>
    </w:p>
    <w:p>
      <w:r>
        <w:br w:type="page"/>
      </w:r>
    </w:p>
    <w:p>
      <w:pPr>
        <w:pStyle w:val="Heading1"/>
      </w:pPr>
      <w:r>
        <w:t xml:space="preserve">8. 特征、距离与拓扑—参数匹配</w:t>
      </w:r>
    </w:p>
    <w:p>
      <w:pPr>
        <w:pStyle w:val="Heading2"/>
      </w:pPr>
      <w:r>
        <w:t xml:space="preserve">8.1 特征与信息保留</w:t>
      </w:r>
    </w:p>
    <w:p>
      <w:pPr>
        <w:pStyle w:val="BodyText"/>
      </w:pPr>
      <w:r>
        <w:t xml:space="preserve">设观测与参考 CFR 分别为 $a_k$、$b_k$，有效频点数为 $N$。项目实现以下代表性距离：</w:t>
      </w:r>
    </w:p>
    <w:p>
      <w:pPr>
        <w:pStyle w:val="ListNumber"/>
      </w:pPr>
      <w:r>
        <w:t xml:space="preserve">1. 归一化复数 CFR 距离（主要反映相对复数形状）：</w:t>
      </w:r>
    </w:p>
    <w:p>
      <w:pPr>
        <w:pStyle w:val="Equation"/>
      </w:pPr>
      <w:r>
        <w:rPr>
          <w:rFonts w:ascii="Consolas" w:hAnsi="Consolas" w:eastAsia="Consolas"/>
          <w:color w:val="1F4E79"/>
        </w:rPr>
        <w:t xml:space="preserve">D_{\mathrm{complex,norm}}= \sqrt{\frac1N\sum_{k=1}^N \left|\frac{a_k}{\|a\|_2}-\frac{b_k}{\|b\|_2}\right|^2}. \tag{16}</w:t>
      </w:r>
    </w:p>
    <w:p>
      <w:pPr>
        <w:pStyle w:val="ListNumber"/>
      </w:pPr>
      <w:r>
        <w:t xml:space="preserve">2. 未归一化复数 CFR 距离（同时保留绝对衰减和相位）：</w:t>
      </w:r>
    </w:p>
    <w:p>
      <w:pPr>
        <w:pStyle w:val="Equation"/>
      </w:pPr>
      <w:r>
        <w:rPr>
          <w:rFonts w:ascii="Consolas" w:hAnsi="Consolas" w:eastAsia="Consolas"/>
          <w:color w:val="1F4E79"/>
        </w:rPr>
        <w:t xml:space="preserve">D_{\mathrm{complex,raw}}= \sqrt{\frac1N\sum_{k=1}^N|a_k-b_k|^2}. \tag{17}</w:t>
      </w:r>
    </w:p>
    <w:p>
      <w:pPr>
        <w:pStyle w:val="ListNumber"/>
      </w:pPr>
      <w:r>
        <w:t xml:space="preserve">3. dB 幅值距离：</w:t>
      </w:r>
    </w:p>
    <w:p>
      <w:pPr>
        <w:pStyle w:val="Equation"/>
      </w:pPr>
      <w:r>
        <w:rPr>
          <w:rFonts w:ascii="Consolas" w:hAnsi="Consolas" w:eastAsia="Consolas"/>
          <w:color w:val="1F4E79"/>
        </w:rPr>
        <w:t xml:space="preserve">D_{\mathrm{amp,raw\,dB}}= \sqrt{\frac1N\sum_k \left[20\log_{10}|a_k|-20\log_{10}|b_k|\right]^2}. \tag{18}</w:t>
      </w:r>
    </w:p>
    <w:p>
      <w:pPr>
        <w:pStyle w:val="ListNumber"/>
      </w:pPr>
      <w:r>
        <w:t xml:space="preserve">4. 幅相联合距离：</w:t>
      </w:r>
    </w:p>
    <w:p>
      <w:pPr>
        <w:pStyle w:val="Equation"/>
      </w:pPr>
      <w:r>
        <w:rPr>
          <w:rFonts w:ascii="Consolas" w:hAnsi="Consolas" w:eastAsia="Consolas"/>
          <w:color w:val="1F4E79"/>
        </w:rPr>
        <w:t xml:space="preserve">D_{\mathrm{joint}}= \sqrt{w_{\mathrm{amp}}D_{\mathrm{amp}}^2+ w_{\mathrm{phase}}D_{\mathrm{phase}}^2}, \qquad w_{\mathrm{amp}}+w_{\mathrm{phase}}=1. \tag{19}</w:t>
      </w:r>
    </w:p>
    <w:p>
      <w:pPr>
        <w:pStyle w:val="BodyText"/>
      </w:pPr>
      <w:r>
        <w:t xml:space="preserve">[代码核对] topology_feature_distance.m 中 complex 对各向量作单位 $\ell_2$ 归一化，complex_raw 不归一化；两者必须分开报告。amplitude_db_standardized 会移除每条曲线自身的均值与尺度，只保留形状，不能被说成保留绝对衰减。相位指标同时包括原始展开相位、幅值掩膜/加权圆周相位；低幅值频点的 unwrap 跳变不应被无条件解释为物理相位误差。</w:t>
      </w:r>
    </w:p>
    <w:p>
      <w:pPr>
        <w:pStyle w:val="Heading2"/>
      </w:pPr>
      <w:r>
        <w:t xml:space="preserve">8.2 匹配、正则化与过拟合风险</w:t>
      </w:r>
    </w:p>
    <w:p>
      <w:pPr>
        <w:pStyle w:val="BodyText"/>
      </w:pPr>
      <w:r>
        <w:t xml:space="preserve">topology_nearest_match.m 对同一特征与同一观测调用候选库，返回完整分数、最优/次优距离、距离间隔和数值 tie。topology_joint_match.m 在参数格点上优化式 (20)：</w:t>
      </w:r>
    </w:p>
    <w:p>
      <w:pPr>
        <w:pStyle w:val="Equation"/>
      </w:pPr>
      <w:r>
        <w:rPr>
          <w:rFonts w:ascii="Consolas" w:hAnsi="Consolas" w:eastAsia="Consolas"/>
          <w:color w:val="1F4E79"/>
        </w:rPr>
        <w:t xml:space="preserve">J(G,\theta)=D\{\hat H_O,H_O(G,\theta)\}+\lambda R(\theta). \tag{20}</w:t>
      </w:r>
    </w:p>
    <w:p>
      <w:pPr>
        <w:pStyle w:val="BodyText"/>
      </w:pPr>
      <w:r>
        <w:t xml:space="preserve">阶段 2.2 历史工作使用过 243 点参数网格；阶段 3A.2 的独立校准/测试审计使用 27 点有界基线，二者不能混写。$\lambda$ 与权重是审计配置，不是全局最优证明。更多自由参数可能把本应等价的观测拟合为不同模板，从而看似减少数值 tie，却提高 false-unique 风险。</w:t>
      </w:r>
    </w:p>
    <w:p>
      <w:r>
        <w:br w:type="page"/>
      </w:r>
    </w:p>
    <w:p>
      <w:pPr>
        <w:pStyle w:val="Heading1"/>
      </w:pPr>
      <w:r>
        <w:t xml:space="preserve">9. 拓扑可辨识性、等价类与评价指标</w:t>
      </w:r>
    </w:p>
    <w:p>
      <w:pPr>
        <w:pStyle w:val="Heading2"/>
      </w:pPr>
      <w:r>
        <w:t xml:space="preserve">9.1 映射单射性而非“维数直觉”</w:t>
      </w:r>
    </w:p>
    <w:p>
      <w:pPr>
        <w:pStyle w:val="BodyText"/>
      </w:pPr>
      <w:r>
        <w:t xml:space="preserve">唯一识别的核心是映射</w:t>
      </w:r>
    </w:p>
    <w:p>
      <w:pPr>
        <w:pStyle w:val="Equation"/>
      </w:pPr>
      <w:r>
        <w:rPr>
          <w:rFonts w:ascii="Consolas" w:hAnsi="Consolas" w:eastAsia="Consolas"/>
          <w:color w:val="1F4E79"/>
        </w:rPr>
        <w:t xml:space="preserve">(G,\theta)\longmapsto H_O(f;G,\theta) \tag{21}</w:t>
      </w:r>
    </w:p>
    <w:p>
      <w:pPr>
        <w:pStyle w:val="BodyText"/>
      </w:pPr>
      <w:r>
        <w:t xml:space="preserve">在给定候选集、频带、端口、端接和参数范围内是否为单射。不能以“一个标量复函数的信息量低于拓扑自由度”作为严格不可识别证明：频率函数可以包含很多采样点，且唯一性依赖具体物理模型和先验。</w:t>
      </w:r>
    </w:p>
    <w:p>
      <w:pPr>
        <w:pStyle w:val="BodyText"/>
      </w:pPr>
      <w:r>
        <w:t xml:space="preserve">当前项目存在一个更直接的反例。在均匀主线、对称线路参数、对称支路/负载、对称源/接收端端接、理想互易模型以及当前端到端 SISO 定义下，T3/T5 镜像候选满足</w:t>
      </w:r>
    </w:p>
    <w:p>
      <w:pPr>
        <w:pStyle w:val="Equation"/>
      </w:pPr>
      <w:r>
        <w:rPr>
          <w:rFonts w:ascii="Consolas" w:hAnsi="Consolas" w:eastAsia="Consolas"/>
          <w:color w:val="1F4E79"/>
        </w:rPr>
        <w:t xml:space="preserve">H_{O_{\mathrm{SISO}},T3}(f;\theta)= H_{O_{\mathrm{SISO}},T5}(f;\theta). \tag{22}</w:t>
      </w:r>
    </w:p>
    <w:p>
      <w:pPr>
        <w:pStyle w:val="BodyText"/>
      </w:pPr>
      <w:r>
        <w:t xml:space="preserve">式 (22) 是该候选定义及观测条件下的结构等价，而不是分类器准确率不够高。改变频带可能改善近似可分性，但不能保证打破这种严格端口传递函数等价；改变端接、端口、接收节点、输入导纳或反射观测才可能改变等价类。</w:t>
      </w:r>
    </w:p>
    <w:p>
      <w:pPr>
        <w:pStyle w:val="Heading2"/>
      </w:pPr>
      <w:r>
        <w:t xml:space="preserve">9.2 结构等价、数值 tie 与 false unique</w:t>
      </w:r>
    </w:p>
    <w:p>
      <w:pPr>
        <w:pStyle w:val="BodyText"/>
      </w:pPr>
      <w:r>
        <w:t xml:space="preserve">定义 $\epsilon_O$ 为基于完整复数参考 CFR 的结构等价容差。若</w:t>
      </w:r>
    </w:p>
    <w:p>
      <w:pPr>
        <w:pStyle w:val="Equation"/>
      </w:pPr>
      <w:r>
        <w:rPr>
          <w:rFonts w:ascii="Consolas" w:hAnsi="Consolas" w:eastAsia="Consolas"/>
          <w:color w:val="1F4E79"/>
        </w:rPr>
        <w:t xml:space="preserve">D_{\mathrm{complex,norm}}\{H_O(G_i),H_O(G_j)\}\le\epsilon_O,</w:t>
      </w:r>
    </w:p>
    <w:p>
      <w:pPr>
        <w:pStyle w:val="BodyText"/>
      </w:pPr>
      <w:r>
        <w:t xml:space="preserve">则 $G_i\sim_O G_j$，它们属于同一观测等价类。topology_observability_classes.m 用固定物理配置下的归一化复数 CFR 距离建立连通分量，同时保存 raw 距离。该“结构等价”不同于某次带噪声匹配中多个候选得分恰好接近的数值 tie。</w:t>
      </w:r>
    </w:p>
    <w:p>
      <w:pPr>
        <w:pStyle w:val="BodyText"/>
      </w:pPr>
      <w:r>
        <w:t xml:space="preserve">项目使用的关键拓扑指标为：</w:t>
      </w:r>
    </w:p>
    <w:tbl>
      <w:tblPr>
        <w:tblW w:w="0" w:type="auto"/>
        <w:tblBorders>
          <w:top w:val="single" w:sz="4" w:color="A6A6A6"/>
          <w:left w:val="single" w:sz="4" w:color="A6A6A6"/>
          <w:bottom w:val="single" w:sz="4" w:color="A6A6A6"/>
          <w:right w:val="single" w:sz="4" w:color="A6A6A6"/>
          <w:insideH w:val="single" w:sz="4" w:color="D9D9D9"/>
          <w:insideV w:val="single" w:sz="4" w:color="D9D9D9"/>
        </w:tblBorders>
      </w:tblPr>
      <w:tr>
        <w:tc>
          <w:tcPr>
            <w:tcW w:w="2400" w:type="dxa"/>
          </w:tcPr>
          <w:p>
            <w:pPr>
              <w:pStyle w:val="TableText"/>
            </w:pPr>
            <w:r>
              <w:t xml:space="preserve">指标</w:t>
            </w:r>
          </w:p>
        </w:tc>
        <w:tc>
          <w:tcPr>
            <w:tcW w:w="2400" w:type="dxa"/>
          </w:tcPr>
          <w:p>
            <w:pPr>
              <w:pStyle w:val="TableText"/>
            </w:pPr>
            <w:r>
              <w:t xml:space="preserve">定义与解释</w:t>
            </w:r>
          </w:p>
        </w:tc>
      </w:tr>
      <w:tr>
        <w:tc>
          <w:tcPr>
            <w:tcW w:w="2400" w:type="dxa"/>
          </w:tcPr>
          <w:p>
            <w:pPr>
              <w:pStyle w:val="TableText"/>
            </w:pPr>
            <w:r>
              <w:t xml:space="preserve">strict accuracy</w:t>
            </w:r>
          </w:p>
        </w:tc>
        <w:tc>
          <w:tcPr>
            <w:tcW w:w="2400" w:type="dxa"/>
          </w:tcPr>
          <w:p>
            <w:pPr>
              <w:pStyle w:val="TableText"/>
            </w:pPr>
            <w:r>
              <w:t xml:space="preserve">预测具体拓扑编号是否等于真实编号</w:t>
            </w:r>
          </w:p>
        </w:tc>
      </w:tr>
      <w:tr>
        <w:tc>
          <w:tcPr>
            <w:tcW w:w="2400" w:type="dxa"/>
          </w:tcPr>
          <w:p>
            <w:pPr>
              <w:pStyle w:val="TableText"/>
            </w:pPr>
            <w:r>
              <w:t xml:space="preserve">equivalence-class rate</w:t>
            </w:r>
          </w:p>
        </w:tc>
        <w:tc>
          <w:tcPr>
            <w:tcW w:w="2400" w:type="dxa"/>
          </w:tcPr>
          <w:p>
            <w:pPr>
              <w:pStyle w:val="TableText"/>
            </w:pPr>
            <w:r>
              <w:t xml:space="preserve">预测的观测等价类是否包含真实拓扑</w:t>
            </w:r>
          </w:p>
        </w:tc>
      </w:tr>
      <w:tr>
        <w:tc>
          <w:tcPr>
            <w:tcW w:w="2400" w:type="dxa"/>
          </w:tcPr>
          <w:p>
            <w:pPr>
              <w:pStyle w:val="TableText"/>
            </w:pPr>
            <w:r>
              <w:t xml:space="preserve">strict unique rate</w:t>
            </w:r>
          </w:p>
        </w:tc>
        <w:tc>
          <w:tcPr>
            <w:tcW w:w="2400" w:type="dxa"/>
          </w:tcPr>
          <w:p>
            <w:pPr>
              <w:pStyle w:val="TableText"/>
            </w:pPr>
            <w:r>
              <w:t xml:space="preserve">在无数值 tie 情况下，既唯一又严格正确的比例</w:t>
            </w:r>
          </w:p>
        </w:tc>
      </w:tr>
      <w:tr>
        <w:tc>
          <w:tcPr>
            <w:tcW w:w="2400" w:type="dxa"/>
          </w:tcPr>
          <w:p>
            <w:pPr>
              <w:pStyle w:val="TableText"/>
            </w:pPr>
            <w:r>
              <w:t xml:space="preserve">ambiguity rate</w:t>
            </w:r>
          </w:p>
        </w:tc>
        <w:tc>
          <w:tcPr>
            <w:tcW w:w="2400" w:type="dxa"/>
          </w:tcPr>
          <w:p>
            <w:pPr>
              <w:pStyle w:val="TableText"/>
            </w:pPr>
            <w:r>
              <w:t xml:space="preserve">当前 tie 容差内无法给出唯一候选的比例</w:t>
            </w:r>
          </w:p>
        </w:tc>
      </w:tr>
      <w:tr>
        <w:tc>
          <w:tcPr>
            <w:tcW w:w="2400" w:type="dxa"/>
          </w:tcPr>
          <w:p>
            <w:pPr>
              <w:pStyle w:val="TableText"/>
            </w:pPr>
            <w:r>
              <w:t xml:space="preserve">false-unique rate</w:t>
            </w:r>
          </w:p>
        </w:tc>
        <w:tc>
          <w:tcPr>
            <w:tcW w:w="2400" w:type="dxa"/>
          </w:tcPr>
          <w:p>
            <w:pPr>
              <w:pStyle w:val="TableText"/>
            </w:pPr>
            <w:r>
              <w:t xml:space="preserve">真实结构等价类存在多个成员，但算法把其中某一编号报告为唯一的比例</w:t>
            </w:r>
          </w:p>
        </w:tc>
      </w:tr>
      <w:tr>
        <w:tc>
          <w:tcPr>
            <w:tcW w:w="2400" w:type="dxa"/>
          </w:tcPr>
          <w:p>
            <w:pPr>
              <w:pStyle w:val="TableText"/>
            </w:pPr>
            <w:r>
              <w:t xml:space="preserve">distance margin</w:t>
            </w:r>
          </w:p>
        </w:tc>
        <w:tc>
          <w:tcPr>
            <w:tcW w:w="2400" w:type="dxa"/>
          </w:tcPr>
          <w:p>
            <w:pPr>
              <w:pStyle w:val="TableText"/>
            </w:pPr>
            <w:r>
              <w:t xml:space="preserve">最优与次优（或次优组）距离之差；越小越应谨慎</w:t>
            </w:r>
          </w:p>
        </w:tc>
      </w:tr>
      <w:tr>
        <w:tc>
          <w:tcPr>
            <w:tcW w:w="2400" w:type="dxa"/>
          </w:tcPr>
          <w:p>
            <w:pPr>
              <w:pStyle w:val="TableText"/>
            </w:pPr>
            <w:r>
              <w:t xml:space="preserve">edge Precision/Recall/F1</w:t>
            </w:r>
          </w:p>
        </w:tc>
        <w:tc>
          <w:tcPr>
            <w:tcW w:w="2400" w:type="dxa"/>
          </w:tcPr>
          <w:p>
            <w:pPr>
              <w:pStyle w:val="TableText"/>
            </w:pPr>
            <w:r>
              <w:t xml:space="preserve">对候选边集合的结构层评价；不由 CFR NMSE 代替</w:t>
            </w:r>
          </w:p>
        </w:tc>
      </w:tr>
    </w:tbl>
    <w:p>
      <w:pPr>
        <w:pStyle w:val="BodyText"/>
      </w:pPr>
      <w:r>
        <w:t xml:space="preserve">因此，带噪声后随机输出 T3 或 T5 中的一个编号，不构成物理唯一识别；若该输出不再被记录为 tie，反而可能是 false unique。</w:t>
      </w:r>
    </w:p>
    <w:p>
      <w:r>
        <w:br w:type="page"/>
      </w:r>
    </w:p>
    <w:p>
      <w:pPr>
        <w:pStyle w:val="Heading1"/>
      </w:pPr>
      <w:r>
        <w:t xml:space="preserve">10. 当前仿真设置与可追溯结果</w:t>
      </w:r>
    </w:p>
    <w:p>
      <w:pPr>
        <w:pStyle w:val="Heading2"/>
      </w:pPr>
      <w:r>
        <w:t xml:space="preserve">10.1 配置与证据状态</w:t>
      </w:r>
    </w:p>
    <w:p>
      <w:pPr>
        <w:pStyle w:val="BodyText"/>
      </w:pPr>
      <w:r>
        <w:t xml:space="preserve">以下均为项目历史正式数据或日志，不是本次文档重新运行的 MATLAB 实验。</w:t>
      </w:r>
    </w:p>
    <w:p>
      <w:pPr>
        <w:pStyle w:val="ListBullet"/>
      </w:pPr>
      <w:r>
        <w:t xml:space="preserve">• 频带与网格：[代码核对] 当前 Stage 2/3A 项目基线为 $2$–$30\,\mathrm{MHz}$、$F_s=64\,\mathrm{MHz}$、$N_{\mathrm{FFT}}=4096$，有效频点数为 1793；全导频、稀疏导频插值和多种等效噪声接口均被实现。这些是项目假设。</w:t>
      </w:r>
    </w:p>
    <w:p>
      <w:pPr>
        <w:pStyle w:val="ListBullet"/>
      </w:pPr>
      <w:r>
        <w:t xml:space="preserve">• 候选集：[代码核对] Stage 3A 配置选择四个候选索引，对应 T2、T3、T4、T5；其中 T3/T5 在对称 SISO 协议下属于同一结构等价组。</w:t>
      </w:r>
    </w:p>
    <w:p>
      <w:pPr>
        <w:pStyle w:val="ListBullet"/>
      </w:pPr>
      <w:r>
        <w:t xml:space="preserve">• 观测协议：[代码核对] 正式 3A.2 比较 siso_forward、dual_receiver_complete、dual_receiver_highz_complete、dual_receiver_counterfactual 与 three_view_complete。</w:t>
      </w:r>
    </w:p>
    <w:p>
      <w:pPr>
        <w:pStyle w:val="ListBullet"/>
      </w:pPr>
      <w:r>
        <w:t xml:space="preserve">• 测试运行状态：[历史日志] results/logs/wide_narrow_literature_gate_final_verify_v2.log 记录 MATLAB 24.1.0.2537033 (R2024a)、基础许可可用，以及阶段 1.5、2、2.1、2.2、2.3、3A、3A.1、3A.2 和 test_stage3_band_configs 通过。本次撰写仅静态核对这些日志，未再次运行 MATLAB。</w:t>
      </w:r>
    </w:p>
    <w:p>
      <w:pPr>
        <w:pStyle w:val="Heading2"/>
      </w:pPr>
      <w:r>
        <w:t xml:space="preserve">10.2 循环模型审计结果</w:t>
      </w:r>
    </w:p>
    <w:p>
      <w:pPr>
        <w:pStyle w:val="BodyText"/>
      </w:pPr>
      <w:r>
        <w:t xml:space="preserve">[历史结果] Stage 3A.2 的显式循环卷积与频域乘法最大差异约为 $3.72\times10^{-16}$。这验证了式 (15) 在相同离散采样模型内的数值等价。</w:t>
      </w:r>
    </w:p>
    <w:p>
      <w:pPr>
        <w:pStyle w:val="BodyText"/>
      </w:pPr>
      <w:r>
        <w:t xml:space="preserve">同一审计还报告 T2、CP=256 的阈值支撑和 99% 能量支撑均接近 4095 个采样点，CP 能量覆盖约 0.691912，线性/循环相对 RMS 差约 0.048204。由于当前 sampled CFR 没有物理时间原点，这些数值只能说明有限频带、零填充与周期化造成的采样循环响应特性；不能转述为真实电缆物理时延展宽或现场 CP 设计失败。</w:t>
      </w:r>
    </w:p>
    <w:p>
      <w:pPr>
        <w:pStyle w:val="Heading2"/>
      </w:pPr>
      <w:r>
        <w:t xml:space="preserve">10.3 20 dB 端到端 SISO 结果</w:t>
      </w:r>
    </w:p>
    <w:p>
      <w:pPr>
        <w:pStyle w:val="BodyText"/>
      </w:pPr>
      <w:r>
        <w:t xml:space="preserve">[历史结果] 在 stage3a_2_protocol_summary.csv 的独立测试划分中，nominal_noise_20、siso_forward、amp_phase_joint_weighted 条件每行 $200$ 次 trial：</w:t>
      </w:r>
    </w:p>
    <w:tbl>
      <w:tblPr>
        <w:tblW w:w="0" w:type="auto"/>
        <w:tblBorders>
          <w:top w:val="single" w:sz="4" w:color="A6A6A6"/>
          <w:left w:val="single" w:sz="4" w:color="A6A6A6"/>
          <w:bottom w:val="single" w:sz="4" w:color="A6A6A6"/>
          <w:right w:val="single" w:sz="4" w:color="A6A6A6"/>
          <w:insideH w:val="single" w:sz="4" w:color="D9D9D9"/>
          <w:insideV w:val="single" w:sz="4" w:color="D9D9D9"/>
        </w:tblBorders>
      </w:tblPr>
      <w:tr>
        <w:tc>
          <w:tcPr>
            <w:tcW w:w="2400" w:type="dxa"/>
          </w:tcPr>
          <w:p>
            <w:pPr>
              <w:pStyle w:val="TableText"/>
            </w:pPr>
            <w:r>
              <w:t xml:space="preserve">匹配器</w:t>
            </w:r>
          </w:p>
        </w:tc>
        <w:tc>
          <w:tcPr>
            <w:tcW w:w="2400" w:type="dxa"/>
          </w:tcPr>
          <w:p>
            <w:pPr>
              <w:pStyle w:val="TableText"/>
            </w:pPr>
            <w:r>
              <w:t xml:space="preserve">strict accuracy</w:t>
            </w:r>
          </w:p>
        </w:tc>
        <w:tc>
          <w:tcPr>
            <w:tcW w:w="2400" w:type="dxa"/>
          </w:tcPr>
          <w:p>
            <w:pPr>
              <w:pStyle w:val="TableText"/>
            </w:pPr>
            <w:r>
              <w:t xml:space="preserve">strict unique rate</w:t>
            </w:r>
          </w:p>
        </w:tc>
        <w:tc>
          <w:tcPr>
            <w:tcW w:w="2400" w:type="dxa"/>
          </w:tcPr>
          <w:p>
            <w:pPr>
              <w:pStyle w:val="TableText"/>
            </w:pPr>
            <w:r>
              <w:t xml:space="preserve">等价类率</w:t>
            </w:r>
          </w:p>
        </w:tc>
        <w:tc>
          <w:tcPr>
            <w:tcW w:w="2400" w:type="dxa"/>
          </w:tcPr>
          <w:p>
            <w:pPr>
              <w:pStyle w:val="TableText"/>
            </w:pPr>
            <w:r>
              <w:t xml:space="preserve">ambiguity</w:t>
            </w:r>
          </w:p>
        </w:tc>
        <w:tc>
          <w:tcPr>
            <w:tcW w:w="2400" w:type="dxa"/>
          </w:tcPr>
          <w:p>
            <w:pPr>
              <w:pStyle w:val="TableText"/>
            </w:pPr>
            <w:r>
              <w:t xml:space="preserve">false unique</w:t>
            </w:r>
          </w:p>
        </w:tc>
        <w:tc>
          <w:tcPr>
            <w:tcW w:w="2400" w:type="dxa"/>
          </w:tcPr>
          <w:p>
            <w:pPr>
              <w:pStyle w:val="TableText"/>
            </w:pPr>
            <w:r>
              <w:t xml:space="preserve">CFR NMSE</w:t>
            </w:r>
          </w:p>
        </w:tc>
      </w:tr>
      <w:tr>
        <w:tc>
          <w:tcPr>
            <w:tcW w:w="2400" w:type="dxa"/>
          </w:tcPr>
          <w:p>
            <w:pPr>
              <w:pStyle w:val="TableText"/>
            </w:pPr>
            <w:r>
              <w:t xml:space="preserve">nominal nearest</w:t>
            </w:r>
          </w:p>
        </w:tc>
        <w:tc>
          <w:tcPr>
            <w:tcW w:w="2400" w:type="dxa"/>
          </w:tcPr>
          <w:p>
            <w:pPr>
              <w:pStyle w:val="TableText"/>
            </w:pPr>
            <w:r>
              <w:t xml:space="preserve">0.770</w:t>
            </w:r>
          </w:p>
        </w:tc>
        <w:tc>
          <w:tcPr>
            <w:tcW w:w="2400" w:type="dxa"/>
          </w:tcPr>
          <w:p>
            <w:pPr>
              <w:pStyle w:val="TableText"/>
            </w:pPr>
            <w:r>
              <w:t xml:space="preserve">0.500</w:t>
            </w:r>
          </w:p>
        </w:tc>
        <w:tc>
          <w:tcPr>
            <w:tcW w:w="2400" w:type="dxa"/>
          </w:tcPr>
          <w:p>
            <w:pPr>
              <w:pStyle w:val="TableText"/>
            </w:pPr>
            <w:r>
              <w:t xml:space="preserve">1.000</w:t>
            </w:r>
          </w:p>
        </w:tc>
        <w:tc>
          <w:tcPr>
            <w:tcW w:w="2400" w:type="dxa"/>
          </w:tcPr>
          <w:p>
            <w:pPr>
              <w:pStyle w:val="TableText"/>
            </w:pPr>
            <w:r>
              <w:t xml:space="preserve">0.500</w:t>
            </w:r>
          </w:p>
        </w:tc>
        <w:tc>
          <w:tcPr>
            <w:tcW w:w="2400" w:type="dxa"/>
          </w:tcPr>
          <w:p>
            <w:pPr>
              <w:pStyle w:val="TableText"/>
            </w:pPr>
            <w:r>
              <w:t xml:space="preserve">0</w:t>
            </w:r>
          </w:p>
        </w:tc>
        <w:tc>
          <w:tcPr>
            <w:tcW w:w="2400" w:type="dxa"/>
          </w:tcPr>
          <w:p>
            <w:pPr>
              <w:pStyle w:val="TableText"/>
            </w:pPr>
            <w:r>
              <w:t xml:space="preserve">0.004125</w:t>
            </w:r>
          </w:p>
        </w:tc>
      </w:tr>
      <w:tr>
        <w:tc>
          <w:tcPr>
            <w:tcW w:w="2400" w:type="dxa"/>
          </w:tcPr>
          <w:p>
            <w:pPr>
              <w:pStyle w:val="TableText"/>
            </w:pPr>
            <w:r>
              <w:t xml:space="preserve">nuisance-aware joint</w:t>
            </w:r>
          </w:p>
        </w:tc>
        <w:tc>
          <w:tcPr>
            <w:tcW w:w="2400" w:type="dxa"/>
          </w:tcPr>
          <w:p>
            <w:pPr>
              <w:pStyle w:val="TableText"/>
            </w:pPr>
            <w:r>
              <w:t xml:space="preserve">0.785</w:t>
            </w:r>
          </w:p>
        </w:tc>
        <w:tc>
          <w:tcPr>
            <w:tcW w:w="2400" w:type="dxa"/>
          </w:tcPr>
          <w:p>
            <w:pPr>
              <w:pStyle w:val="TableText"/>
            </w:pPr>
            <w:r>
              <w:t xml:space="preserve">0.430</w:t>
            </w:r>
          </w:p>
        </w:tc>
        <w:tc>
          <w:tcPr>
            <w:tcW w:w="2400" w:type="dxa"/>
          </w:tcPr>
          <w:p>
            <w:pPr>
              <w:pStyle w:val="TableText"/>
            </w:pPr>
            <w:r>
              <w:t xml:space="preserve">1.000</w:t>
            </w:r>
          </w:p>
        </w:tc>
        <w:tc>
          <w:tcPr>
            <w:tcW w:w="2400" w:type="dxa"/>
          </w:tcPr>
          <w:p>
            <w:pPr>
              <w:pStyle w:val="TableText"/>
            </w:pPr>
            <w:r>
              <w:t xml:space="preserve">0.100</w:t>
            </w:r>
          </w:p>
        </w:tc>
        <w:tc>
          <w:tcPr>
            <w:tcW w:w="2400" w:type="dxa"/>
          </w:tcPr>
          <w:p>
            <w:pPr>
              <w:pStyle w:val="TableText"/>
            </w:pPr>
            <w:r>
              <w:t xml:space="preserve">0.470</w:t>
            </w:r>
          </w:p>
        </w:tc>
        <w:tc>
          <w:tcPr>
            <w:tcW w:w="2400" w:type="dxa"/>
          </w:tcPr>
          <w:p>
            <w:pPr>
              <w:pStyle w:val="TableText"/>
            </w:pPr>
            <w:r>
              <w:t xml:space="preserve">0.004125</w:t>
            </w:r>
          </w:p>
        </w:tc>
      </w:tr>
    </w:tbl>
    <w:p>
      <w:pPr>
        <w:pStyle w:val="BodyText"/>
      </w:pPr>
      <w:r>
        <w:t xml:space="preserve">这组结果说明两点。第一，CFR NMSE 约 $4.125\times10^{-3}$ 并未带来对 T3/T5 的唯一识别，反而等价类率保持为 1。第二，参数联合搜索在这个有界基线内虽提高了 strict accuracy，却把部分结构等价的情形变成非 tie 的唯一输出，使 false-unique 达到 0.470；它不是“自动打破物理等价”的算法改进。</w:t>
      </w:r>
    </w:p>
    <w:p>
      <w:pPr>
        <w:pStyle w:val="Heading2"/>
      </w:pPr>
      <w:r>
        <w:t xml:space="preserve">10.4 多视图结果的物理解释</w:t>
      </w:r>
    </w:p>
    <w:p>
      <w:pPr>
        <w:pStyle w:val="BodyText"/>
      </w:pPr>
      <w:r>
        <w:t xml:space="preserve">[历史结果] 同一 20 dB 名义条件下，dual_receiver_complete、dual_receiver_highz_complete、dual_receiver_counterfactual 和 three_view_complete 的 nominal-nearest strict 与 strict-unique 在当前模型中均为 1.000。该结果支持“额外视图能在当前候选与端接下增加可区分信息”的模型内结论。</w:t>
      </w:r>
    </w:p>
    <w:p>
      <w:pPr>
        <w:pStyle w:val="BodyText"/>
      </w:pPr>
      <w:r>
        <w:t xml:space="preserve">但不能把上述 1.000 写成现场性能：loaded/high-Z 接收机改变了节点并联负载，counterfactual 又不是硬件测量。多视图改善由独立观测维度与网络工作点改变共同形成，当前数据并未把两种因果贡献完全分离。</w:t>
      </w:r>
    </w:p>
    <w:p>
      <w:r>
        <w:br w:type="page"/>
      </w:r>
    </w:p>
    <w:p>
      <w:pPr>
        <w:pStyle w:val="Heading1"/>
      </w:pPr>
      <w:r>
        <w:t xml:space="preserve">11. 对导师四个问题的理论回答</w:t>
      </w:r>
    </w:p>
    <w:p>
      <w:pPr>
        <w:pStyle w:val="Heading2"/>
      </w:pPr>
      <w:r>
        <w:t xml:space="preserve">11.1 现有方法使用什么信号、观测量和算法？</w:t>
      </w:r>
    </w:p>
    <w:tbl>
      <w:tblPr>
        <w:tblW w:w="0" w:type="auto"/>
        <w:tblBorders>
          <w:top w:val="single" w:sz="4" w:color="A6A6A6"/>
          <w:left w:val="single" w:sz="4" w:color="A6A6A6"/>
          <w:bottom w:val="single" w:sz="4" w:color="A6A6A6"/>
          <w:right w:val="single" w:sz="4" w:color="A6A6A6"/>
          <w:insideH w:val="single" w:sz="4" w:color="D9D9D9"/>
          <w:insideV w:val="single" w:sz="4" w:color="D9D9D9"/>
        </w:tblBorders>
      </w:tblPr>
      <w:tr>
        <w:tc>
          <w:tcPr>
            <w:tcW w:w="2400" w:type="dxa"/>
          </w:tcPr>
          <w:p>
            <w:pPr>
              <w:pStyle w:val="TableText"/>
            </w:pPr>
            <w:r>
              <w:t xml:space="preserve">方法类别</w:t>
            </w:r>
          </w:p>
        </w:tc>
        <w:tc>
          <w:tcPr>
            <w:tcW w:w="2400" w:type="dxa"/>
          </w:tcPr>
          <w:p>
            <w:pPr>
              <w:pStyle w:val="TableText"/>
            </w:pPr>
            <w:r>
              <w:t xml:space="preserve">主动/被动</w:t>
            </w:r>
          </w:p>
        </w:tc>
        <w:tc>
          <w:tcPr>
            <w:tcW w:w="2400" w:type="dxa"/>
          </w:tcPr>
          <w:p>
            <w:pPr>
              <w:pStyle w:val="TableText"/>
            </w:pPr>
            <w:r>
              <w:t xml:space="preserve">典型输入</w:t>
            </w:r>
          </w:p>
        </w:tc>
        <w:tc>
          <w:tcPr>
            <w:tcW w:w="2400" w:type="dxa"/>
          </w:tcPr>
          <w:p>
            <w:pPr>
              <w:pStyle w:val="TableText"/>
            </w:pPr>
            <w:r>
              <w:t xml:space="preserve">特征与反演</w:t>
            </w:r>
          </w:p>
        </w:tc>
        <w:tc>
          <w:tcPr>
            <w:tcW w:w="2400" w:type="dxa"/>
          </w:tcPr>
          <w:p>
            <w:pPr>
              <w:pStyle w:val="TableText"/>
            </w:pPr>
            <w:r>
              <w:t xml:space="preserve">与本项目关系</w:t>
            </w:r>
          </w:p>
        </w:tc>
      </w:tr>
      <w:tr>
        <w:tc>
          <w:tcPr>
            <w:tcW w:w="2400" w:type="dxa"/>
          </w:tcPr>
          <w:p>
            <w:pPr>
              <w:pStyle w:val="TableText"/>
            </w:pPr>
            <w:r>
              <w:t xml:space="preserve">通信型 OFDM 估计</w:t>
            </w:r>
          </w:p>
        </w:tc>
        <w:tc>
          <w:tcPr>
            <w:tcW w:w="2400" w:type="dxa"/>
          </w:tcPr>
          <w:p>
            <w:pPr>
              <w:pStyle w:val="TableText"/>
            </w:pPr>
            <w:r>
              <w:t xml:space="preserve">主动</w:t>
            </w:r>
          </w:p>
        </w:tc>
        <w:tc>
          <w:tcPr>
            <w:tcW w:w="2400" w:type="dxa"/>
          </w:tcPr>
          <w:p>
            <w:pPr>
              <w:pStyle w:val="TableText"/>
            </w:pPr>
            <w:r>
              <w:t xml:space="preserve">前导、头部、导频</w:t>
            </w:r>
          </w:p>
        </w:tc>
        <w:tc>
          <w:tcPr>
            <w:tcW w:w="2400" w:type="dxa"/>
          </w:tcPr>
          <w:p>
            <w:pPr>
              <w:pStyle w:val="TableText"/>
            </w:pPr>
            <w:r>
              <w:t xml:space="preserve">LS/LMMSE/插值得到 CFR</w:t>
            </w:r>
          </w:p>
        </w:tc>
        <w:tc>
          <w:tcPr>
            <w:tcW w:w="2400" w:type="dxa"/>
          </w:tcPr>
          <w:p>
            <w:pPr>
              <w:pStyle w:val="TableText"/>
            </w:pPr>
            <w:r>
              <w:t xml:space="preserve">当前项目的基础观测入口</w:t>
            </w:r>
          </w:p>
        </w:tc>
      </w:tr>
      <w:tr>
        <w:tc>
          <w:tcPr>
            <w:tcW w:w="2400" w:type="dxa"/>
          </w:tcPr>
          <w:p>
            <w:pPr>
              <w:pStyle w:val="TableText"/>
            </w:pPr>
            <w:r>
              <w:t xml:space="preserve">端到端路径识别</w:t>
            </w:r>
          </w:p>
        </w:tc>
        <w:tc>
          <w:tcPr>
            <w:tcW w:w="2400" w:type="dxa"/>
          </w:tcPr>
          <w:p>
            <w:pPr>
              <w:pStyle w:val="TableText"/>
            </w:pPr>
            <w:r>
              <w:t xml:space="preserve">主动</w:t>
            </w:r>
          </w:p>
        </w:tc>
        <w:tc>
          <w:tcPr>
            <w:tcW w:w="2400" w:type="dxa"/>
          </w:tcPr>
          <w:p>
            <w:pPr>
              <w:pStyle w:val="TableText"/>
            </w:pPr>
            <w:r>
              <w:t xml:space="preserve">CTF/CFR</w:t>
            </w:r>
          </w:p>
        </w:tc>
        <w:tc>
          <w:tcPr>
            <w:tcW w:w="2400" w:type="dxa"/>
          </w:tcPr>
          <w:p>
            <w:pPr>
              <w:pStyle w:val="TableText"/>
            </w:pPr>
            <w:r>
              <w:t xml:space="preserve">CIR、路径幅度/时延、FDML/Matrix Pencil</w:t>
            </w:r>
          </w:p>
        </w:tc>
        <w:tc>
          <w:tcPr>
            <w:tcW w:w="2400" w:type="dxa"/>
          </w:tcPr>
          <w:p>
            <w:pPr>
              <w:pStyle w:val="TableText"/>
            </w:pPr>
            <w:r>
              <w:t xml:space="preserve">可作为路径特征，不等于完整树重建</w:t>
            </w:r>
          </w:p>
        </w:tc>
      </w:tr>
      <w:tr>
        <w:tc>
          <w:tcPr>
            <w:tcW w:w="2400" w:type="dxa"/>
          </w:tcPr>
          <w:p>
            <w:pPr>
              <w:pStyle w:val="TableText"/>
            </w:pPr>
            <w:r>
              <w:t xml:space="preserve">拓扑变化检测</w:t>
            </w:r>
          </w:p>
        </w:tc>
        <w:tc>
          <w:tcPr>
            <w:tcW w:w="2400" w:type="dxa"/>
          </w:tcPr>
          <w:p>
            <w:pPr>
              <w:pStyle w:val="TableText"/>
            </w:pPr>
            <w:r>
              <w:t xml:space="preserve">主动/分布式</w:t>
            </w:r>
          </w:p>
        </w:tc>
        <w:tc>
          <w:tcPr>
            <w:tcW w:w="2400" w:type="dxa"/>
          </w:tcPr>
          <w:p>
            <w:pPr>
              <w:pStyle w:val="TableText"/>
            </w:pPr>
            <w:r>
              <w:t xml:space="preserve">多次 CIR</w:t>
            </w:r>
          </w:p>
        </w:tc>
        <w:tc>
          <w:tcPr>
            <w:tcW w:w="2400" w:type="dxa"/>
          </w:tcPr>
          <w:p>
            <w:pPr>
              <w:pStyle w:val="TableText"/>
            </w:pPr>
            <w:r>
              <w:t xml:space="preserve">路径延时、量化标识、变化检测</w:t>
            </w:r>
          </w:p>
        </w:tc>
        <w:tc>
          <w:tcPr>
            <w:tcW w:w="2400" w:type="dxa"/>
          </w:tcPr>
          <w:p>
            <w:pPr>
              <w:pStyle w:val="TableText"/>
            </w:pPr>
            <w:r>
              <w:t xml:space="preserve">对应“变化”而非无先验全拓扑反演</w:t>
            </w:r>
          </w:p>
        </w:tc>
      </w:tr>
      <w:tr>
        <w:tc>
          <w:tcPr>
            <w:tcW w:w="2400" w:type="dxa"/>
          </w:tcPr>
          <w:p>
            <w:pPr>
              <w:pStyle w:val="TableText"/>
            </w:pPr>
            <w:r>
              <w:t xml:space="preserve">反射/输入阻抗</w:t>
            </w:r>
          </w:p>
        </w:tc>
        <w:tc>
          <w:tcPr>
            <w:tcW w:w="2400" w:type="dxa"/>
          </w:tcPr>
          <w:p>
            <w:pPr>
              <w:pStyle w:val="TableText"/>
            </w:pPr>
            <w:r>
              <w:t xml:space="preserve">主动、同端</w:t>
            </w:r>
          </w:p>
        </w:tc>
        <w:tc>
          <w:tcPr>
            <w:tcW w:w="2400" w:type="dxa"/>
          </w:tcPr>
          <w:p>
            <w:pPr>
              <w:pStyle w:val="TableText"/>
            </w:pPr>
            <w:r>
              <w:t xml:space="preserve">$Z_{\mathrm{PL}}$、$\rho$、FDR</w:t>
            </w:r>
          </w:p>
        </w:tc>
        <w:tc>
          <w:tcPr>
            <w:tcW w:w="2400" w:type="dxa"/>
          </w:tcPr>
          <w:p>
            <w:pPr>
              <w:pStyle w:val="TableText"/>
            </w:pPr>
            <w:r>
              <w:t xml:space="preserve">IFT 峰、反射距离、阻抗不连续</w:t>
            </w:r>
          </w:p>
        </w:tc>
        <w:tc>
          <w:tcPr>
            <w:tcW w:w="2400" w:type="dxa"/>
          </w:tcPr>
          <w:p>
            <w:pPr>
              <w:pStyle w:val="TableText"/>
            </w:pPr>
            <w:r>
              <w:t xml:space="preserve">需要额外同端测量/耦合器假设</w:t>
            </w:r>
          </w:p>
        </w:tc>
      </w:tr>
      <w:tr>
        <w:tc>
          <w:tcPr>
            <w:tcW w:w="2400" w:type="dxa"/>
          </w:tcPr>
          <w:p>
            <w:pPr>
              <w:pStyle w:val="TableText"/>
            </w:pPr>
            <w:r>
              <w:t xml:space="preserve">节点导纳拓扑反演</w:t>
            </w:r>
          </w:p>
        </w:tc>
        <w:tc>
          <w:tcPr>
            <w:tcW w:w="2400" w:type="dxa"/>
          </w:tcPr>
          <w:p>
            <w:pPr>
              <w:pStyle w:val="TableText"/>
            </w:pPr>
            <w:r>
              <w:t xml:space="preserve">主动或电气测量</w:t>
            </w:r>
          </w:p>
        </w:tc>
        <w:tc>
          <w:tcPr>
            <w:tcW w:w="2400" w:type="dxa"/>
          </w:tcPr>
          <w:p>
            <w:pPr>
              <w:pStyle w:val="TableText"/>
            </w:pPr>
            <w:r>
              <w:t xml:space="preserve">节点电压、电流、导纳</w:t>
            </w:r>
          </w:p>
        </w:tc>
        <w:tc>
          <w:tcPr>
            <w:tcW w:w="2400" w:type="dxa"/>
          </w:tcPr>
          <w:p>
            <w:pPr>
              <w:pStyle w:val="TableText"/>
            </w:pPr>
            <w:r>
              <w:t xml:space="preserve">carry-back、ANIT、TLS</w:t>
            </w:r>
          </w:p>
        </w:tc>
        <w:tc>
          <w:tcPr>
            <w:tcW w:w="2400" w:type="dxa"/>
          </w:tcPr>
          <w:p>
            <w:pPr>
              <w:pStyle w:val="TableText"/>
            </w:pPr>
            <w:r>
              <w:t xml:space="preserve">当前端到端 CFR 模型尚未具备此输入</w:t>
            </w:r>
          </w:p>
        </w:tc>
      </w:tr>
      <w:tr>
        <w:tc>
          <w:tcPr>
            <w:tcW w:w="2400" w:type="dxa"/>
          </w:tcPr>
          <w:p>
            <w:pPr>
              <w:pStyle w:val="TableText"/>
            </w:pPr>
            <w:r>
              <w:t xml:space="preserve">被动电气量方法</w:t>
            </w:r>
          </w:p>
        </w:tc>
        <w:tc>
          <w:tcPr>
            <w:tcW w:w="2400" w:type="dxa"/>
          </w:tcPr>
          <w:p>
            <w:pPr>
              <w:pStyle w:val="TableText"/>
            </w:pPr>
            <w:r>
              <w:t xml:space="preserve">被动</w:t>
            </w:r>
          </w:p>
        </w:tc>
        <w:tc>
          <w:tcPr>
            <w:tcW w:w="2400" w:type="dxa"/>
          </w:tcPr>
          <w:p>
            <w:pPr>
              <w:pStyle w:val="TableText"/>
            </w:pPr>
            <w:r>
              <w:t xml:space="preserve">电压、电流、功率、谐波、表计数据</w:t>
            </w:r>
          </w:p>
        </w:tc>
        <w:tc>
          <w:tcPr>
            <w:tcW w:w="2400" w:type="dxa"/>
          </w:tcPr>
          <w:p>
            <w:pPr>
              <w:pStyle w:val="TableText"/>
            </w:pPr>
            <w:r>
              <w:t xml:space="preserve">KCL/KVL、相关性、优化</w:t>
            </w:r>
          </w:p>
        </w:tc>
        <w:tc>
          <w:tcPr>
            <w:tcW w:w="2400" w:type="dxa"/>
          </w:tcPr>
          <w:p>
            <w:pPr>
              <w:pStyle w:val="TableText"/>
            </w:pPr>
            <w:r>
              <w:t xml:space="preserve">与 PLC 主动探测不同，未在本项目复现</w:t>
            </w:r>
          </w:p>
        </w:tc>
      </w:tr>
    </w:tbl>
    <w:p>
      <w:pPr>
        <w:pStyle w:val="Heading2"/>
      </w:pPr>
      <w:r>
        <w:t xml:space="preserve">11.2 现有通信型 OFDM 能否直接用于拓扑感知？</w:t>
      </w:r>
    </w:p>
    <w:p>
      <w:pPr>
        <w:pStyle w:val="BodyText"/>
      </w:pPr>
      <w:r>
        <w:t xml:space="preserve">可以作为 $H_{rt}$ 的测量手段，前提是：有效子载波与导频已知且非零；端口、端接和耦合参考面固定；同步/采样误差可建模或校准；负载和线路参数扰动纳入 $\theta$；识别输出允许是观测等价类。它不能在没有这些条件时自动成为完整拓扑识别系统。</w:t>
      </w:r>
    </w:p>
    <w:p>
      <w:pPr>
        <w:pStyle w:val="Heading2"/>
      </w:pPr>
      <w:r>
        <w:t xml:space="preserve">11.3 如果不足，应先改什么？</w:t>
      </w:r>
    </w:p>
    <w:p>
      <w:pPr>
        <w:pStyle w:val="BodyText"/>
      </w:pPr>
      <w:r>
        <w:t xml:space="preserve">[模型推断] 现有 SISO 对称等价的首要限制是观测协议，而非已经被证实的导频密度不足。应先确认可用端口、方向、接收节点、端接和耦合器；在物理观测固定后，再以相同候选拓扑、相同扰动、相同有效频点数、总能量与观测时间比较导频位置、密度、带宽和功率。只有此时仍显示类间差异主要受频率资源限制，才应进入 OFDM 感知波形优化。</w:t>
      </w:r>
    </w:p>
    <w:p>
      <w:pPr>
        <w:pStyle w:val="Heading2"/>
      </w:pPr>
      <w:r>
        <w:t xml:space="preserve">11.4 拓扑、负载和接地点阻抗变化如何体现在 PLC 响应中？</w:t>
      </w:r>
    </w:p>
    <w:p>
      <w:pPr>
        <w:pStyle w:val="BodyText"/>
      </w:pPr>
      <w:r>
        <w:t xml:space="preserve">拓扑改变 $G$，从而改变支路连接、传播路径与节点并联关系；负载、接地点阻抗或线路退化主要改变 $\theta$，通过式 (5)、(8) 或 (11) 改变失配、反射、峰谷和相位。端到端 CFR、循环 CIR/路径代理、同端 $Z_{\mathrm{PL}}/\rho/$FDR 与多节点导纳提供互补视图，但只有在实际仪器能测量相应量时才能联合使用。没有多视图一致性和参数基线时，负载变化可能被误判为拓扑变化。</w:t>
      </w:r>
    </w:p>
    <w:p>
      <w:r>
        <w:br w:type="page"/>
      </w:r>
    </w:p>
    <w:p>
      <w:pPr>
        <w:pStyle w:val="Heading1"/>
      </w:pPr>
      <w:r>
        <w:t xml:space="preserve">12. 宽窄带研究边界与阶段门控</w:t>
      </w:r>
    </w:p>
    <w:p>
      <w:pPr>
        <w:pStyle w:val="BodyText"/>
      </w:pPr>
      <w:r>
        <w:t xml:space="preserve">当前 stage3_band_configs.m 仅提供设计层配置：</w:t>
      </w:r>
    </w:p>
    <w:p>
      <w:pPr>
        <w:pStyle w:val="ListBullet"/>
      </w:pPr>
      <w:r>
        <w:t xml:space="preserve">• NB 的 $42$–$472\,\mathrm{kHz}$ 是候选研究频带，真实 PHY、$F_s$、FFT、CP、有效子载波、导频与 PSD 均未冻结；配置故意保持不可运行。</w:t>
      </w:r>
    </w:p>
    <w:p>
      <w:pPr>
        <w:pStyle w:val="ListBullet"/>
      </w:pPr>
      <w:r>
        <w:t xml:space="preserve">• BB 的 $2$–$30\,\mathrm{MHz}$、$F_s=64\,\mathrm{MHz}$、$N_{\mathrm{FFT}}=4096$、CP=256 是项目仿真假设，不是 G.hn、HomePlug AV2、IEEE P1901 或其他标准参数宣称。</w:t>
      </w:r>
    </w:p>
    <w:p>
      <w:pPr>
        <w:pStyle w:val="ListBullet"/>
      </w:pPr>
      <w:r>
        <w:t xml:space="preserve">• $30$–$86\,\mathrm{MHz}$ 扩展尚未进行，当前 RLGC、耦合器、PSD 和户外衰减不能直接外推。</w:t>
      </w:r>
    </w:p>
    <w:p>
      <w:pPr>
        <w:pStyle w:val="BodyText"/>
      </w:pPr>
      <w:r>
        <w:t xml:space="preserve">进入 Level-A 宽窄带理想 CFR 公平比较前，至少需要导师确认：</w:t>
      </w:r>
    </w:p>
    <w:p>
      <w:pPr>
        <w:pStyle w:val="ListNumber"/>
      </w:pPr>
      <w:r>
        <w:t xml:space="preserve">1. 目标 NB PHY 或至少采样率/FFT/有效频点/CP/PSD 的可审计假设；</w:t>
      </w:r>
    </w:p>
    <w:p>
      <w:pPr>
        <w:pStyle w:val="ListNumber"/>
      </w:pPr>
      <w:r>
        <w:t xml:space="preserve">2. 目标 BB 频带及耦合器、端接和 RLGC 参数的有效范围；</w:t>
      </w:r>
    </w:p>
    <w:p>
      <w:pPr>
        <w:pStyle w:val="ListNumber"/>
      </w:pPr>
      <w:r>
        <w:t xml:space="preserve">3. 实际可用观测方式：仅 SISO，还是允许双向、额外接收节点、输入阻抗或反射量测。</w:t>
      </w:r>
    </w:p>
    <w:p>
      <w:pPr>
        <w:pStyle w:val="BodyText"/>
      </w:pPr>
      <w:r>
        <w:t xml:space="preserve">在这些条件明确之前，不启动阶段 3B 的导频、子载波、功率或带宽优化。</w:t>
      </w:r>
    </w:p>
    <w:p>
      <w:r>
        <w:br w:type="page"/>
      </w:r>
    </w:p>
    <w:p>
      <w:pPr>
        <w:pStyle w:val="Heading1"/>
      </w:pPr>
      <w:r>
        <w:t xml:space="preserve">13. 结论、证据分级与待验证事项</w:t>
      </w:r>
    </w:p>
    <w:p>
      <w:pPr>
        <w:pStyle w:val="Heading2"/>
      </w:pPr>
      <w:r>
        <w:t xml:space="preserve">13.1 已由代码或历史测试支持的结论</w:t>
      </w:r>
    </w:p>
    <w:p>
      <w:pPr>
        <w:pStyle w:val="ListNumber"/>
      </w:pPr>
      <w:r>
        <w:t xml:space="preserve">1. RLGC—ABCD—支路回推—稳定递推—完整节点导纳的接口已形成一致的正向模型；严格正频率、开路/短路、零长度与端口归一化条件有显式边界检查。[代码核对/历史测试]</w:t>
      </w:r>
    </w:p>
    <w:p>
      <w:pPr>
        <w:pStyle w:val="ListNumber"/>
      </w:pPr>
      <w:r>
        <w:t xml:space="preserve">2. 当前 sampled-CFR 模型中，频域乘法与显式循环卷积在双精度下数值一致，最大差约 $3.72\times10^{-16}$。[历史结果]</w:t>
      </w:r>
    </w:p>
    <w:p>
      <w:pPr>
        <w:pStyle w:val="ListNumber"/>
      </w:pPr>
      <w:r>
        <w:t xml:space="preserve">3. 当前单边带限 IFFT 仅产生循环带限 CIR，stage3a_toa_feature.m 输出 circular-delay proxy，而非真实 ToA。[代码核对]</w:t>
      </w:r>
    </w:p>
    <w:p>
      <w:pPr>
        <w:pStyle w:val="ListNumber"/>
      </w:pPr>
      <w:r>
        <w:t xml:space="preserve">4. 当前对称端到端 SISO 下，T3/T5 应按结构等价类报告；通信层 CFR NMSE 不能替代拓扑唯一识别指标。[代码核对/历史结果]</w:t>
      </w:r>
    </w:p>
    <w:p>
      <w:pPr>
        <w:pStyle w:val="ListNumber"/>
      </w:pPr>
      <w:r>
        <w:t xml:space="preserve">5. 完整网络多视图在当前候选和端接下提高了模型内可分性，但 loaded 接收机对网络的扰动必须保留在结果解释中。[代码核对/历史结果]</w:t>
      </w:r>
    </w:p>
    <w:p>
      <w:pPr>
        <w:pStyle w:val="Heading2"/>
      </w:pPr>
      <w:r>
        <w:t xml:space="preserve">13.2 根据模型得到但尚待验证的推断</w:t>
      </w:r>
    </w:p>
    <w:p>
      <w:pPr>
        <w:pStyle w:val="ListNumber"/>
      </w:pPr>
      <w:r>
        <w:t xml:space="preserve">1. 在端口、端接和参数范围固定后，额外独立观测视图通常比仅更换分类规则更有希望打破镜像 SISO 等价。</w:t>
      </w:r>
    </w:p>
    <w:p>
      <w:pPr>
        <w:pStyle w:val="ListNumber"/>
      </w:pPr>
      <w:r>
        <w:t xml:space="preserve">2. 参数自由度扩张可能降低数值 tie，同时因模板过拟合而提高 false-unique，故需要独立校准/测试划分和参数边界审计。</w:t>
      </w:r>
    </w:p>
    <w:p>
      <w:pPr>
        <w:pStyle w:val="ListNumber"/>
      </w:pPr>
      <w:r>
        <w:t xml:space="preserve">3. 宽带可能改善近似路径分辨率与类间距离，但对严格 $H_O$ 相等的 SISO 等价不构成必然消除机制。</w:t>
      </w:r>
    </w:p>
    <w:p>
      <w:pPr>
        <w:pStyle w:val="Heading2"/>
      </w:pPr>
      <w:r>
        <w:t xml:space="preserve">13.3 待实验、标准或导师确认的问题</w:t>
      </w:r>
    </w:p>
    <w:p>
      <w:pPr>
        <w:pStyle w:val="ListBullet"/>
      </w:pPr>
      <w:r>
        <w:t xml:space="preserve">• 真实 NB/BB-PLC PHY、有效子载波、导频、CP、PSD notch 和发射总能量；</w:t>
      </w:r>
    </w:p>
    <w:p>
      <w:pPr>
        <w:pStyle w:val="ListBullet"/>
      </w:pPr>
      <w:r>
        <w:t xml:space="preserve">• 真实耦合器、端口参考面、端接条件及内部接收机输入阻抗；</w:t>
      </w:r>
    </w:p>
    <w:p>
      <w:pPr>
        <w:pStyle w:val="ListBullet"/>
      </w:pPr>
      <w:r>
        <w:t xml:space="preserve">• 真实有色、脉冲、周期和非平稳市电噪声，及同步/CFO/SCO 的实际统计分布；</w:t>
      </w:r>
    </w:p>
    <w:p>
      <w:pPr>
        <w:pStyle w:val="ListBullet"/>
      </w:pPr>
      <w:r>
        <w:t xml:space="preserve">• 具有物理时间原点、负频率一致性和因果性的时域信道模型；</w:t>
      </w:r>
    </w:p>
    <w:p>
      <w:pPr>
        <w:pStyle w:val="ListBullet"/>
      </w:pPr>
      <w:r>
        <w:t xml:space="preserve">• 多导体/MIMO-PLC、FDR/TFDR 实际仪器模型、节点导纳量测；</w:t>
      </w:r>
    </w:p>
    <w:p>
      <w:pPr>
        <w:pStyle w:val="ListBullet"/>
      </w:pPr>
      <w:r>
        <w:t xml:space="preserve">• 接地故障定位和现场拓扑变化实验。</w:t>
      </w:r>
    </w:p>
    <w:p>
      <w:r>
        <w:br w:type="page"/>
      </w:r>
    </w:p>
    <w:p>
      <w:pPr>
        <w:pStyle w:val="Heading1"/>
      </w:pPr>
      <w:r>
        <w:t xml:space="preserve">附录 A：理论公式—代码映射</w:t>
      </w:r>
    </w:p>
    <w:tbl>
      <w:tblPr>
        <w:tblW w:w="0" w:type="auto"/>
        <w:tblBorders>
          <w:top w:val="single" w:sz="4" w:color="A6A6A6"/>
          <w:left w:val="single" w:sz="4" w:color="A6A6A6"/>
          <w:bottom w:val="single" w:sz="4" w:color="A6A6A6"/>
          <w:right w:val="single" w:sz="4" w:color="A6A6A6"/>
          <w:insideH w:val="single" w:sz="4" w:color="D9D9D9"/>
          <w:insideV w:val="single" w:sz="4" w:color="D9D9D9"/>
        </w:tblBorders>
      </w:tblPr>
      <w:tr>
        <w:tc>
          <w:tcPr>
            <w:tcW w:w="2400" w:type="dxa"/>
          </w:tcPr>
          <w:p>
            <w:pPr>
              <w:pStyle w:val="TableText"/>
            </w:pPr>
            <w:r>
              <w:t xml:space="preserve">理论对象</w:t>
            </w:r>
          </w:p>
        </w:tc>
        <w:tc>
          <w:tcPr>
            <w:tcW w:w="2400" w:type="dxa"/>
          </w:tcPr>
          <w:p>
            <w:pPr>
              <w:pStyle w:val="TableText"/>
            </w:pPr>
            <w:r>
              <w:t xml:space="preserve">关键公式/操作</w:t>
            </w:r>
          </w:p>
        </w:tc>
        <w:tc>
          <w:tcPr>
            <w:tcW w:w="2400" w:type="dxa"/>
          </w:tcPr>
          <w:p>
            <w:pPr>
              <w:pStyle w:val="TableText"/>
            </w:pPr>
            <w:r>
              <w:t xml:space="preserve">主要实现</w:t>
            </w:r>
          </w:p>
        </w:tc>
        <w:tc>
          <w:tcPr>
            <w:tcW w:w="2400" w:type="dxa"/>
          </w:tcPr>
          <w:p>
            <w:pPr>
              <w:pStyle w:val="TableText"/>
            </w:pPr>
            <w:r>
              <w:t xml:space="preserve">验证状态与局限</w:t>
            </w:r>
          </w:p>
        </w:tc>
      </w:tr>
      <w:tr>
        <w:tc>
          <w:tcPr>
            <w:tcW w:w="2400" w:type="dxa"/>
          </w:tcPr>
          <w:p>
            <w:pPr>
              <w:pStyle w:val="TableText"/>
            </w:pPr>
            <w:r>
              <w:t xml:space="preserve">频率相关 RLGC</w:t>
            </w:r>
          </w:p>
        </w:tc>
        <w:tc>
          <w:tcPr>
            <w:tcW w:w="2400" w:type="dxa"/>
          </w:tcPr>
          <w:p>
            <w:pPr>
              <w:pStyle w:val="TableText"/>
            </w:pPr>
            <w:r>
              <w:t xml:space="preserve">式 (1)–(2)</w:t>
            </w:r>
          </w:p>
        </w:tc>
        <w:tc>
          <w:tcPr>
            <w:tcW w:w="2400" w:type="dxa"/>
          </w:tcPr>
          <w:p>
            <w:pPr>
              <w:pStyle w:val="TableText"/>
            </w:pPr>
            <w:r>
              <w:t xml:space="preserve">src/cable_rlgc.m</w:t>
            </w:r>
          </w:p>
        </w:tc>
        <w:tc>
          <w:tcPr>
            <w:tcW w:w="2400" w:type="dxa"/>
          </w:tcPr>
          <w:p>
            <w:pPr>
              <w:pStyle w:val="TableText"/>
            </w:pPr>
            <w:r>
              <w:t xml:space="preserve">正频率输入；经验损耗参数需限制外推</w:t>
            </w:r>
          </w:p>
        </w:tc>
      </w:tr>
      <w:tr>
        <w:tc>
          <w:tcPr>
            <w:tcW w:w="2400" w:type="dxa"/>
          </w:tcPr>
          <w:p>
            <w:pPr>
              <w:pStyle w:val="TableText"/>
            </w:pPr>
            <w:r>
              <w:t xml:space="preserve">线路 ABCD</w:t>
            </w:r>
          </w:p>
        </w:tc>
        <w:tc>
          <w:tcPr>
            <w:tcW w:w="2400" w:type="dxa"/>
          </w:tcPr>
          <w:p>
            <w:pPr>
              <w:pStyle w:val="TableText"/>
            </w:pPr>
            <w:r>
              <w:t xml:space="preserve">式 (3)–(4)</w:t>
            </w:r>
          </w:p>
        </w:tc>
        <w:tc>
          <w:tcPr>
            <w:tcW w:w="2400" w:type="dxa"/>
          </w:tcPr>
          <w:p>
            <w:pPr>
              <w:pStyle w:val="TableText"/>
            </w:pPr>
            <w:r>
              <w:t xml:space="preserve">src/transmission_line_abcd.m</w:t>
            </w:r>
          </w:p>
        </w:tc>
        <w:tc>
          <w:tcPr>
            <w:tcW w:w="2400" w:type="dxa"/>
          </w:tcPr>
          <w:p>
            <w:pPr>
              <w:pStyle w:val="TableText"/>
            </w:pPr>
            <w:r>
              <w:t xml:space="preserve">端口/电流方向固定；长线直接法可能病态</w:t>
            </w:r>
          </w:p>
        </w:tc>
      </w:tr>
      <w:tr>
        <w:tc>
          <w:tcPr>
            <w:tcW w:w="2400" w:type="dxa"/>
          </w:tcPr>
          <w:p>
            <w:pPr>
              <w:pStyle w:val="TableText"/>
            </w:pPr>
            <w:r>
              <w:t xml:space="preserve">支路输入阻抗</w:t>
            </w:r>
          </w:p>
        </w:tc>
        <w:tc>
          <w:tcPr>
            <w:tcW w:w="2400" w:type="dxa"/>
          </w:tcPr>
          <w:p>
            <w:pPr>
              <w:pStyle w:val="TableText"/>
            </w:pPr>
            <w:r>
              <w:t xml:space="preserve">式 (5)–(6)</w:t>
            </w:r>
          </w:p>
        </w:tc>
        <w:tc>
          <w:tcPr>
            <w:tcW w:w="2400" w:type="dxa"/>
          </w:tcPr>
          <w:p>
            <w:pPr>
              <w:pStyle w:val="TableText"/>
            </w:pPr>
            <w:r>
              <w:t xml:space="preserve">src/branch_input_impedance.m</w:t>
            </w:r>
          </w:p>
        </w:tc>
        <w:tc>
          <w:tcPr>
            <w:tcW w:w="2400" w:type="dxa"/>
          </w:tcPr>
          <w:p>
            <w:pPr>
              <w:pStyle w:val="TableText"/>
            </w:pPr>
            <w:r>
              <w:t xml:space="preserve">支持标量/向量、开短路、零长度</w:t>
            </w:r>
          </w:p>
        </w:tc>
      </w:tr>
      <w:tr>
        <w:tc>
          <w:tcPr>
            <w:tcW w:w="2400" w:type="dxa"/>
          </w:tcPr>
          <w:p>
            <w:pPr>
              <w:pStyle w:val="TableText"/>
            </w:pPr>
            <w:r>
              <w:t xml:space="preserve">并联支路</w:t>
            </w:r>
          </w:p>
        </w:tc>
        <w:tc>
          <w:tcPr>
            <w:tcW w:w="2400" w:type="dxa"/>
          </w:tcPr>
          <w:p>
            <w:pPr>
              <w:pStyle w:val="TableText"/>
            </w:pPr>
            <w:r>
              <w:t xml:space="preserve">式 (7)</w:t>
            </w:r>
          </w:p>
        </w:tc>
        <w:tc>
          <w:tcPr>
            <w:tcW w:w="2400" w:type="dxa"/>
          </w:tcPr>
          <w:p>
            <w:pPr>
              <w:pStyle w:val="TableText"/>
            </w:pPr>
            <w:r>
              <w:t xml:space="preserve">src/shunt_abcd.m</w:t>
            </w:r>
          </w:p>
        </w:tc>
        <w:tc>
          <w:tcPr>
            <w:tcW w:w="2400" w:type="dxa"/>
          </w:tcPr>
          <w:p>
            <w:pPr>
              <w:pStyle w:val="TableText"/>
            </w:pPr>
            <w:r>
              <w:t xml:space="preserve">零欧姆有限 ABCD 奇异被拒绝</w:t>
            </w:r>
          </w:p>
        </w:tc>
      </w:tr>
      <w:tr>
        <w:tc>
          <w:tcPr>
            <w:tcW w:w="2400" w:type="dxa"/>
          </w:tcPr>
          <w:p>
            <w:pPr>
              <w:pStyle w:val="TableText"/>
            </w:pPr>
            <w:r>
              <w:t xml:space="preserve">端到端传递</w:t>
            </w:r>
          </w:p>
        </w:tc>
        <w:tc>
          <w:tcPr>
            <w:tcW w:w="2400" w:type="dxa"/>
          </w:tcPr>
          <w:p>
            <w:pPr>
              <w:pStyle w:val="TableText"/>
            </w:pPr>
            <w:r>
              <w:t xml:space="preserve">式 (8)–(10)</w:t>
            </w:r>
          </w:p>
        </w:tc>
        <w:tc>
          <w:tcPr>
            <w:tcW w:w="2400" w:type="dxa"/>
          </w:tcPr>
          <w:p>
            <w:pPr>
              <w:pStyle w:val="TableText"/>
            </w:pPr>
            <w:r>
              <w:t xml:space="preserve">src/abcd_to_transfer.m</w:t>
            </w:r>
          </w:p>
        </w:tc>
        <w:tc>
          <w:tcPr>
            <w:tcW w:w="2400" w:type="dxa"/>
          </w:tcPr>
          <w:p>
            <w:pPr>
              <w:pStyle w:val="TableText"/>
            </w:pPr>
            <w:r>
              <w:t xml:space="preserve">$2H_V$ 仅限 50/50 $\Omega$</w:t>
            </w:r>
          </w:p>
        </w:tc>
      </w:tr>
      <w:tr>
        <w:tc>
          <w:tcPr>
            <w:tcW w:w="2400" w:type="dxa"/>
          </w:tcPr>
          <w:p>
            <w:pPr>
              <w:pStyle w:val="TableText"/>
            </w:pPr>
            <w:r>
              <w:t xml:space="preserve">稳定递推</w:t>
            </w:r>
          </w:p>
        </w:tc>
        <w:tc>
          <w:tcPr>
            <w:tcW w:w="2400" w:type="dxa"/>
          </w:tcPr>
          <w:p>
            <w:pPr>
              <w:pStyle w:val="TableText"/>
            </w:pPr>
            <w:r>
              <w:t xml:space="preserve">下游阻抗反推与电压比</w:t>
            </w:r>
          </w:p>
        </w:tc>
        <w:tc>
          <w:tcPr>
            <w:tcW w:w="2400" w:type="dxa"/>
          </w:tcPr>
          <w:p>
            <w:pPr>
              <w:pStyle w:val="TableText"/>
            </w:pPr>
            <w:r>
              <w:t xml:space="preserve">src/cascade_network_stable.m、terminated_line_response.m</w:t>
            </w:r>
          </w:p>
        </w:tc>
        <w:tc>
          <w:tcPr>
            <w:tcW w:w="2400" w:type="dxa"/>
          </w:tcPr>
          <w:p>
            <w:pPr>
              <w:pStyle w:val="TableText"/>
            </w:pPr>
            <w:r>
              <w:t xml:space="preserve">用于避免长线双曲函数消减误差</w:t>
            </w:r>
          </w:p>
        </w:tc>
      </w:tr>
      <w:tr>
        <w:tc>
          <w:tcPr>
            <w:tcW w:w="2400" w:type="dxa"/>
          </w:tcPr>
          <w:p>
            <w:pPr>
              <w:pStyle w:val="TableText"/>
            </w:pPr>
            <w:r>
              <w:t xml:space="preserve">完整多节点网络</w:t>
            </w:r>
          </w:p>
        </w:tc>
        <w:tc>
          <w:tcPr>
            <w:tcW w:w="2400" w:type="dxa"/>
          </w:tcPr>
          <w:p>
            <w:pPr>
              <w:pStyle w:val="TableText"/>
            </w:pPr>
            <w:r>
              <w:t xml:space="preserve">式 (11)</w:t>
            </w:r>
          </w:p>
        </w:tc>
        <w:tc>
          <w:tcPr>
            <w:tcW w:w="2400" w:type="dxa"/>
          </w:tcPr>
          <w:p>
            <w:pPr>
              <w:pStyle w:val="TableText"/>
            </w:pPr>
            <w:r>
              <w:t xml:space="preserve">src/plc_full_network_response.m</w:t>
            </w:r>
          </w:p>
        </w:tc>
        <w:tc>
          <w:tcPr>
            <w:tcW w:w="2400" w:type="dxa"/>
          </w:tcPr>
          <w:p>
            <w:pPr>
              <w:pStyle w:val="TableText"/>
            </w:pPr>
            <w:r>
              <w:t xml:space="preserve">接收机负载会改变网络工作点</w:t>
            </w:r>
          </w:p>
        </w:tc>
      </w:tr>
      <w:tr>
        <w:tc>
          <w:tcPr>
            <w:tcW w:w="2400" w:type="dxa"/>
          </w:tcPr>
          <w:p>
            <w:pPr>
              <w:pStyle w:val="TableText"/>
            </w:pPr>
            <w:r>
              <w:t xml:space="preserve">OFDM 导频/LS</w:t>
            </w:r>
          </w:p>
        </w:tc>
        <w:tc>
          <w:tcPr>
            <w:tcW w:w="2400" w:type="dxa"/>
          </w:tcPr>
          <w:p>
            <w:pPr>
              <w:pStyle w:val="TableText"/>
            </w:pPr>
            <w:r>
              <w:t xml:space="preserve">式 (12)–(13)</w:t>
            </w:r>
          </w:p>
        </w:tc>
        <w:tc>
          <w:tcPr>
            <w:tcW w:w="2400" w:type="dxa"/>
          </w:tcPr>
          <w:p>
            <w:pPr>
              <w:pStyle w:val="TableText"/>
            </w:pPr>
            <w:r>
              <w:t xml:space="preserve">src/ofdm_config.m、src/stage3a_receive_ofdm.m</w:t>
            </w:r>
          </w:p>
        </w:tc>
        <w:tc>
          <w:tcPr>
            <w:tcW w:w="2400" w:type="dxa"/>
          </w:tcPr>
          <w:p>
            <w:pPr>
              <w:pStyle w:val="TableText"/>
            </w:pPr>
            <w:r>
              <w:t xml:space="preserve">当前为等效模型，不是完整商用 PHY</w:t>
            </w:r>
          </w:p>
        </w:tc>
      </w:tr>
      <w:tr>
        <w:tc>
          <w:tcPr>
            <w:tcW w:w="2400" w:type="dxa"/>
          </w:tcPr>
          <w:p>
            <w:pPr>
              <w:pStyle w:val="TableText"/>
            </w:pPr>
            <w:r>
              <w:t xml:space="preserve">循环/线性审计</w:t>
            </w:r>
          </w:p>
        </w:tc>
        <w:tc>
          <w:tcPr>
            <w:tcW w:w="2400" w:type="dxa"/>
          </w:tcPr>
          <w:p>
            <w:pPr>
              <w:pStyle w:val="TableText"/>
            </w:pPr>
            <w:r>
              <w:t xml:space="preserve">式 (14)–(15)</w:t>
            </w:r>
          </w:p>
        </w:tc>
        <w:tc>
          <w:tcPr>
            <w:tcW w:w="2400" w:type="dxa"/>
          </w:tcPr>
          <w:p>
            <w:pPr>
              <w:pStyle w:val="TableText"/>
            </w:pPr>
            <w:r>
              <w:t xml:space="preserve">src/stage3a_apply_ofdm_channel.m、stage3a_explicit_*</w:t>
            </w:r>
          </w:p>
        </w:tc>
        <w:tc>
          <w:tcPr>
            <w:tcW w:w="2400" w:type="dxa"/>
          </w:tcPr>
          <w:p>
            <w:pPr>
              <w:pStyle w:val="TableText"/>
            </w:pPr>
            <w:r>
              <w:t xml:space="preserve">sampled CFR 不等于物理因果 CIR</w:t>
            </w:r>
          </w:p>
        </w:tc>
      </w:tr>
      <w:tr>
        <w:tc>
          <w:tcPr>
            <w:tcW w:w="2400" w:type="dxa"/>
          </w:tcPr>
          <w:p>
            <w:pPr>
              <w:pStyle w:val="TableText"/>
            </w:pPr>
            <w:r>
              <w:t xml:space="preserve">CP 诊断</w:t>
            </w:r>
          </w:p>
        </w:tc>
        <w:tc>
          <w:tcPr>
            <w:tcW w:w="2400" w:type="dxa"/>
          </w:tcPr>
          <w:p>
            <w:pPr>
              <w:pStyle w:val="TableText"/>
            </w:pPr>
            <w:r>
              <w:t xml:space="preserve">峰值旋转后的阈值/能量支撑</w:t>
            </w:r>
          </w:p>
        </w:tc>
        <w:tc>
          <w:tcPr>
            <w:tcW w:w="2400" w:type="dxa"/>
          </w:tcPr>
          <w:p>
            <w:pPr>
              <w:pStyle w:val="TableText"/>
            </w:pPr>
            <w:r>
              <w:t xml:space="preserve">src/stage3a_cp_coverage.m</w:t>
            </w:r>
          </w:p>
        </w:tc>
        <w:tc>
          <w:tcPr>
            <w:tcW w:w="2400" w:type="dxa"/>
          </w:tcPr>
          <w:p>
            <w:pPr>
              <w:pStyle w:val="TableText"/>
            </w:pPr>
            <w:r>
              <w:t xml:space="preserve">不是物理 CP 设计保证</w:t>
            </w:r>
          </w:p>
        </w:tc>
      </w:tr>
      <w:tr>
        <w:tc>
          <w:tcPr>
            <w:tcW w:w="2400" w:type="dxa"/>
          </w:tcPr>
          <w:p>
            <w:pPr>
              <w:pStyle w:val="TableText"/>
            </w:pPr>
            <w:r>
              <w:t xml:space="preserve">循环时延代理</w:t>
            </w:r>
          </w:p>
        </w:tc>
        <w:tc>
          <w:tcPr>
            <w:tcW w:w="2400" w:type="dxa"/>
          </w:tcPr>
          <w:p>
            <w:pPr>
              <w:pStyle w:val="TableText"/>
            </w:pPr>
            <w:r>
              <w:t xml:space="preserve">CIR 最大峰位置</w:t>
            </w:r>
          </w:p>
        </w:tc>
        <w:tc>
          <w:tcPr>
            <w:tcW w:w="2400" w:type="dxa"/>
          </w:tcPr>
          <w:p>
            <w:pPr>
              <w:pStyle w:val="TableText"/>
            </w:pPr>
            <w:r>
              <w:t xml:space="preserve">src/stage3a_toa_feature.m</w:t>
            </w:r>
          </w:p>
        </w:tc>
        <w:tc>
          <w:tcPr>
            <w:tcW w:w="2400" w:type="dxa"/>
          </w:tcPr>
          <w:p>
            <w:pPr>
              <w:pStyle w:val="TableText"/>
            </w:pPr>
            <w:r>
              <w:t xml:space="preserve">非真实 ToA</w:t>
            </w:r>
          </w:p>
        </w:tc>
      </w:tr>
      <w:tr>
        <w:tc>
          <w:tcPr>
            <w:tcW w:w="2400" w:type="dxa"/>
          </w:tcPr>
          <w:p>
            <w:pPr>
              <w:pStyle w:val="TableText"/>
            </w:pPr>
            <w:r>
              <w:t xml:space="preserve">特征距离</w:t>
            </w:r>
          </w:p>
        </w:tc>
        <w:tc>
          <w:tcPr>
            <w:tcW w:w="2400" w:type="dxa"/>
          </w:tcPr>
          <w:p>
            <w:pPr>
              <w:pStyle w:val="TableText"/>
            </w:pPr>
            <w:r>
              <w:t xml:space="preserve">式 (16)–(19)</w:t>
            </w:r>
          </w:p>
        </w:tc>
        <w:tc>
          <w:tcPr>
            <w:tcW w:w="2400" w:type="dxa"/>
          </w:tcPr>
          <w:p>
            <w:pPr>
              <w:pStyle w:val="TableText"/>
            </w:pPr>
            <w:r>
              <w:t xml:space="preserve">src/topology_feature_distance.m</w:t>
            </w:r>
          </w:p>
        </w:tc>
        <w:tc>
          <w:tcPr>
            <w:tcW w:w="2400" w:type="dxa"/>
          </w:tcPr>
          <w:p>
            <w:pPr>
              <w:pStyle w:val="TableText"/>
            </w:pPr>
            <w:r>
              <w:t xml:space="preserve">shape 与绝对量必须分开解释</w:t>
            </w:r>
          </w:p>
        </w:tc>
      </w:tr>
      <w:tr>
        <w:tc>
          <w:tcPr>
            <w:tcW w:w="2400" w:type="dxa"/>
          </w:tcPr>
          <w:p>
            <w:pPr>
              <w:pStyle w:val="TableText"/>
            </w:pPr>
            <w:r>
              <w:t xml:space="preserve">等价类</w:t>
            </w:r>
          </w:p>
        </w:tc>
        <w:tc>
          <w:tcPr>
            <w:tcW w:w="2400" w:type="dxa"/>
          </w:tcPr>
          <w:p>
            <w:pPr>
              <w:pStyle w:val="TableText"/>
            </w:pPr>
            <w:r>
              <w:t xml:space="preserve">式 (21)–(22) 的容差连通分量</w:t>
            </w:r>
          </w:p>
        </w:tc>
        <w:tc>
          <w:tcPr>
            <w:tcW w:w="2400" w:type="dxa"/>
          </w:tcPr>
          <w:p>
            <w:pPr>
              <w:pStyle w:val="TableText"/>
            </w:pPr>
            <w:r>
              <w:t xml:space="preserve">src/topology_observability_classes.m</w:t>
            </w:r>
          </w:p>
        </w:tc>
        <w:tc>
          <w:tcPr>
            <w:tcW w:w="2400" w:type="dxa"/>
          </w:tcPr>
          <w:p>
            <w:pPr>
              <w:pStyle w:val="TableText"/>
            </w:pPr>
            <w:r>
              <w:t xml:space="preserve">依赖候选、端口、频带与容差</w:t>
            </w:r>
          </w:p>
        </w:tc>
      </w:tr>
      <w:tr>
        <w:tc>
          <w:tcPr>
            <w:tcW w:w="2400" w:type="dxa"/>
          </w:tcPr>
          <w:p>
            <w:pPr>
              <w:pStyle w:val="TableText"/>
            </w:pPr>
            <w:r>
              <w:t xml:space="preserve">最近邻与联合搜索</w:t>
            </w:r>
          </w:p>
        </w:tc>
        <w:tc>
          <w:tcPr>
            <w:tcW w:w="2400" w:type="dxa"/>
          </w:tcPr>
          <w:p>
            <w:pPr>
              <w:pStyle w:val="TableText"/>
            </w:pPr>
            <w:r>
              <w:t xml:space="preserve">式 (20)</w:t>
            </w:r>
          </w:p>
        </w:tc>
        <w:tc>
          <w:tcPr>
            <w:tcW w:w="2400" w:type="dxa"/>
          </w:tcPr>
          <w:p>
            <w:pPr>
              <w:pStyle w:val="TableText"/>
            </w:pPr>
            <w:r>
              <w:t xml:space="preserve">src/topology_nearest_match.m、src/topology_joint_match.m</w:t>
            </w:r>
          </w:p>
        </w:tc>
        <w:tc>
          <w:tcPr>
            <w:tcW w:w="2400" w:type="dxa"/>
          </w:tcPr>
          <w:p>
            <w:pPr>
              <w:pStyle w:val="TableText"/>
            </w:pPr>
            <w:r>
              <w:t xml:space="preserve">有界格点基线，不是全局最优证明</w:t>
            </w:r>
          </w:p>
        </w:tc>
      </w:tr>
    </w:tbl>
    <w:p>
      <w:pPr>
        <w:pStyle w:val="Heading1"/>
      </w:pPr>
      <w:r>
        <w:t xml:space="preserve">附录 B：本次文档使用的本地主要文献</w:t>
      </w:r>
    </w:p>
    <w:p>
      <w:pPr>
        <w:pStyle w:val="BodyText"/>
      </w:pPr>
      <w:r>
        <w:t xml:space="preserve">以下条目依据 PDF 首页或项目已有文献笔记整理；未在本次逐页核实的卷期、页码或机构信息不补写。</w:t>
      </w:r>
    </w:p>
    <w:tbl>
      <w:tblPr>
        <w:tblW w:w="0" w:type="auto"/>
        <w:tblBorders>
          <w:top w:val="single" w:sz="4" w:color="A6A6A6"/>
          <w:left w:val="single" w:sz="4" w:color="A6A6A6"/>
          <w:bottom w:val="single" w:sz="4" w:color="A6A6A6"/>
          <w:right w:val="single" w:sz="4" w:color="A6A6A6"/>
          <w:insideH w:val="single" w:sz="4" w:color="D9D9D9"/>
          <w:insideV w:val="single" w:sz="4" w:color="D9D9D9"/>
        </w:tblBorders>
      </w:tblPr>
      <w:tr>
        <w:tc>
          <w:tcPr>
            <w:tcW w:w="2400" w:type="dxa"/>
          </w:tcPr>
          <w:p>
            <w:pPr>
              <w:pStyle w:val="TableText"/>
            </w:pPr>
            <w:r>
              <w:t xml:space="preserve">编号</w:t>
            </w:r>
          </w:p>
        </w:tc>
        <w:tc>
          <w:tcPr>
            <w:tcW w:w="2400" w:type="dxa"/>
          </w:tcPr>
          <w:p>
            <w:pPr>
              <w:pStyle w:val="TableText"/>
            </w:pPr>
            <w:r>
              <w:t xml:space="preserve">参考文献</w:t>
            </w:r>
          </w:p>
        </w:tc>
      </w:tr>
      <w:tr>
        <w:tc>
          <w:tcPr>
            <w:tcW w:w="2400" w:type="dxa"/>
          </w:tcPr>
          <w:p>
            <w:pPr>
              <w:pStyle w:val="TableText"/>
            </w:pPr>
            <w:r>
              <w:t xml:space="preserve">P01</w:t>
            </w:r>
          </w:p>
        </w:tc>
        <w:tc>
          <w:tcPr>
            <w:tcW w:w="2400" w:type="dxa"/>
          </w:tcPr>
          <w:p>
            <w:pPr>
              <w:pStyle w:val="TableText"/>
            </w:pPr>
            <w:r>
              <w:t xml:space="preserve">王新宇. *低压电力线通信信道建模及传输特性研究*. 硕士学位论文, 2019. 学校信息待按原 PDF 复核。</w:t>
            </w:r>
          </w:p>
        </w:tc>
      </w:tr>
      <w:tr>
        <w:tc>
          <w:tcPr>
            <w:tcW w:w="2400" w:type="dxa"/>
          </w:tcPr>
          <w:p>
            <w:pPr>
              <w:pStyle w:val="TableText"/>
            </w:pPr>
            <w:r>
              <w:t xml:space="preserve">P02</w:t>
            </w:r>
          </w:p>
        </w:tc>
        <w:tc>
          <w:tcPr>
            <w:tcW w:w="2400" w:type="dxa"/>
          </w:tcPr>
          <w:p>
            <w:pPr>
              <w:pStyle w:val="TableText"/>
            </w:pPr>
            <w:r>
              <w:t xml:space="preserve">谢志远, 杨锐, 胡正伟. 基于传输线理论的信道幅频特性与负载阻抗关联机制分析. *无线电工程*, 53(8), 1901–1909, 2023. DOI: 10.3969/j.issn.1003-3106.2023.08.021.</w:t>
            </w:r>
          </w:p>
        </w:tc>
      </w:tr>
      <w:tr>
        <w:tc>
          <w:tcPr>
            <w:tcW w:w="2400" w:type="dxa"/>
          </w:tcPr>
          <w:p>
            <w:pPr>
              <w:pStyle w:val="TableText"/>
            </w:pPr>
            <w:r>
              <w:t xml:space="preserve">P03</w:t>
            </w:r>
          </w:p>
        </w:tc>
        <w:tc>
          <w:tcPr>
            <w:tcW w:w="2400" w:type="dxa"/>
          </w:tcPr>
          <w:p>
            <w:pPr>
              <w:pStyle w:val="TableText"/>
            </w:pPr>
            <w:r>
              <w:t xml:space="preserve">卢文冰, 张慧, 赵雄文, 索超男. 网络参数对低压宽带电力线信道的影响. *电工技术学报*, 31(增刊 1), 2016. DOI: 10.19595/j.cnki.1000-6753.tces.2016.s1.028.</w:t>
            </w:r>
          </w:p>
        </w:tc>
      </w:tr>
      <w:tr>
        <w:tc>
          <w:tcPr>
            <w:tcW w:w="2400" w:type="dxa"/>
          </w:tcPr>
          <w:p>
            <w:pPr>
              <w:pStyle w:val="TableText"/>
            </w:pPr>
            <w:r>
              <w:t xml:space="preserve">P04</w:t>
            </w:r>
          </w:p>
        </w:tc>
        <w:tc>
          <w:tcPr>
            <w:tcW w:w="2400" w:type="dxa"/>
          </w:tcPr>
          <w:p>
            <w:pPr>
              <w:pStyle w:val="TableText"/>
            </w:pPr>
            <w:r>
              <w:t xml:space="preserve">Ma, Y. H., So, P. L., and Gunawan, E. Performance Analysis of OFDM Systems for Broadband Power Line Communications Under Impulsive Noise and Multipath Effects. *IEEE Transactions on Power Delivery*, 20(2), 2005. DOI: 10.1109/TPWRD.2005.844320.</w:t>
            </w:r>
          </w:p>
        </w:tc>
      </w:tr>
      <w:tr>
        <w:tc>
          <w:tcPr>
            <w:tcW w:w="2400" w:type="dxa"/>
          </w:tcPr>
          <w:p>
            <w:pPr>
              <w:pStyle w:val="TableText"/>
            </w:pPr>
            <w:r>
              <w:t xml:space="preserve">P05</w:t>
            </w:r>
          </w:p>
        </w:tc>
        <w:tc>
          <w:tcPr>
            <w:tcW w:w="2400" w:type="dxa"/>
          </w:tcPr>
          <w:p>
            <w:pPr>
              <w:pStyle w:val="TableText"/>
            </w:pPr>
            <w:r>
              <w:t xml:space="preserve">Cortes, J. A., Canete, F. J., and Diez, L. Channel Estimation for OFDM-based Indoor Broadband Power Line Communication Systems. *Journal of Communications and Networks*, 25(2), 151–166, 2023. DOI: 10.23919/JCN.2022.000056.</w:t>
            </w:r>
          </w:p>
        </w:tc>
      </w:tr>
      <w:tr>
        <w:tc>
          <w:tcPr>
            <w:tcW w:w="2400" w:type="dxa"/>
          </w:tcPr>
          <w:p>
            <w:pPr>
              <w:pStyle w:val="TableText"/>
            </w:pPr>
            <w:r>
              <w:t xml:space="preserve">P06</w:t>
            </w:r>
          </w:p>
        </w:tc>
        <w:tc>
          <w:tcPr>
            <w:tcW w:w="2400" w:type="dxa"/>
          </w:tcPr>
          <w:p>
            <w:pPr>
              <w:pStyle w:val="TableText"/>
            </w:pPr>
            <w:r>
              <w:t xml:space="preserve">Pagani, P., Ismail, A., and Zeddam, A. Path Identification in a Power-Line Network Based on Channel Transfer Function Measurements. *IEEE Transactions on Power Delivery*, 27(3), 1081–1089, 2012. DOI: 10.1109/TPWRD.2012.2195336.</w:t>
            </w:r>
          </w:p>
        </w:tc>
      </w:tr>
      <w:tr>
        <w:tc>
          <w:tcPr>
            <w:tcW w:w="2400" w:type="dxa"/>
          </w:tcPr>
          <w:p>
            <w:pPr>
              <w:pStyle w:val="TableText"/>
            </w:pPr>
            <w:r>
              <w:t xml:space="preserve">P07</w:t>
            </w:r>
          </w:p>
        </w:tc>
        <w:tc>
          <w:tcPr>
            <w:tcW w:w="2400" w:type="dxa"/>
          </w:tcPr>
          <w:p>
            <w:pPr>
              <w:pStyle w:val="TableText"/>
            </w:pPr>
            <w:r>
              <w:t xml:space="preserve">Hernandez Fernandez, J., Omri, A., and Di Pietro, R. Power Grid Surveillance: Topology Change Detection System Using Power Line Communications. *International Journal of Electrical Power &amp; Energy Systems*, 145, 108634, 2023. DOI: 10.1016/j.ijepes.2022.108634.</w:t>
            </w:r>
          </w:p>
        </w:tc>
      </w:tr>
      <w:tr>
        <w:tc>
          <w:tcPr>
            <w:tcW w:w="2400" w:type="dxa"/>
          </w:tcPr>
          <w:p>
            <w:pPr>
              <w:pStyle w:val="TableText"/>
            </w:pPr>
            <w:r>
              <w:t xml:space="preserve">P08</w:t>
            </w:r>
          </w:p>
        </w:tc>
        <w:tc>
          <w:tcPr>
            <w:tcW w:w="2400" w:type="dxa"/>
          </w:tcPr>
          <w:p>
            <w:pPr>
              <w:pStyle w:val="TableText"/>
            </w:pPr>
            <w:r>
              <w:t xml:space="preserve">Passerini, F., and Tonello, A. M. Full Duplex Power Line Communication Modems for Network Sensing. *IEEE SmartGridComm*, 2017. ISBN: 978-1-5386-4055-5. 页码待核对。</w:t>
            </w:r>
          </w:p>
        </w:tc>
      </w:tr>
      <w:tr>
        <w:tc>
          <w:tcPr>
            <w:tcW w:w="2400" w:type="dxa"/>
          </w:tcPr>
          <w:p>
            <w:pPr>
              <w:pStyle w:val="TableText"/>
            </w:pPr>
            <w:r>
              <w:t xml:space="preserve">P09</w:t>
            </w:r>
          </w:p>
        </w:tc>
        <w:tc>
          <w:tcPr>
            <w:tcW w:w="2400" w:type="dxa"/>
          </w:tcPr>
          <w:p>
            <w:pPr>
              <w:pStyle w:val="TableText"/>
            </w:pPr>
            <w:r>
              <w:t xml:space="preserve">Passerini, F., and Tonello, A. M. Power Line Network Topology Identification Using Admittance Measurements and Total Least Squares Estimation. *IEEE ICC*, 2017. DOI: 10.1109/ICC.2017.7996943.</w:t>
            </w:r>
          </w:p>
        </w:tc>
      </w:tr>
      <w:tr>
        <w:tc>
          <w:tcPr>
            <w:tcW w:w="2400" w:type="dxa"/>
          </w:tcPr>
          <w:p>
            <w:pPr>
              <w:pStyle w:val="TableText"/>
            </w:pPr>
            <w:r>
              <w:t xml:space="preserve">P10</w:t>
            </w:r>
          </w:p>
        </w:tc>
        <w:tc>
          <w:tcPr>
            <w:tcW w:w="2400" w:type="dxa"/>
          </w:tcPr>
          <w:p>
            <w:pPr>
              <w:pStyle w:val="TableText"/>
            </w:pPr>
            <w:r>
              <w:t xml:space="preserve">Lehmann, A. M., Raab, K., Gruber, F., Fischer, E., Müller, R., and Huber, J. B. A Diagnostic Method for Power Line Networks by Channel Estimation of PLC Devices. *IEEE SmartGridComm*, 2016. DOI: 10.1109/SmartGridComm.2016.7778781.</w:t>
            </w:r>
          </w:p>
        </w:tc>
      </w:tr>
      <w:tr>
        <w:tc>
          <w:tcPr>
            <w:tcW w:w="2400" w:type="dxa"/>
          </w:tcPr>
          <w:p>
            <w:pPr>
              <w:pStyle w:val="TableText"/>
            </w:pPr>
            <w:r>
              <w:t xml:space="preserve">P11</w:t>
            </w:r>
          </w:p>
        </w:tc>
        <w:tc>
          <w:tcPr>
            <w:tcW w:w="2400" w:type="dxa"/>
          </w:tcPr>
          <w:p>
            <w:pPr>
              <w:pStyle w:val="TableText"/>
            </w:pPr>
            <w:r>
              <w:t xml:space="preserve">Hernandez Fernandez, J., Jarouf, A., Omri, A., and Di Pietro, R. Inferring Power Grid Information with Power Line Communications: Review and Insights. arXiv:2308.10598v2, 2024.</w:t>
            </w:r>
          </w:p>
        </w:tc>
      </w:tr>
    </w:tbl>
    <w:p>
      <w:pPr>
        <w:pStyle w:val="Heading1"/>
      </w:pPr>
      <w:r>
        <w:t xml:space="preserve">附录 C：阅读与证据说明</w:t>
      </w:r>
    </w:p>
    <w:p>
      <w:pPr>
        <w:pStyle w:val="BodyText"/>
      </w:pPr>
      <w:r>
        <w:t xml:space="preserve">本次实际浏览并抽取正文的本地 PDF 包括 P01–P11 中的主要英文和中文资料；P01、噪声类中文学位论文等部分 PDF 带复制/排版限制，但其可抽取文本可读。涉及精确标准参数、页码、图表数字、具体现场条件时，仍应回到原 PDF 的可视页面逐条核对。本文不以文件名、摘要或 AI 生成文本替代原始论文证据。</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eastAsia="宋体"/>
        <w:sz w:val="24"/>
      </w:rPr>
    </w:rPrDefault>
  </w:docDefaults>
  <w:style w:type="paragraph" w:default="1" w:styleId="Normal">
    <w:name w:val="Normal"/>
    <w:qFormat/>
    <w:pPr>
      <w:spacing w:line="360" w:lineRule="auto"/>
      <w:jc w:val="both"/>
    </w:pPr>
  </w:style>
  <w:style w:type="paragraph" w:styleId="Title">
    <w:name w:val="Title"/>
    <w:basedOn w:val="Normal"/>
    <w:qFormat/>
    <w:pPr>
      <w:jc w:val="center"/>
      <w:spacing w:before="240" w:after="360"/>
    </w:pPr>
    <w:rPr>
      <w:b/>
      <w:sz w:val="36"/>
      <w:rFonts w:eastAsia="黑体"/>
    </w:rPr>
  </w:style>
  <w:style w:type="paragraph" w:styleId="Heading1">
    <w:name w:val="Heading 1"/>
    <w:basedOn w:val="Normal"/>
    <w:qFormat/>
    <w:pPr>
      <w:spacing w:before="360" w:after="160"/>
    </w:pPr>
    <w:rPr>
      <w:b/>
      <w:sz w:val="30"/>
      <w:rFonts w:eastAsia="黑体"/>
    </w:rPr>
  </w:style>
  <w:style w:type="paragraph" w:styleId="Heading2">
    <w:name w:val="Heading 2"/>
    <w:basedOn w:val="Normal"/>
    <w:qFormat/>
    <w:pPr>
      <w:spacing w:before="240" w:after="120"/>
    </w:pPr>
    <w:rPr>
      <w:b/>
      <w:sz w:val="26"/>
      <w:rFonts w:eastAsia="黑体"/>
    </w:rPr>
  </w:style>
  <w:style w:type="paragraph" w:styleId="BodyText">
    <w:name w:val="Body Text"/>
    <w:basedOn w:val="Normal"/>
  </w:style>
  <w:style w:type="paragraph" w:styleId="Quote">
    <w:name w:val="Quote"/>
    <w:basedOn w:val="Normal"/>
    <w:pPr>
      <w:ind w:left="720" w:right="720"/>
    </w:pPr>
  </w:style>
  <w:style w:type="paragraph" w:styleId="Code">
    <w:name w:val="Code"/>
    <w:basedOn w:val="Normal"/>
    <w:pPr>
      <w:ind w:left="720"/>
      <w:spacing w:before="80" w:after="80"/>
    </w:pPr>
    <w:rPr>
      <w:sz w:val="18"/>
      <w:color w:val="404040"/>
    </w:rPr>
  </w:style>
  <w:style w:type="paragraph" w:styleId="Equation">
    <w:name w:val="Equation"/>
    <w:basedOn w:val="Normal"/>
    <w:pPr>
      <w:jc w:val="center"/>
      <w:ind w:left="360" w:right="360"/>
    </w:pPr>
    <w:rPr>
      <w:sz w:val="20"/>
    </w:rPr>
  </w:style>
  <w:style w:type="paragraph" w:styleId="TableText">
    <w:name w:val="Table Text"/>
    <w:basedOn w:val="Normal"/>
    <w:pPr>
      <w:spacing w:before="40" w:after="40"/>
    </w:pPr>
    <w:rPr>
      <w:sz w:val="18"/>
    </w:rPr>
  </w:style>
  <w:style w:type="paragraph" w:styleId="ListBullet">
    <w:name w:val="List Bullet"/>
    <w:basedOn w:val="Normal"/>
    <w:pPr>
      <w:ind w:left="540" w:hanging="270"/>
    </w:pPr>
  </w:style>
  <w:style w:type="paragraph" w:styleId="ListNumber">
    <w:name w:val="List Number"/>
    <w:basedOn w:val="Normal"/>
    <w:pPr>
      <w:ind w:left="540" w:hanging="2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Local Markdown-to-DOCX renderer</Application>
</Properties>
</file>

<file path=docProps/core.xml><?xml version="1.0" encoding="utf-8"?>
<cp:coreProperties xmlns:cp="http://schemas.openxmlformats.org/package/2006/metadata/core-properties" xmlns:dc="http://purl.org/dc/elements/1.1/" xmlns:dcterms="http://purl.org/dc/terms/" xmlns:xsi="http://www.w3.org/2001/XMLSchema-instance">
  <dc:title>基于 OFDM 信道响应的电力线载波拓扑识别：核心理论推导与仿真基线</dc:title>
  <dc:creator>PLC-CFR MATLAB project</dc:creator>
  <cp:lastModifiedBy>Markdown-to-DOCX local renderer</cp:lastModifiedBy>
  <dcterms:created xsi:type="dcterms:W3CDTF">2026-08-23T13:44:20.328Z</dcterms:created>
</cp:coreProperties>
</file>