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Orders — Data Quality Contract</w:t>
      </w:r>
    </w:p>
    <w:p>
      <w:r>
        <w:t>Version 1.0 | Draft for business-owner approval | Source: supplied retail-orders-raw.csv and retail-data-dictionary.csv</w:t>
      </w:r>
    </w:p>
    <w:p>
      <w:pPr>
        <w:pStyle w:val="Heading1"/>
      </w:pPr>
      <w:r>
        <w:t>1. Purpose and scope</w:t>
      </w:r>
    </w:p>
    <w:p>
      <w:r>
        <w:t>This contract defines measurable quality expectations for retail order data before it is used for KPI reporting. It covers required fields, uniqueness, valid domains, ranges, timeliness, failure handling, and escalation.</w:t>
      </w:r>
    </w:p>
    <w:p>
      <w:pPr>
        <w:pStyle w:val="Heading1"/>
      </w:pPr>
      <w:r>
        <w:t>2. Ownership and operating model</w:t>
      </w:r>
    </w:p>
    <w:p>
      <w:pPr>
        <w:pStyle w:val="ListBullet"/>
      </w:pPr>
      <w:r>
        <w:t>Business owner: Retail Operations / Finance (confirm named individual).</w:t>
      </w:r>
    </w:p>
    <w:p>
      <w:pPr>
        <w:pStyle w:val="ListBullet"/>
      </w:pPr>
      <w:r>
        <w:t>Data steward: responsible for resolving source-field issues and maintaining the dictionary.</w:t>
      </w:r>
    </w:p>
    <w:p>
      <w:pPr>
        <w:pStyle w:val="ListBullet"/>
      </w:pPr>
      <w:r>
        <w:t>Pipeline owner: responsible for ingestion, freshness monitoring, and technical retries.</w:t>
      </w:r>
    </w:p>
    <w:p>
      <w:pPr>
        <w:pStyle w:val="ListBullet"/>
      </w:pPr>
      <w:r>
        <w:t>KPI consumers: must use the documented KPI filters and scope; no silent changes to business definitions.</w:t>
      </w:r>
    </w:p>
    <w:p>
      <w:pPr>
        <w:pStyle w:val="Heading1"/>
      </w:pPr>
      <w:r>
        <w:t>3. Quality rules and thresholds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Rule / Field</w:t>
            </w:r>
          </w:p>
        </w:tc>
        <w:tc>
          <w:tcPr>
            <w:tcW w:type="dxa" w:w="1728"/>
          </w:tcPr>
          <w:p>
            <w:r>
              <w:t>Check</w:t>
            </w:r>
          </w:p>
        </w:tc>
        <w:tc>
          <w:tcPr>
            <w:tcW w:type="dxa" w:w="1728"/>
          </w:tcPr>
          <w:p>
            <w:r>
              <w:t>Acceptance threshold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Failure action</w:t>
            </w:r>
          </w:p>
        </w:tc>
      </w:tr>
      <w:tr>
        <w:tc>
          <w:tcPr>
            <w:tcW w:type="dxa" w:w="1728"/>
          </w:tcPr>
          <w:p>
            <w:r>
              <w:t>DQ-01 / order_id</w:t>
            </w:r>
          </w:p>
        </w:tc>
        <w:tc>
          <w:tcPr>
            <w:tcW w:type="dxa" w:w="1728"/>
          </w:tcPr>
          <w:p>
            <w:r>
              <w:t>Completeness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Quarantine rows with missing order_id; alert Data Steward</w:t>
            </w:r>
          </w:p>
        </w:tc>
      </w:tr>
      <w:tr>
        <w:tc>
          <w:tcPr>
            <w:tcW w:type="dxa" w:w="1728"/>
          </w:tcPr>
          <w:p>
            <w:r>
              <w:t>DQ-02 / order_id</w:t>
            </w:r>
          </w:p>
        </w:tc>
        <w:tc>
          <w:tcPr>
            <w:tcW w:type="dxa" w:w="1728"/>
          </w:tcPr>
          <w:p>
            <w:r>
              <w:t>Uniqueness</w:t>
            </w:r>
          </w:p>
        </w:tc>
        <w:tc>
          <w:tcPr>
            <w:tcW w:type="dxa" w:w="1728"/>
          </w:tcPr>
          <w:p>
            <w:r>
              <w:t>0 duplicate IDs after documented deduplication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Block KPI publication; investigate source; never silently drop conflicting records</w:t>
            </w:r>
          </w:p>
        </w:tc>
      </w:tr>
      <w:tr>
        <w:tc>
          <w:tcPr>
            <w:tcW w:type="dxa" w:w="1728"/>
          </w:tcPr>
          <w:p>
            <w:r>
              <w:t>DQ-03 / order_date</w:t>
            </w:r>
          </w:p>
        </w:tc>
        <w:tc>
          <w:tcPr>
            <w:tcW w:type="dxa" w:w="1728"/>
          </w:tcPr>
          <w:p>
            <w:r>
              <w:t>Validity / completeness</w:t>
            </w:r>
          </w:p>
        </w:tc>
        <w:tc>
          <w:tcPr>
            <w:tcW w:type="dxa" w:w="1728"/>
          </w:tcPr>
          <w:p>
            <w:r>
              <w:t>100% valid dates; &gt;= 2025-01-01 and &lt;= load date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Quarantine invalid/missing dates; request source correction</w:t>
            </w:r>
          </w:p>
        </w:tc>
      </w:tr>
      <w:tr>
        <w:tc>
          <w:tcPr>
            <w:tcW w:type="dxa" w:w="1728"/>
          </w:tcPr>
          <w:p>
            <w:r>
              <w:t>DQ-04 / customer_segment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100% in Student, Fresher, Professional after trim/case normalization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Normalize known case variants; quarantine unknown values</w:t>
            </w:r>
          </w:p>
        </w:tc>
      </w:tr>
      <w:tr>
        <w:tc>
          <w:tcPr>
            <w:tcW w:type="dxa" w:w="1728"/>
          </w:tcPr>
          <w:p>
            <w:r>
              <w:t>DQ-05 / city</w:t>
            </w:r>
          </w:p>
        </w:tc>
        <w:tc>
          <w:tcPr>
            <w:tcW w:type="dxa" w:w="1728"/>
          </w:tcPr>
          <w:p>
            <w:r>
              <w:t>Completeness</w:t>
            </w:r>
          </w:p>
        </w:tc>
        <w:tc>
          <w:tcPr>
            <w:tcW w:type="dxa" w:w="1728"/>
          </w:tcPr>
          <w:p>
            <w:r>
              <w:t>&gt;= 99%; target 100%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Flag missing city; obtain correction; exclude from city-level reporting</w:t>
            </w:r>
          </w:p>
        </w:tc>
      </w:tr>
      <w:tr>
        <w:tc>
          <w:tcPr>
            <w:tcW w:type="dxa" w:w="1728"/>
          </w:tcPr>
          <w:p>
            <w:r>
              <w:t>DQ-06 / category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100% in Learning Kit, Course Access, Mentor Session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Normalize exact allowed values; quarantine unknown category</w:t>
            </w:r>
          </w:p>
        </w:tc>
      </w:tr>
      <w:tr>
        <w:tc>
          <w:tcPr>
            <w:tcW w:type="dxa" w:w="1728"/>
          </w:tcPr>
          <w:p>
            <w:r>
              <w:t>DQ-07 / quantity</w:t>
            </w:r>
          </w:p>
        </w:tc>
        <w:tc>
          <w:tcPr>
            <w:tcW w:type="dxa" w:w="1728"/>
          </w:tcPr>
          <w:p>
            <w:r>
              <w:t>Type / range</w:t>
            </w:r>
          </w:p>
        </w:tc>
        <w:tc>
          <w:tcPr>
            <w:tcW w:type="dxa" w:w="1728"/>
          </w:tcPr>
          <w:p>
            <w:r>
              <w:t>100% whole numbers &gt; 0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Quarantine invalid quantity; do not coerce ambiguous text like 'two' without approval</w:t>
            </w:r>
          </w:p>
        </w:tc>
      </w:tr>
      <w:tr>
        <w:tc>
          <w:tcPr>
            <w:tcW w:type="dxa" w:w="1728"/>
          </w:tcPr>
          <w:p>
            <w:r>
              <w:t>DQ-08 / unit_price</w:t>
            </w:r>
          </w:p>
        </w:tc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100% numeric INR amount &gt;= 0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Quarantine negative/non-numeric prices; confirm pricing source</w:t>
            </w:r>
          </w:p>
        </w:tc>
      </w:tr>
      <w:tr>
        <w:tc>
          <w:tcPr>
            <w:tcW w:type="dxa" w:w="1728"/>
          </w:tcPr>
          <w:p>
            <w:r>
              <w:t>DQ-09 / discount_pct</w:t>
            </w:r>
          </w:p>
        </w:tc>
        <w:tc>
          <w:tcPr>
            <w:tcW w:type="dxa" w:w="1728"/>
          </w:tcPr>
          <w:p>
            <w:r>
              <w:t>Range / completeness</w:t>
            </w:r>
          </w:p>
        </w:tc>
        <w:tc>
          <w:tcPr>
            <w:tcW w:type="dxa" w:w="1728"/>
          </w:tcPr>
          <w:p>
            <w:r>
              <w:t>100% between 0 and 100; missing values 0 only with documented owner approval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Quarantine out-of-range values; missing discount remains unresolved until approved</w:t>
            </w:r>
          </w:p>
        </w:tc>
      </w:tr>
      <w:tr>
        <w:tc>
          <w:tcPr>
            <w:tcW w:type="dxa" w:w="1728"/>
          </w:tcPr>
          <w:p>
            <w:r>
              <w:t>DQ-10 / payment_status</w:t>
            </w:r>
          </w:p>
        </w:tc>
        <w:tc>
          <w:tcPr>
            <w:tcW w:type="dxa" w:w="1728"/>
          </w:tcPr>
          <w:p>
            <w:r>
              <w:t>Domain</w:t>
            </w:r>
          </w:p>
        </w:tc>
        <w:tc>
          <w:tcPr>
            <w:tcW w:type="dxa" w:w="1728"/>
          </w:tcPr>
          <w:p>
            <w:r>
              <w:t>100% in Paid, Pending, Failed, Refunded after normalization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Normalize case/whitespace; route unknown statuses to Payments Operations</w:t>
            </w:r>
          </w:p>
        </w:tc>
      </w:tr>
      <w:tr>
        <w:tc>
          <w:tcPr>
            <w:tcW w:type="dxa" w:w="1728"/>
          </w:tcPr>
          <w:p>
            <w:r>
              <w:t>DQ-11 / freshness</w:t>
            </w:r>
          </w:p>
        </w:tc>
        <w:tc>
          <w:tcPr>
            <w:tcW w:type="dxa" w:w="1728"/>
          </w:tcPr>
          <w:p>
            <w:r>
              <w:t>Timeliness</w:t>
            </w:r>
          </w:p>
        </w:tc>
        <w:tc>
          <w:tcPr>
            <w:tcW w:type="dxa" w:w="1728"/>
          </w:tcPr>
          <w:p>
            <w:r>
              <w:t>Load completed by agreed SLA (proposed: daily by 09:00 local time)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Alert pipeline owner; label dashboard stale until refreshed</w:t>
            </w:r>
          </w:p>
        </w:tc>
      </w:tr>
      <w:tr>
        <w:tc>
          <w:tcPr>
            <w:tcW w:type="dxa" w:w="1728"/>
          </w:tcPr>
          <w:p>
            <w:r>
              <w:t>DQ-12 / cross-field</w:t>
            </w:r>
          </w:p>
        </w:tc>
        <w:tc>
          <w:tcPr>
            <w:tcW w:type="dxa" w:w="1728"/>
          </w:tcPr>
          <w:p>
            <w:r>
              <w:t>Consistency</w:t>
            </w:r>
          </w:p>
        </w:tc>
        <w:tc>
          <w:tcPr>
            <w:tcW w:type="dxa" w:w="1728"/>
          </w:tcPr>
          <w:p>
            <w:r>
              <w:t>Net value &gt;= 0 for valid rows; order ID maps to one consistent order record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Block affected KPI publication and investigate source system</w:t>
            </w:r>
          </w:p>
        </w:tc>
      </w:tr>
    </w:tbl>
    <w:p>
      <w:pPr>
        <w:pStyle w:val="Heading1"/>
      </w:pPr>
      <w:r>
        <w:t>4. Severity and escalation</w:t>
      </w:r>
    </w:p>
    <w:p>
      <w:r>
        <w:rPr>
          <w:b/>
        </w:rPr>
        <w:t xml:space="preserve">Critical — block: </w:t>
      </w:r>
      <w:r>
        <w:t>Do not publish affected KPI outputs. Notify the Data Steward and pipeline owner immediately; preserve source evidence and document resolution.</w:t>
      </w:r>
    </w:p>
    <w:p>
      <w:r>
        <w:rPr>
          <w:b/>
        </w:rPr>
        <w:t xml:space="preserve">High — quarantine and alert: </w:t>
      </w:r>
      <w:r>
        <w:t>Quarantine affected rows and notify the relevant domain owner before the next reporting refresh. Publish unaffected data only with explicit scope notes.</w:t>
      </w:r>
    </w:p>
    <w:p>
      <w:r>
        <w:rPr>
          <w:b/>
        </w:rPr>
        <w:t xml:space="preserve">Medium — warn and remediate: </w:t>
      </w:r>
      <w:r>
        <w:t>Create a remediation ticket and alert the owner. City-level reporting must exclude missing-city records or label unknowns; freshness breach must label dashboards stale.</w:t>
      </w:r>
    </w:p>
    <w:p>
      <w:r>
        <w:rPr>
          <w:b/>
        </w:rPr>
        <w:t xml:space="preserve">Override policy: </w:t>
      </w:r>
      <w:r>
        <w:t>Only the named business owner may approve an exception. Record approver, reason, date, affected rows, and expiry/review date.</w:t>
      </w:r>
    </w:p>
    <w:p>
      <w:pPr>
        <w:pStyle w:val="Heading1"/>
      </w:pPr>
      <w:r>
        <w:t>5. KPI publication gates</w:t>
      </w:r>
    </w:p>
    <w:p>
      <w:pPr>
        <w:pStyle w:val="ListBullet"/>
      </w:pPr>
      <w:r>
        <w:t>No KPI release if duplicate order IDs remain unresolved.</w:t>
      </w:r>
    </w:p>
    <w:p>
      <w:pPr>
        <w:pStyle w:val="ListBullet"/>
      </w:pPr>
      <w:r>
        <w:t>Exclude invalid quantities and invalid prices from financial calculations until corrected.</w:t>
      </w:r>
    </w:p>
    <w:p>
      <w:pPr>
        <w:pStyle w:val="ListBullet"/>
      </w:pPr>
      <w:r>
        <w:t>Missing discount_pct is unresolved by default; do not assume zero without written business approval.</w:t>
      </w:r>
    </w:p>
    <w:p>
      <w:pPr>
        <w:pStyle w:val="ListBullet"/>
      </w:pPr>
      <w:r>
        <w:t>Financial KPIs must specify payment-status scope. Recommended net-sales scope excludes Failed and Refunded orders; Pending orders should be reported separately or included only under an approved policy.</w:t>
      </w:r>
    </w:p>
    <w:p>
      <w:pPr>
        <w:pStyle w:val="ListBullet"/>
      </w:pPr>
      <w:r>
        <w:t>All KPI definitions must specify formula, grain, filters, owner, and refresh cadence.</w:t>
      </w:r>
    </w:p>
    <w:p>
      <w:pPr>
        <w:pStyle w:val="Heading1"/>
      </w:pPr>
      <w:r>
        <w:t>6. Initial profiling evidence</w:t>
      </w:r>
    </w:p>
    <w:p>
      <w:r>
        <w:t>The supplied file contains 12 rows and 9 columns. Initial inspection identified: duplicate order_id RT-1004; a non-ISO date value (03/01/2026) and invalid date (2026-13-10); missing order_date, city, and discount_pct; invalid quantities (-1 and 'two'); discount_pct 105; and case variation in customer_segment and payment_status.</w:t>
      </w:r>
    </w:p>
    <w:p>
      <w:r>
        <w:t>Date assumption: parse 03/01/2026 as 3 January 2026 (day-first) for exploratory profiling, but confirm with the source owner. The malformed date 2026-13-10 is invalid. The duplicate RT-1004 rows appear identical in the supplied columns; do not remove until deduplication semantics are approved.</w:t>
      </w:r>
    </w:p>
    <w:p>
      <w:pPr>
        <w:pStyle w:val="Heading1"/>
      </w:pPr>
      <w:r>
        <w:t>7. Service-level and review cadence</w:t>
      </w:r>
    </w:p>
    <w:p>
      <w:r>
        <w:t>Proposed SLA: daily data available by 09:00 local time. This is a proposal and must be confirmed by the business owner. Run checks on every load; review quality trends weekly; review KPI definitions and thresholds quarterly or after material source changes.</w:t>
      </w:r>
    </w:p>
    <w:p>
      <w:pPr>
        <w:pStyle w:val="Heading1"/>
      </w:pPr>
      <w:r>
        <w:t>8. Sign-off</w:t>
      </w:r>
    </w:p>
    <w:p>
      <w:r>
        <w:t>Business owner: ____________________   Date: __________</w:t>
      </w:r>
    </w:p>
    <w:p>
      <w:r>
        <w:t>Data steward: ______________________   Date: __________</w:t>
      </w:r>
    </w:p>
    <w:p>
      <w:r>
        <w:t>Pipeline owner: ____________________ 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