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What the evidence showed</w:t>
      </w:r>
    </w:p>
    <w:p>
      <w:r>
        <w:t>We evaluated 45 insurance claims: 30 team-authored cases and 15 instructor references. Thirty ordinary cases ran once and fifteen negative cases three times, producing 75 trials per configuration. Code checks assessed decisions, named triggers, missing items, amounts, tool evidence and gated writes; independent GPT-4.1-mini judgements assessed explanations. Overall success required both. D5(a) reproduced 75/75 scripted code passes without network access and with zero execution errors; this validates integration, not live-model accuracy.</w:t>
      </w:r>
    </w:p>
    <w:p>
      <w:r>
        <w:t>Five model families shared the frozen v2 configuration; DeepSeek v1 provided the separate prompt comparison. Table 3 reports every denominator. DeepSeek v2 achieved 71/75 overall passes (94.7%), versus 64/75 (85.3%) for v1, an observed 9.3-percentage-point improvement. Its battery cost US$0.2829, whereas Claude Haiku, the most expensive configuration, cost US$1.3562 but passed only 28/75 (37.3%). Costs use measured API tokens and frozen prices, excluding judging and human fallback. Lower-spend alternatives did not match DeepSeek's reliability.</w:t>
      </w:r>
    </w:p>
    <w:p>
      <w:r>
        <w:t>Protocol compliance explained much of the spread. Qwen generated forbidden Observation blocks in 51/75 trials, while Gemini accumulated 70/75 execution failures, including four step-cap stops. These failures remained in the denominator. Across all six configurations, 203/450 passed code checks and 200/450 passed both checks; 237 execution failures were retained. The common judge reviewed all 213 completed trials. These results measure compatibility with our strict ReAct protocol and evidence requirements, not general model intelligence.</w:t>
      </w:r>
    </w:p>
    <w:p>
      <w:r>
        <w:t>Negative cases exposed weaknesses hidden by correct-looking decisions. Mistral's annual-limit case CLM-8925 escalated correctly in two completed repeats but claimed 13,200 instead of 11,400; the judge rejected both despite code passes. On team-authored CLM-16105, Claude correctly requested authorisation valid on the service date but omitted required document-check evidence in all three repeats. DeepSeek achieved 43/45 negative passes, compared with Mistral's 6/45. One DeepSeek duplicate-claim judgement remained uncertain and was not credited.</w:t>
      </w:r>
    </w:p>
    <w:p>
      <w:r>
        <w:t>Repeated negatives also exposed instability: DeepSeek passed all three trials on 13/15 negative cases; Qwen and Mistral did so on none. These small, constructed samples and judgement uncertainty support further validation, not deployment certification. The grading prompt and trial records are retained for inspection. Deployment decisions require prospective thresholds and further evidence.</w:t>
      </w:r>
    </w:p>
    <w:p>
      <w:pPr>
        <w:keepNext/>
        <w:spacing w:before="80" w:after="100"/>
      </w:pPr>
      <w:r>
        <w:rPr>
          <w:b/>
        </w:rPr>
        <w:t>Table 3  Live results by model and prompt</w:t>
      </w:r>
    </w:p>
    <w:tbl>
      <w:tblPr>
        <w:tblW w:type="auto" w:w="0"/>
        <w:jc w:val="center"/>
        <w:tblLayout w:type="fixed"/>
        <w:tblLook w:firstColumn="1" w:firstRow="1" w:lastColumn="0" w:lastRow="0" w:noHBand="0" w:noVBand="1" w:val="04A0"/>
        <w:tblBorders>
          <w:top w:val="single" w:sz="4" w:color="CED5DC"/>
          <w:left w:val="single" w:sz="4" w:color="CED5DC"/>
          <w:bottom w:val="single" w:sz="4" w:color="CED5DC"/>
          <w:right w:val="single" w:sz="4" w:color="CED5DC"/>
          <w:insideH w:val="single" w:sz="4" w:color="CED5DC"/>
          <w:insideV w:val="single" w:sz="4" w:color="CED5DC"/>
        </w:tblBorders>
      </w:tblPr>
      <w:tblGrid>
        <w:gridCol w:w="2592"/>
        <w:gridCol w:w="936"/>
        <w:gridCol w:w="1483"/>
        <w:gridCol w:w="1411"/>
        <w:gridCol w:w="1411"/>
        <w:gridCol w:w="1224"/>
        <w:gridCol w:w="1310"/>
      </w:tblGrid>
      <w:tr>
        <w:trPr>
          <w:cantSplit/>
          <w:tblHeader/>
        </w:trPr>
        <w:tc>
          <w:tcPr>
            <w:tcW w:type="dxa" w:w="2592"/>
            <w:vAlign w:val="center"/>
            <w:tcMar>
              <w:top w:w="65" w:type="dxa"/>
              <w:left w:w="65" w:type="dxa"/>
              <w:bottom w:w="65" w:type="dxa"/>
              <w:right w:w="65" w:type="dxa"/>
            </w:tcMar>
            <w:shd w:fill="E4EBF1"/>
          </w:tcPr>
          <w:p>
            <w:pPr>
              <w:spacing w:before="0" w:after="0" w:line="252" w:lineRule="auto"/>
              <w:jc w:val="left"/>
            </w:pPr>
            <w:r>
              <w:rPr>
                <w:b/>
                <w:color w:val="000000"/>
                <w:sz w:val="18"/>
              </w:rPr>
              <w:t>Model and prompt</w:t>
            </w:r>
          </w:p>
        </w:tc>
        <w:tc>
          <w:tcPr>
            <w:tcW w:type="dxa" w:w="936"/>
            <w:vAlign w:val="center"/>
            <w:tcMar>
              <w:top w:w="65" w:type="dxa"/>
              <w:left w:w="65" w:type="dxa"/>
              <w:bottom w:w="65" w:type="dxa"/>
              <w:right w:w="65" w:type="dxa"/>
            </w:tcMar>
            <w:shd w:fill="E4EBF1"/>
          </w:tcPr>
          <w:p>
            <w:pPr>
              <w:spacing w:before="0" w:after="0" w:line="252" w:lineRule="auto"/>
              <w:jc w:val="center"/>
            </w:pPr>
            <w:r>
              <w:rPr>
                <w:b/>
                <w:color w:val="000000"/>
                <w:sz w:val="18"/>
              </w:rPr>
              <w:t>Code pass</w:t>
            </w:r>
          </w:p>
        </w:tc>
        <w:tc>
          <w:tcPr>
            <w:tcW w:type="dxa" w:w="1483"/>
            <w:vAlign w:val="center"/>
            <w:tcMar>
              <w:top w:w="65" w:type="dxa"/>
              <w:left w:w="65" w:type="dxa"/>
              <w:bottom w:w="65" w:type="dxa"/>
              <w:right w:w="65" w:type="dxa"/>
            </w:tcMar>
            <w:shd w:fill="E4EBF1"/>
          </w:tcPr>
          <w:p>
            <w:pPr>
              <w:spacing w:before="0" w:after="0" w:line="252" w:lineRule="auto"/>
              <w:jc w:val="center"/>
            </w:pPr>
            <w:r>
              <w:rPr>
                <w:b/>
                <w:color w:val="000000"/>
                <w:sz w:val="18"/>
              </w:rPr>
              <w:t>Overall pass</w:t>
            </w:r>
          </w:p>
        </w:tc>
        <w:tc>
          <w:tcPr>
            <w:tcW w:type="dxa" w:w="1411"/>
            <w:vAlign w:val="center"/>
            <w:tcMar>
              <w:top w:w="65" w:type="dxa"/>
              <w:left w:w="65" w:type="dxa"/>
              <w:bottom w:w="65" w:type="dxa"/>
              <w:right w:w="65" w:type="dxa"/>
            </w:tcMar>
            <w:shd w:fill="E4EBF1"/>
          </w:tcPr>
          <w:p>
            <w:pPr>
              <w:spacing w:before="0" w:after="0" w:line="252" w:lineRule="auto"/>
              <w:jc w:val="center"/>
            </w:pPr>
            <w:r>
              <w:rPr>
                <w:b/>
                <w:color w:val="000000"/>
                <w:sz w:val="18"/>
              </w:rPr>
              <w:t>Ordinary overall</w:t>
            </w:r>
          </w:p>
        </w:tc>
        <w:tc>
          <w:tcPr>
            <w:tcW w:type="dxa" w:w="1411"/>
            <w:vAlign w:val="center"/>
            <w:tcMar>
              <w:top w:w="65" w:type="dxa"/>
              <w:left w:w="65" w:type="dxa"/>
              <w:bottom w:w="65" w:type="dxa"/>
              <w:right w:w="65" w:type="dxa"/>
            </w:tcMar>
            <w:shd w:fill="E4EBF1"/>
          </w:tcPr>
          <w:p>
            <w:pPr>
              <w:spacing w:before="0" w:after="0" w:line="252" w:lineRule="auto"/>
              <w:jc w:val="center"/>
            </w:pPr>
            <w:r>
              <w:rPr>
                <w:b/>
                <w:color w:val="000000"/>
                <w:sz w:val="18"/>
              </w:rPr>
              <w:t>Negative overall</w:t>
            </w:r>
          </w:p>
        </w:tc>
        <w:tc>
          <w:tcPr>
            <w:tcW w:type="dxa" w:w="1224"/>
            <w:vAlign w:val="center"/>
            <w:tcMar>
              <w:top w:w="65" w:type="dxa"/>
              <w:left w:w="65" w:type="dxa"/>
              <w:bottom w:w="65" w:type="dxa"/>
              <w:right w:w="65" w:type="dxa"/>
            </w:tcMar>
            <w:shd w:fill="E4EBF1"/>
          </w:tcPr>
          <w:p>
            <w:pPr>
              <w:spacing w:before="0" w:after="0" w:line="252" w:lineRule="auto"/>
              <w:jc w:val="center"/>
            </w:pPr>
            <w:r>
              <w:rPr>
                <w:b/>
                <w:color w:val="000000"/>
                <w:sz w:val="18"/>
              </w:rPr>
              <w:t>Execution errors</w:t>
            </w:r>
          </w:p>
        </w:tc>
        <w:tc>
          <w:tcPr>
            <w:tcW w:type="dxa" w:w="1310"/>
            <w:vAlign w:val="center"/>
            <w:tcMar>
              <w:top w:w="65" w:type="dxa"/>
              <w:left w:w="65" w:type="dxa"/>
              <w:bottom w:w="65" w:type="dxa"/>
              <w:right w:w="65" w:type="dxa"/>
            </w:tcMar>
            <w:shd w:fill="E4EBF1"/>
          </w:tcPr>
          <w:p>
            <w:pPr>
              <w:spacing w:before="0" w:after="0" w:line="252" w:lineRule="auto"/>
              <w:jc w:val="center"/>
            </w:pPr>
            <w:r>
              <w:rPr>
                <w:b/>
                <w:color w:val="000000"/>
                <w:sz w:val="18"/>
              </w:rPr>
              <w:t>Agent cost (US$)</w:t>
            </w:r>
          </w:p>
        </w:tc>
      </w:tr>
      <w:tr>
        <w:trPr>
          <w:cantSplit/>
        </w:trPr>
        <w:tc>
          <w:tcPr>
            <w:tcW w:type="dxa" w:w="2592"/>
            <w:vAlign w:val="center"/>
            <w:tcMar>
              <w:top w:w="65" w:type="dxa"/>
              <w:left w:w="65" w:type="dxa"/>
              <w:bottom w:w="65" w:type="dxa"/>
              <w:right w:w="65" w:type="dxa"/>
            </w:tcMar>
          </w:tcPr>
          <w:p>
            <w:pPr>
              <w:spacing w:before="0" w:after="0" w:line="252" w:lineRule="auto"/>
              <w:jc w:val="left"/>
            </w:pPr>
            <w:r>
              <w:rPr>
                <w:b w:val="0"/>
                <w:color w:val="000000"/>
                <w:sz w:val="18"/>
              </w:rPr>
              <w:t>DeepSeek V3.2 (v2)</w:t>
            </w:r>
          </w:p>
        </w:tc>
        <w:tc>
          <w:tcPr>
            <w:tcW w:type="dxa" w:w="936"/>
            <w:vAlign w:val="center"/>
            <w:tcMar>
              <w:top w:w="65" w:type="dxa"/>
              <w:left w:w="65" w:type="dxa"/>
              <w:bottom w:w="65" w:type="dxa"/>
              <w:right w:w="65" w:type="dxa"/>
            </w:tcMar>
          </w:tcPr>
          <w:p>
            <w:pPr>
              <w:spacing w:before="0" w:after="0" w:line="252" w:lineRule="auto"/>
              <w:jc w:val="center"/>
            </w:pPr>
            <w:r>
              <w:rPr>
                <w:b w:val="0"/>
                <w:color w:val="000000"/>
                <w:sz w:val="18"/>
              </w:rPr>
              <w:t>72/75</w:t>
            </w:r>
          </w:p>
        </w:tc>
        <w:tc>
          <w:tcPr>
            <w:tcW w:type="dxa" w:w="1483"/>
            <w:vAlign w:val="center"/>
            <w:tcMar>
              <w:top w:w="65" w:type="dxa"/>
              <w:left w:w="65" w:type="dxa"/>
              <w:bottom w:w="65" w:type="dxa"/>
              <w:right w:w="65" w:type="dxa"/>
            </w:tcMar>
          </w:tcPr>
          <w:p>
            <w:pPr>
              <w:spacing w:before="0" w:after="0" w:line="252" w:lineRule="auto"/>
              <w:jc w:val="center"/>
            </w:pPr>
            <w:r>
              <w:rPr>
                <w:b w:val="0"/>
                <w:color w:val="000000"/>
                <w:sz w:val="18"/>
              </w:rPr>
              <w:t>71/75 (94.7%)</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28/30 (93.3%)</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43/45 (95.6%)</w:t>
            </w:r>
          </w:p>
        </w:tc>
        <w:tc>
          <w:tcPr>
            <w:tcW w:type="dxa" w:w="1224"/>
            <w:vAlign w:val="center"/>
            <w:tcMar>
              <w:top w:w="65" w:type="dxa"/>
              <w:left w:w="65" w:type="dxa"/>
              <w:bottom w:w="65" w:type="dxa"/>
              <w:right w:w="65" w:type="dxa"/>
            </w:tcMar>
          </w:tcPr>
          <w:p>
            <w:pPr>
              <w:spacing w:before="0" w:after="0" w:line="252" w:lineRule="auto"/>
              <w:jc w:val="center"/>
            </w:pPr>
            <w:r>
              <w:rPr>
                <w:b w:val="0"/>
                <w:color w:val="000000"/>
                <w:sz w:val="18"/>
              </w:rPr>
              <w:t>3/75</w:t>
            </w:r>
          </w:p>
        </w:tc>
        <w:tc>
          <w:tcPr>
            <w:tcW w:type="dxa" w:w="1310"/>
            <w:vAlign w:val="center"/>
            <w:tcMar>
              <w:top w:w="65" w:type="dxa"/>
              <w:left w:w="65" w:type="dxa"/>
              <w:bottom w:w="65" w:type="dxa"/>
              <w:right w:w="65" w:type="dxa"/>
            </w:tcMar>
          </w:tcPr>
          <w:p>
            <w:pPr>
              <w:spacing w:before="0" w:after="0" w:line="252" w:lineRule="auto"/>
              <w:jc w:val="center"/>
            </w:pPr>
            <w:r>
              <w:rPr>
                <w:b w:val="0"/>
                <w:color w:val="000000"/>
                <w:sz w:val="18"/>
              </w:rPr>
              <w:t>0.2829</w:t>
            </w:r>
          </w:p>
        </w:tc>
      </w:tr>
      <w:tr>
        <w:trPr>
          <w:cantSplit/>
        </w:trPr>
        <w:tc>
          <w:tcPr>
            <w:tcW w:type="dxa" w:w="2592"/>
            <w:vAlign w:val="center"/>
            <w:tcMar>
              <w:top w:w="65" w:type="dxa"/>
              <w:left w:w="65" w:type="dxa"/>
              <w:bottom w:w="65" w:type="dxa"/>
              <w:right w:w="65" w:type="dxa"/>
            </w:tcMar>
            <w:shd w:fill="F5F7F9"/>
          </w:tcPr>
          <w:p>
            <w:pPr>
              <w:spacing w:before="0" w:after="0" w:line="252" w:lineRule="auto"/>
              <w:jc w:val="left"/>
            </w:pPr>
            <w:r>
              <w:rPr>
                <w:b w:val="0"/>
                <w:color w:val="000000"/>
                <w:sz w:val="18"/>
              </w:rPr>
              <w:t>Gemini 2.5 Flash Lite (v2)</w:t>
            </w:r>
          </w:p>
        </w:tc>
        <w:tc>
          <w:tcPr>
            <w:tcW w:type="dxa" w:w="936"/>
            <w:vAlign w:val="center"/>
            <w:tcMar>
              <w:top w:w="65" w:type="dxa"/>
              <w:left w:w="65" w:type="dxa"/>
              <w:bottom w:w="65" w:type="dxa"/>
              <w:right w:w="65" w:type="dxa"/>
            </w:tcMar>
            <w:shd w:fill="F5F7F9"/>
          </w:tcPr>
          <w:p>
            <w:pPr>
              <w:spacing w:before="0" w:after="0" w:line="252" w:lineRule="auto"/>
              <w:jc w:val="center"/>
            </w:pPr>
            <w:r>
              <w:rPr>
                <w:b w:val="0"/>
                <w:color w:val="000000"/>
                <w:sz w:val="18"/>
              </w:rPr>
              <w:t>3/75</w:t>
            </w:r>
          </w:p>
        </w:tc>
        <w:tc>
          <w:tcPr>
            <w:tcW w:type="dxa" w:w="1483"/>
            <w:vAlign w:val="center"/>
            <w:tcMar>
              <w:top w:w="65" w:type="dxa"/>
              <w:left w:w="65" w:type="dxa"/>
              <w:bottom w:w="65" w:type="dxa"/>
              <w:right w:w="65" w:type="dxa"/>
            </w:tcMar>
            <w:shd w:fill="F5F7F9"/>
          </w:tcPr>
          <w:p>
            <w:pPr>
              <w:spacing w:before="0" w:after="0" w:line="252" w:lineRule="auto"/>
              <w:jc w:val="center"/>
            </w:pPr>
            <w:r>
              <w:rPr>
                <w:b w:val="0"/>
                <w:color w:val="000000"/>
                <w:sz w:val="18"/>
              </w:rPr>
              <w:t>3/75 (4.0%)</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0/30 (0.0%)</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3/45 (6.7%)</w:t>
            </w:r>
          </w:p>
        </w:tc>
        <w:tc>
          <w:tcPr>
            <w:tcW w:type="dxa" w:w="1224"/>
            <w:vAlign w:val="center"/>
            <w:tcMar>
              <w:top w:w="65" w:type="dxa"/>
              <w:left w:w="65" w:type="dxa"/>
              <w:bottom w:w="65" w:type="dxa"/>
              <w:right w:w="65" w:type="dxa"/>
            </w:tcMar>
            <w:shd w:fill="F5F7F9"/>
          </w:tcPr>
          <w:p>
            <w:pPr>
              <w:spacing w:before="0" w:after="0" w:line="252" w:lineRule="auto"/>
              <w:jc w:val="center"/>
            </w:pPr>
            <w:r>
              <w:rPr>
                <w:b w:val="0"/>
                <w:color w:val="000000"/>
                <w:sz w:val="18"/>
              </w:rPr>
              <w:t>70/75</w:t>
            </w:r>
          </w:p>
        </w:tc>
        <w:tc>
          <w:tcPr>
            <w:tcW w:type="dxa" w:w="1310"/>
            <w:vAlign w:val="center"/>
            <w:tcMar>
              <w:top w:w="65" w:type="dxa"/>
              <w:left w:w="65" w:type="dxa"/>
              <w:bottom w:w="65" w:type="dxa"/>
              <w:right w:w="65" w:type="dxa"/>
            </w:tcMar>
            <w:shd w:fill="F5F7F9"/>
          </w:tcPr>
          <w:p>
            <w:pPr>
              <w:spacing w:before="0" w:after="0" w:line="252" w:lineRule="auto"/>
              <w:jc w:val="center"/>
            </w:pPr>
            <w:r>
              <w:rPr>
                <w:b w:val="0"/>
                <w:color w:val="000000"/>
                <w:sz w:val="18"/>
              </w:rPr>
              <w:t>0.1471</w:t>
            </w:r>
          </w:p>
        </w:tc>
      </w:tr>
      <w:tr>
        <w:trPr>
          <w:cantSplit/>
        </w:trPr>
        <w:tc>
          <w:tcPr>
            <w:tcW w:type="dxa" w:w="2592"/>
            <w:vAlign w:val="center"/>
            <w:tcMar>
              <w:top w:w="65" w:type="dxa"/>
              <w:left w:w="65" w:type="dxa"/>
              <w:bottom w:w="65" w:type="dxa"/>
              <w:right w:w="65" w:type="dxa"/>
            </w:tcMar>
          </w:tcPr>
          <w:p>
            <w:pPr>
              <w:spacing w:before="0" w:after="0" w:line="252" w:lineRule="auto"/>
              <w:jc w:val="left"/>
            </w:pPr>
            <w:r>
              <w:rPr>
                <w:b w:val="0"/>
                <w:color w:val="000000"/>
                <w:sz w:val="18"/>
              </w:rPr>
              <w:t>Qwen3 235B A22B 2507 (v2)</w:t>
            </w:r>
          </w:p>
        </w:tc>
        <w:tc>
          <w:tcPr>
            <w:tcW w:type="dxa" w:w="936"/>
            <w:vAlign w:val="center"/>
            <w:tcMar>
              <w:top w:w="65" w:type="dxa"/>
              <w:left w:w="65" w:type="dxa"/>
              <w:bottom w:w="65" w:type="dxa"/>
              <w:right w:w="65" w:type="dxa"/>
            </w:tcMar>
          </w:tcPr>
          <w:p>
            <w:pPr>
              <w:spacing w:before="0" w:after="0" w:line="252" w:lineRule="auto"/>
              <w:jc w:val="center"/>
            </w:pPr>
            <w:r>
              <w:rPr>
                <w:b w:val="0"/>
                <w:color w:val="000000"/>
                <w:sz w:val="18"/>
              </w:rPr>
              <w:t>11/75</w:t>
            </w:r>
          </w:p>
        </w:tc>
        <w:tc>
          <w:tcPr>
            <w:tcW w:type="dxa" w:w="1483"/>
            <w:vAlign w:val="center"/>
            <w:tcMar>
              <w:top w:w="65" w:type="dxa"/>
              <w:left w:w="65" w:type="dxa"/>
              <w:bottom w:w="65" w:type="dxa"/>
              <w:right w:w="65" w:type="dxa"/>
            </w:tcMar>
          </w:tcPr>
          <w:p>
            <w:pPr>
              <w:spacing w:before="0" w:after="0" w:line="252" w:lineRule="auto"/>
              <w:jc w:val="center"/>
            </w:pPr>
            <w:r>
              <w:rPr>
                <w:b w:val="0"/>
                <w:color w:val="000000"/>
                <w:sz w:val="18"/>
              </w:rPr>
              <w:t>11/75 (14.7%)</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6/30 (20.0%)</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5/45 (11.1%)</w:t>
            </w:r>
          </w:p>
        </w:tc>
        <w:tc>
          <w:tcPr>
            <w:tcW w:type="dxa" w:w="1224"/>
            <w:vAlign w:val="center"/>
            <w:tcMar>
              <w:top w:w="65" w:type="dxa"/>
              <w:left w:w="65" w:type="dxa"/>
              <w:bottom w:w="65" w:type="dxa"/>
              <w:right w:w="65" w:type="dxa"/>
            </w:tcMar>
          </w:tcPr>
          <w:p>
            <w:pPr>
              <w:spacing w:before="0" w:after="0" w:line="252" w:lineRule="auto"/>
              <w:jc w:val="center"/>
            </w:pPr>
            <w:r>
              <w:rPr>
                <w:b w:val="0"/>
                <w:color w:val="000000"/>
                <w:sz w:val="18"/>
              </w:rPr>
              <w:t>61/75</w:t>
            </w:r>
          </w:p>
        </w:tc>
        <w:tc>
          <w:tcPr>
            <w:tcW w:type="dxa" w:w="1310"/>
            <w:vAlign w:val="center"/>
            <w:tcMar>
              <w:top w:w="65" w:type="dxa"/>
              <w:left w:w="65" w:type="dxa"/>
              <w:bottom w:w="65" w:type="dxa"/>
              <w:right w:w="65" w:type="dxa"/>
            </w:tcMar>
          </w:tcPr>
          <w:p>
            <w:pPr>
              <w:spacing w:before="0" w:after="0" w:line="252" w:lineRule="auto"/>
              <w:jc w:val="center"/>
            </w:pPr>
            <w:r>
              <w:rPr>
                <w:b w:val="0"/>
                <w:color w:val="000000"/>
                <w:sz w:val="18"/>
              </w:rPr>
              <w:t>0.0729</w:t>
            </w:r>
          </w:p>
        </w:tc>
      </w:tr>
      <w:tr>
        <w:trPr>
          <w:cantSplit/>
        </w:trPr>
        <w:tc>
          <w:tcPr>
            <w:tcW w:type="dxa" w:w="2592"/>
            <w:vAlign w:val="center"/>
            <w:tcMar>
              <w:top w:w="65" w:type="dxa"/>
              <w:left w:w="65" w:type="dxa"/>
              <w:bottom w:w="65" w:type="dxa"/>
              <w:right w:w="65" w:type="dxa"/>
            </w:tcMar>
            <w:shd w:fill="F5F7F9"/>
          </w:tcPr>
          <w:p>
            <w:pPr>
              <w:spacing w:before="0" w:after="0" w:line="252" w:lineRule="auto"/>
              <w:jc w:val="left"/>
            </w:pPr>
            <w:r>
              <w:rPr>
                <w:b w:val="0"/>
                <w:color w:val="000000"/>
                <w:sz w:val="18"/>
              </w:rPr>
              <w:t>Mistral Small 3.2 24B (v2)</w:t>
            </w:r>
          </w:p>
        </w:tc>
        <w:tc>
          <w:tcPr>
            <w:tcW w:type="dxa" w:w="936"/>
            <w:vAlign w:val="center"/>
            <w:tcMar>
              <w:top w:w="65" w:type="dxa"/>
              <w:left w:w="65" w:type="dxa"/>
              <w:bottom w:w="65" w:type="dxa"/>
              <w:right w:w="65" w:type="dxa"/>
            </w:tcMar>
            <w:shd w:fill="F5F7F9"/>
          </w:tcPr>
          <w:p>
            <w:pPr>
              <w:spacing w:before="0" w:after="0" w:line="252" w:lineRule="auto"/>
              <w:jc w:val="center"/>
            </w:pPr>
            <w:r>
              <w:rPr>
                <w:b w:val="0"/>
                <w:color w:val="000000"/>
                <w:sz w:val="18"/>
              </w:rPr>
              <w:t>25/75</w:t>
            </w:r>
          </w:p>
        </w:tc>
        <w:tc>
          <w:tcPr>
            <w:tcW w:type="dxa" w:w="1483"/>
            <w:vAlign w:val="center"/>
            <w:tcMar>
              <w:top w:w="65" w:type="dxa"/>
              <w:left w:w="65" w:type="dxa"/>
              <w:bottom w:w="65" w:type="dxa"/>
              <w:right w:w="65" w:type="dxa"/>
            </w:tcMar>
            <w:shd w:fill="F5F7F9"/>
          </w:tcPr>
          <w:p>
            <w:pPr>
              <w:spacing w:before="0" w:after="0" w:line="252" w:lineRule="auto"/>
              <w:jc w:val="center"/>
            </w:pPr>
            <w:r>
              <w:rPr>
                <w:b w:val="0"/>
                <w:color w:val="000000"/>
                <w:sz w:val="18"/>
              </w:rPr>
              <w:t>23/75 (30.7%)</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17/30 (56.7%)</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6/45 (13.3%)</w:t>
            </w:r>
          </w:p>
        </w:tc>
        <w:tc>
          <w:tcPr>
            <w:tcW w:type="dxa" w:w="1224"/>
            <w:vAlign w:val="center"/>
            <w:tcMar>
              <w:top w:w="65" w:type="dxa"/>
              <w:left w:w="65" w:type="dxa"/>
              <w:bottom w:w="65" w:type="dxa"/>
              <w:right w:w="65" w:type="dxa"/>
            </w:tcMar>
            <w:shd w:fill="F5F7F9"/>
          </w:tcPr>
          <w:p>
            <w:pPr>
              <w:spacing w:before="0" w:after="0" w:line="252" w:lineRule="auto"/>
              <w:jc w:val="center"/>
            </w:pPr>
            <w:r>
              <w:rPr>
                <w:b w:val="0"/>
                <w:color w:val="000000"/>
                <w:sz w:val="18"/>
              </w:rPr>
              <w:t>48/75</w:t>
            </w:r>
          </w:p>
        </w:tc>
        <w:tc>
          <w:tcPr>
            <w:tcW w:type="dxa" w:w="1310"/>
            <w:vAlign w:val="center"/>
            <w:tcMar>
              <w:top w:w="65" w:type="dxa"/>
              <w:left w:w="65" w:type="dxa"/>
              <w:bottom w:w="65" w:type="dxa"/>
              <w:right w:w="65" w:type="dxa"/>
            </w:tcMar>
            <w:shd w:fill="F5F7F9"/>
          </w:tcPr>
          <w:p>
            <w:pPr>
              <w:spacing w:before="0" w:after="0" w:line="252" w:lineRule="auto"/>
              <w:jc w:val="center"/>
            </w:pPr>
            <w:r>
              <w:rPr>
                <w:b w:val="0"/>
                <w:color w:val="000000"/>
                <w:sz w:val="18"/>
              </w:rPr>
              <w:t>0.0866</w:t>
            </w:r>
          </w:p>
        </w:tc>
      </w:tr>
      <w:tr>
        <w:trPr>
          <w:cantSplit/>
        </w:trPr>
        <w:tc>
          <w:tcPr>
            <w:tcW w:type="dxa" w:w="2592"/>
            <w:vAlign w:val="center"/>
            <w:tcMar>
              <w:top w:w="65" w:type="dxa"/>
              <w:left w:w="65" w:type="dxa"/>
              <w:bottom w:w="65" w:type="dxa"/>
              <w:right w:w="65" w:type="dxa"/>
            </w:tcMar>
          </w:tcPr>
          <w:p>
            <w:pPr>
              <w:spacing w:before="0" w:after="0" w:line="252" w:lineRule="auto"/>
              <w:jc w:val="left"/>
            </w:pPr>
            <w:r>
              <w:rPr>
                <w:b w:val="0"/>
                <w:color w:val="000000"/>
                <w:sz w:val="18"/>
              </w:rPr>
              <w:t>Claude Haiku 4.5 (v2)</w:t>
            </w:r>
          </w:p>
        </w:tc>
        <w:tc>
          <w:tcPr>
            <w:tcW w:type="dxa" w:w="936"/>
            <w:vAlign w:val="center"/>
            <w:tcMar>
              <w:top w:w="65" w:type="dxa"/>
              <w:left w:w="65" w:type="dxa"/>
              <w:bottom w:w="65" w:type="dxa"/>
              <w:right w:w="65" w:type="dxa"/>
            </w:tcMar>
          </w:tcPr>
          <w:p>
            <w:pPr>
              <w:spacing w:before="0" w:after="0" w:line="252" w:lineRule="auto"/>
              <w:jc w:val="center"/>
            </w:pPr>
            <w:r>
              <w:rPr>
                <w:b w:val="0"/>
                <w:color w:val="000000"/>
                <w:sz w:val="18"/>
              </w:rPr>
              <w:t>28/75</w:t>
            </w:r>
          </w:p>
        </w:tc>
        <w:tc>
          <w:tcPr>
            <w:tcW w:type="dxa" w:w="1483"/>
            <w:vAlign w:val="center"/>
            <w:tcMar>
              <w:top w:w="65" w:type="dxa"/>
              <w:left w:w="65" w:type="dxa"/>
              <w:bottom w:w="65" w:type="dxa"/>
              <w:right w:w="65" w:type="dxa"/>
            </w:tcMar>
          </w:tcPr>
          <w:p>
            <w:pPr>
              <w:spacing w:before="0" w:after="0" w:line="252" w:lineRule="auto"/>
              <w:jc w:val="center"/>
            </w:pPr>
            <w:r>
              <w:rPr>
                <w:b w:val="0"/>
                <w:color w:val="000000"/>
                <w:sz w:val="18"/>
              </w:rPr>
              <w:t>28/75 (37.3%)</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16/30 (53.3%)</w:t>
            </w:r>
          </w:p>
        </w:tc>
        <w:tc>
          <w:tcPr>
            <w:tcW w:type="dxa" w:w="1411"/>
            <w:vAlign w:val="center"/>
            <w:tcMar>
              <w:top w:w="65" w:type="dxa"/>
              <w:left w:w="65" w:type="dxa"/>
              <w:bottom w:w="65" w:type="dxa"/>
              <w:right w:w="65" w:type="dxa"/>
            </w:tcMar>
          </w:tcPr>
          <w:p>
            <w:pPr>
              <w:spacing w:before="0" w:after="0" w:line="252" w:lineRule="auto"/>
              <w:jc w:val="center"/>
            </w:pPr>
            <w:r>
              <w:rPr>
                <w:b w:val="0"/>
                <w:color w:val="000000"/>
                <w:sz w:val="18"/>
              </w:rPr>
              <w:t>12/45 (26.7%)</w:t>
            </w:r>
          </w:p>
        </w:tc>
        <w:tc>
          <w:tcPr>
            <w:tcW w:type="dxa" w:w="1224"/>
            <w:vAlign w:val="center"/>
            <w:tcMar>
              <w:top w:w="65" w:type="dxa"/>
              <w:left w:w="65" w:type="dxa"/>
              <w:bottom w:w="65" w:type="dxa"/>
              <w:right w:w="65" w:type="dxa"/>
            </w:tcMar>
          </w:tcPr>
          <w:p>
            <w:pPr>
              <w:spacing w:before="0" w:after="0" w:line="252" w:lineRule="auto"/>
              <w:jc w:val="center"/>
            </w:pPr>
            <w:r>
              <w:rPr>
                <w:b w:val="0"/>
                <w:color w:val="000000"/>
                <w:sz w:val="18"/>
              </w:rPr>
              <w:t>44/75</w:t>
            </w:r>
          </w:p>
        </w:tc>
        <w:tc>
          <w:tcPr>
            <w:tcW w:type="dxa" w:w="1310"/>
            <w:vAlign w:val="center"/>
            <w:tcMar>
              <w:top w:w="65" w:type="dxa"/>
              <w:left w:w="65" w:type="dxa"/>
              <w:bottom w:w="65" w:type="dxa"/>
              <w:right w:w="65" w:type="dxa"/>
            </w:tcMar>
          </w:tcPr>
          <w:p>
            <w:pPr>
              <w:spacing w:before="0" w:after="0" w:line="252" w:lineRule="auto"/>
              <w:jc w:val="center"/>
            </w:pPr>
            <w:r>
              <w:rPr>
                <w:b w:val="0"/>
                <w:color w:val="000000"/>
                <w:sz w:val="18"/>
              </w:rPr>
              <w:t>1.3562</w:t>
            </w:r>
          </w:p>
        </w:tc>
      </w:tr>
      <w:tr>
        <w:trPr>
          <w:cantSplit/>
        </w:trPr>
        <w:tc>
          <w:tcPr>
            <w:tcW w:type="dxa" w:w="2592"/>
            <w:vAlign w:val="center"/>
            <w:tcMar>
              <w:top w:w="65" w:type="dxa"/>
              <w:left w:w="65" w:type="dxa"/>
              <w:bottom w:w="65" w:type="dxa"/>
              <w:right w:w="65" w:type="dxa"/>
            </w:tcMar>
            <w:shd w:fill="F5F7F9"/>
          </w:tcPr>
          <w:p>
            <w:pPr>
              <w:spacing w:before="0" w:after="0" w:line="252" w:lineRule="auto"/>
              <w:jc w:val="left"/>
            </w:pPr>
            <w:r>
              <w:rPr>
                <w:b w:val="0"/>
                <w:color w:val="000000"/>
                <w:sz w:val="18"/>
              </w:rPr>
              <w:t>DeepSeek V3.2 (v1, paired)</w:t>
            </w:r>
          </w:p>
        </w:tc>
        <w:tc>
          <w:tcPr>
            <w:tcW w:type="dxa" w:w="936"/>
            <w:vAlign w:val="center"/>
            <w:tcMar>
              <w:top w:w="65" w:type="dxa"/>
              <w:left w:w="65" w:type="dxa"/>
              <w:bottom w:w="65" w:type="dxa"/>
              <w:right w:w="65" w:type="dxa"/>
            </w:tcMar>
            <w:shd w:fill="F5F7F9"/>
          </w:tcPr>
          <w:p>
            <w:pPr>
              <w:spacing w:before="0" w:after="0" w:line="252" w:lineRule="auto"/>
              <w:jc w:val="center"/>
            </w:pPr>
            <w:r>
              <w:rPr>
                <w:b w:val="0"/>
                <w:color w:val="000000"/>
                <w:sz w:val="18"/>
              </w:rPr>
              <w:t>64/75</w:t>
            </w:r>
          </w:p>
        </w:tc>
        <w:tc>
          <w:tcPr>
            <w:tcW w:type="dxa" w:w="1483"/>
            <w:vAlign w:val="center"/>
            <w:tcMar>
              <w:top w:w="65" w:type="dxa"/>
              <w:left w:w="65" w:type="dxa"/>
              <w:bottom w:w="65" w:type="dxa"/>
              <w:right w:w="65" w:type="dxa"/>
            </w:tcMar>
            <w:shd w:fill="F5F7F9"/>
          </w:tcPr>
          <w:p>
            <w:pPr>
              <w:spacing w:before="0" w:after="0" w:line="252" w:lineRule="auto"/>
              <w:jc w:val="center"/>
            </w:pPr>
            <w:r>
              <w:rPr>
                <w:b w:val="0"/>
                <w:color w:val="000000"/>
                <w:sz w:val="18"/>
              </w:rPr>
              <w:t>64/75 (85.3%)</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25/30 (83.3%)</w:t>
            </w:r>
          </w:p>
        </w:tc>
        <w:tc>
          <w:tcPr>
            <w:tcW w:type="dxa" w:w="1411"/>
            <w:vAlign w:val="center"/>
            <w:tcMar>
              <w:top w:w="65" w:type="dxa"/>
              <w:left w:w="65" w:type="dxa"/>
              <w:bottom w:w="65" w:type="dxa"/>
              <w:right w:w="65" w:type="dxa"/>
            </w:tcMar>
            <w:shd w:fill="F5F7F9"/>
          </w:tcPr>
          <w:p>
            <w:pPr>
              <w:spacing w:before="0" w:after="0" w:line="252" w:lineRule="auto"/>
              <w:jc w:val="center"/>
            </w:pPr>
            <w:r>
              <w:rPr>
                <w:b w:val="0"/>
                <w:color w:val="000000"/>
                <w:sz w:val="18"/>
              </w:rPr>
              <w:t>39/45 (86.7%)</w:t>
            </w:r>
          </w:p>
        </w:tc>
        <w:tc>
          <w:tcPr>
            <w:tcW w:type="dxa" w:w="1224"/>
            <w:vAlign w:val="center"/>
            <w:tcMar>
              <w:top w:w="65" w:type="dxa"/>
              <w:left w:w="65" w:type="dxa"/>
              <w:bottom w:w="65" w:type="dxa"/>
              <w:right w:w="65" w:type="dxa"/>
            </w:tcMar>
            <w:shd w:fill="F5F7F9"/>
          </w:tcPr>
          <w:p>
            <w:pPr>
              <w:spacing w:before="0" w:after="0" w:line="252" w:lineRule="auto"/>
              <w:jc w:val="center"/>
            </w:pPr>
            <w:r>
              <w:rPr>
                <w:b w:val="0"/>
                <w:color w:val="000000"/>
                <w:sz w:val="18"/>
              </w:rPr>
              <w:t>11/75</w:t>
            </w:r>
          </w:p>
        </w:tc>
        <w:tc>
          <w:tcPr>
            <w:tcW w:type="dxa" w:w="1310"/>
            <w:vAlign w:val="center"/>
            <w:tcMar>
              <w:top w:w="65" w:type="dxa"/>
              <w:left w:w="65" w:type="dxa"/>
              <w:bottom w:w="65" w:type="dxa"/>
              <w:right w:w="65" w:type="dxa"/>
            </w:tcMar>
            <w:shd w:fill="F5F7F9"/>
          </w:tcPr>
          <w:p>
            <w:pPr>
              <w:spacing w:before="0" w:after="0" w:line="252" w:lineRule="auto"/>
              <w:jc w:val="center"/>
            </w:pPr>
            <w:r>
              <w:rPr>
                <w:b w:val="0"/>
                <w:color w:val="000000"/>
                <w:sz w:val="18"/>
              </w:rPr>
              <w:t>0.2914</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 What the evidence showed</dc:title>
  <dc:subject/>
  <dc:creator>LI LINGHAO</dc:creator>
  <cp:keywords/>
  <dc:description>generated by python-docx</dc:description>
  <cp:lastModifiedBy/>
  <cp:revision>1</cp:revision>
  <dcterms:created xsi:type="dcterms:W3CDTF">2013-12-23T23:15:00Z</dcterms:created>
  <dcterms:modified xsi:type="dcterms:W3CDTF">2013-12-23T23:15:00Z</dcterms:modified>
  <cp:category/>
</cp:coreProperties>
</file>