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511AC" w:rsidRDefault="00D7633F" w:rsidP="006D501C">
      <w:pPr>
        <w:spacing w:after="89"/>
      </w:pPr>
      <w:bookmarkStart w:id="0" w:name="_GoBack"/>
      <w:bookmarkEnd w:id="0"/>
      <w:proofErr w:type="spellStart"/>
      <w:r>
        <w:rPr>
          <w:rFonts w:ascii="Arial Black" w:eastAsia="Arial Black" w:hAnsi="Arial Black" w:cs="Arial Black"/>
          <w:b/>
          <w:sz w:val="20"/>
        </w:rPr>
        <w:t>MaterialProperty</w:t>
      </w:r>
      <w:proofErr w:type="gramStart"/>
      <w:r>
        <w:rPr>
          <w:rFonts w:ascii="Arial Black" w:eastAsia="Arial Black" w:hAnsi="Arial Black" w:cs="Arial Black"/>
          <w:b/>
          <w:sz w:val="20"/>
        </w:rPr>
        <w:t>:PhaseChangeDualCurve</w:t>
      </w:r>
      <w:proofErr w:type="spellEnd"/>
      <w:proofErr w:type="gramEnd"/>
      <w:r>
        <w:rPr>
          <w:rFonts w:ascii="Arial Black" w:eastAsia="Arial Black" w:hAnsi="Arial Black" w:cs="Arial Black"/>
          <w:b/>
          <w:sz w:val="20"/>
        </w:rPr>
        <w:t xml:space="preserve">    </w:t>
      </w:r>
    </w:p>
    <w:p w:rsidR="003511AC" w:rsidRDefault="006D501C">
      <w:pPr>
        <w:spacing w:before="60" w:after="60"/>
        <w:ind w:left="1080"/>
        <w:jc w:val="both"/>
      </w:pPr>
      <w:r>
        <w:rPr>
          <w:rFonts w:ascii="Arial" w:eastAsia="Arial" w:hAnsi="Arial" w:cs="Arial"/>
          <w:sz w:val="20"/>
        </w:rPr>
        <w:t xml:space="preserve">Material property phase change dual curve </w:t>
      </w:r>
      <w:r w:rsidR="00D7633F">
        <w:rPr>
          <w:rFonts w:ascii="Arial" w:eastAsia="Arial" w:hAnsi="Arial" w:cs="Arial"/>
          <w:sz w:val="20"/>
        </w:rPr>
        <w:t>us</w:t>
      </w:r>
      <w:r>
        <w:rPr>
          <w:rFonts w:ascii="Arial" w:eastAsia="Arial" w:hAnsi="Arial" w:cs="Arial"/>
          <w:sz w:val="20"/>
        </w:rPr>
        <w:t>es an equation based approach for</w:t>
      </w:r>
      <w:r w:rsidR="00D7633F">
        <w:rPr>
          <w:rFonts w:ascii="Arial" w:eastAsia="Arial" w:hAnsi="Arial" w:cs="Arial"/>
          <w:sz w:val="20"/>
        </w:rPr>
        <w:t xml:space="preserve"> modeling dynamic phase change materials “PCM's” with minimal inputs. The inputs are designed to match the results of differential scanning </w:t>
      </w:r>
      <w:proofErr w:type="spellStart"/>
      <w:r w:rsidR="00D7633F">
        <w:rPr>
          <w:rFonts w:ascii="Arial" w:eastAsia="Arial" w:hAnsi="Arial" w:cs="Arial"/>
          <w:sz w:val="20"/>
        </w:rPr>
        <w:t>calorimetry</w:t>
      </w:r>
      <w:proofErr w:type="spellEnd"/>
      <w:r w:rsidR="00D7633F">
        <w:rPr>
          <w:rFonts w:ascii="Arial" w:eastAsia="Arial" w:hAnsi="Arial" w:cs="Arial"/>
          <w:sz w:val="20"/>
        </w:rPr>
        <w:t xml:space="preserve"> “DSC” testing. It has outputs </w:t>
      </w:r>
      <w:r>
        <w:rPr>
          <w:rFonts w:ascii="Arial" w:eastAsia="Arial" w:hAnsi="Arial" w:cs="Arial"/>
          <w:sz w:val="20"/>
        </w:rPr>
        <w:t>that show the</w:t>
      </w:r>
      <w:r w:rsidR="00D7633F"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 xml:space="preserve">phase change state at the </w:t>
      </w:r>
      <w:proofErr w:type="spellStart"/>
      <w:r>
        <w:rPr>
          <w:rFonts w:ascii="Arial" w:eastAsia="Arial" w:hAnsi="Arial" w:cs="Arial"/>
          <w:sz w:val="20"/>
        </w:rPr>
        <w:t>timestep</w:t>
      </w:r>
      <w:proofErr w:type="spellEnd"/>
      <w:r w:rsidR="00D7633F"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>and averaged</w:t>
      </w:r>
      <w:r w:rsidR="00FD141D">
        <w:rPr>
          <w:rFonts w:ascii="Arial" w:eastAsia="Arial" w:hAnsi="Arial" w:cs="Arial"/>
          <w:sz w:val="20"/>
        </w:rPr>
        <w:t xml:space="preserve"> for the reporting frequency.</w:t>
      </w:r>
      <w:r w:rsidR="00D7633F">
        <w:rPr>
          <w:rFonts w:ascii="Arial" w:eastAsia="Arial" w:hAnsi="Arial" w:cs="Arial"/>
          <w:sz w:val="20"/>
        </w:rPr>
        <w:t xml:space="preserve"> </w:t>
      </w:r>
      <w:r w:rsidR="00FD141D">
        <w:rPr>
          <w:rFonts w:ascii="Arial" w:eastAsia="Arial" w:hAnsi="Arial" w:cs="Arial"/>
          <w:sz w:val="20"/>
        </w:rPr>
        <w:t xml:space="preserve">By individually modeling both melting and freezing curves the </w:t>
      </w:r>
      <w:r w:rsidR="00D7633F">
        <w:rPr>
          <w:rFonts w:ascii="Arial" w:eastAsia="Arial" w:hAnsi="Arial" w:cs="Arial"/>
          <w:sz w:val="20"/>
        </w:rPr>
        <w:t xml:space="preserve">dual curve PCM model provides </w:t>
      </w:r>
      <w:r w:rsidR="00FD141D">
        <w:rPr>
          <w:rFonts w:ascii="Arial" w:eastAsia="Arial" w:hAnsi="Arial" w:cs="Arial"/>
          <w:sz w:val="20"/>
        </w:rPr>
        <w:t xml:space="preserve">hysteresis capabilities. Two </w:t>
      </w:r>
      <w:r w:rsidR="00D7633F">
        <w:rPr>
          <w:rFonts w:ascii="Arial" w:eastAsia="Arial" w:hAnsi="Arial" w:cs="Arial"/>
          <w:sz w:val="20"/>
        </w:rPr>
        <w:t>options for modeling effects of hysteresis</w:t>
      </w:r>
      <w:r w:rsidR="00FD141D">
        <w:rPr>
          <w:rFonts w:ascii="Arial" w:eastAsia="Arial" w:hAnsi="Arial" w:cs="Arial"/>
          <w:sz w:val="20"/>
        </w:rPr>
        <w:t xml:space="preserve">, shifting between curves as a straight line when temperatures change directions and tracking previous </w:t>
      </w:r>
      <w:proofErr w:type="spellStart"/>
      <w:r w:rsidR="00FD141D">
        <w:rPr>
          <w:rFonts w:ascii="Arial" w:eastAsia="Arial" w:hAnsi="Arial" w:cs="Arial"/>
          <w:sz w:val="20"/>
        </w:rPr>
        <w:t>timestep</w:t>
      </w:r>
      <w:proofErr w:type="spellEnd"/>
      <w:r w:rsidR="00FD141D">
        <w:rPr>
          <w:rFonts w:ascii="Arial" w:eastAsia="Arial" w:hAnsi="Arial" w:cs="Arial"/>
          <w:sz w:val="20"/>
        </w:rPr>
        <w:t xml:space="preserve"> phase change state. </w:t>
      </w:r>
    </w:p>
    <w:p w:rsidR="003511AC" w:rsidRDefault="003511AC">
      <w:pPr>
        <w:spacing w:before="60" w:after="60"/>
        <w:ind w:left="1080"/>
        <w:jc w:val="both"/>
      </w:pPr>
    </w:p>
    <w:p w:rsidR="003511AC" w:rsidRDefault="00D7633F">
      <w:pPr>
        <w:ind w:left="1080"/>
      </w:pPr>
      <w:r>
        <w:rPr>
          <w:rFonts w:ascii="Arial" w:eastAsia="Arial" w:hAnsi="Arial" w:cs="Arial"/>
          <w:b/>
          <w:sz w:val="20"/>
        </w:rPr>
        <w:t>Construction of Enthalpy Curve</w:t>
      </w:r>
    </w:p>
    <w:p w:rsidR="003511AC" w:rsidRDefault="003511AC">
      <w:pPr>
        <w:ind w:left="1080"/>
      </w:pPr>
    </w:p>
    <w:p w:rsidR="0065481F" w:rsidRDefault="00D7633F" w:rsidP="0065481F">
      <w:pPr>
        <w:ind w:left="108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The model uses polynomial fitting curves to describe the properties of PCM adapted from the </w:t>
      </w:r>
      <w:proofErr w:type="spellStart"/>
      <w:r>
        <w:rPr>
          <w:rFonts w:ascii="Arial" w:eastAsia="Arial" w:hAnsi="Arial" w:cs="Arial"/>
          <w:sz w:val="20"/>
        </w:rPr>
        <w:t>Ginzburg</w:t>
      </w:r>
      <w:proofErr w:type="spellEnd"/>
      <w:r>
        <w:rPr>
          <w:rFonts w:ascii="Arial" w:eastAsia="Arial" w:hAnsi="Arial" w:cs="Arial"/>
          <w:sz w:val="20"/>
        </w:rPr>
        <w:t>-Landau theory of phase transitions.  Dependent upon the composition, congruency and if the material is eutectic; PCM's can exhibit discontinuity at the melting temperature (Figure 1 Curve A) thus enthalpy is not a</w:t>
      </w:r>
      <w:r w:rsidR="0065481F">
        <w:rPr>
          <w:rFonts w:ascii="Arial" w:eastAsia="Arial" w:hAnsi="Arial" w:cs="Arial"/>
          <w:sz w:val="20"/>
        </w:rPr>
        <w:t xml:space="preserve"> unique function of temperature, </w:t>
      </w:r>
      <w:r>
        <w:rPr>
          <w:rFonts w:ascii="Arial" w:eastAsia="Arial" w:hAnsi="Arial" w:cs="Arial"/>
          <w:sz w:val="20"/>
        </w:rPr>
        <w:t xml:space="preserve">or can exhibit enthalpy as a continuous function of temperature (Figure 1 Curve B). This results in </w:t>
      </w:r>
      <w:r w:rsidR="0065481F">
        <w:rPr>
          <w:rFonts w:ascii="Arial" w:eastAsia="Arial" w:hAnsi="Arial" w:cs="Arial"/>
          <w:sz w:val="20"/>
        </w:rPr>
        <w:t xml:space="preserve">a ‘mushy’ phase change state </w:t>
      </w:r>
      <w:r>
        <w:rPr>
          <w:rFonts w:ascii="Arial" w:eastAsia="Arial" w:hAnsi="Arial" w:cs="Arial"/>
          <w:sz w:val="20"/>
        </w:rPr>
        <w:t>between solid and liquid regions.</w:t>
      </w:r>
    </w:p>
    <w:p w:rsidR="0065481F" w:rsidRDefault="0065481F" w:rsidP="0065481F">
      <w:pPr>
        <w:ind w:left="1080"/>
        <w:rPr>
          <w:rFonts w:ascii="Arial" w:eastAsia="Arial" w:hAnsi="Arial" w:cs="Arial"/>
          <w:sz w:val="20"/>
        </w:rPr>
      </w:pPr>
    </w:p>
    <w:p w:rsidR="0065481F" w:rsidRDefault="00D7633F" w:rsidP="0065481F">
      <w:pPr>
        <w:ind w:left="108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To address this “mushy region” explicit equations adapted from the work of </w:t>
      </w:r>
      <w:proofErr w:type="spellStart"/>
      <w:r>
        <w:rPr>
          <w:rFonts w:ascii="Arial" w:eastAsia="Arial" w:hAnsi="Arial" w:cs="Arial"/>
          <w:sz w:val="20"/>
        </w:rPr>
        <w:t>Egolf</w:t>
      </w:r>
      <w:proofErr w:type="spellEnd"/>
      <w:r>
        <w:rPr>
          <w:rFonts w:ascii="Arial" w:eastAsia="Arial" w:hAnsi="Arial" w:cs="Arial"/>
          <w:sz w:val="20"/>
        </w:rPr>
        <w:t xml:space="preserve"> and </w:t>
      </w:r>
      <w:proofErr w:type="spellStart"/>
      <w:r>
        <w:rPr>
          <w:rFonts w:ascii="Arial" w:eastAsia="Arial" w:hAnsi="Arial" w:cs="Arial"/>
          <w:sz w:val="20"/>
        </w:rPr>
        <w:t>Manz</w:t>
      </w:r>
      <w:proofErr w:type="spellEnd"/>
      <w:r>
        <w:rPr>
          <w:rFonts w:ascii="Arial" w:eastAsia="Arial" w:hAnsi="Arial" w:cs="Arial"/>
          <w:sz w:val="20"/>
        </w:rPr>
        <w:t xml:space="preserve"> (1994) are used for the enthalpy as a function of temperature</w:t>
      </w:r>
      <w:r w:rsidR="0065481F">
        <w:rPr>
          <w:rFonts w:ascii="Arial" w:eastAsia="Arial" w:hAnsi="Arial" w:cs="Arial"/>
          <w:sz w:val="20"/>
        </w:rPr>
        <w:t xml:space="preserve">. This method is </w:t>
      </w:r>
      <w:r>
        <w:rPr>
          <w:rFonts w:ascii="Arial" w:eastAsia="Arial" w:hAnsi="Arial" w:cs="Arial"/>
          <w:sz w:val="20"/>
        </w:rPr>
        <w:t>applicable to PCMs that show different widths of melting</w:t>
      </w:r>
      <w:r w:rsidR="0065481F">
        <w:rPr>
          <w:rFonts w:ascii="Arial" w:eastAsia="Arial" w:hAnsi="Arial" w:cs="Arial"/>
          <w:sz w:val="20"/>
        </w:rPr>
        <w:t xml:space="preserve"> or freezing</w:t>
      </w:r>
      <w:r>
        <w:rPr>
          <w:rFonts w:ascii="Arial" w:eastAsia="Arial" w:hAnsi="Arial" w:cs="Arial"/>
          <w:sz w:val="20"/>
        </w:rPr>
        <w:t xml:space="preserve"> region</w:t>
      </w:r>
      <w:r w:rsidR="0065481F">
        <w:rPr>
          <w:rFonts w:ascii="Arial" w:eastAsia="Arial" w:hAnsi="Arial" w:cs="Arial"/>
          <w:sz w:val="20"/>
        </w:rPr>
        <w:t>s</w:t>
      </w:r>
      <w:r>
        <w:rPr>
          <w:rFonts w:ascii="Arial" w:eastAsia="Arial" w:hAnsi="Arial" w:cs="Arial"/>
          <w:sz w:val="20"/>
        </w:rPr>
        <w:t xml:space="preserve"> and different specific heats in the solid and liquid phases. Performance of the curve depends on the width of the melting </w:t>
      </w:r>
      <w:r w:rsidR="0065481F">
        <w:rPr>
          <w:rFonts w:ascii="Arial" w:eastAsia="Arial" w:hAnsi="Arial" w:cs="Arial"/>
          <w:sz w:val="20"/>
        </w:rPr>
        <w:t xml:space="preserve">and freezing </w:t>
      </w:r>
      <w:r>
        <w:rPr>
          <w:rFonts w:ascii="Arial" w:eastAsia="Arial" w:hAnsi="Arial" w:cs="Arial"/>
          <w:sz w:val="20"/>
        </w:rPr>
        <w:t>region</w:t>
      </w:r>
      <w:r w:rsidR="0065481F">
        <w:rPr>
          <w:rFonts w:ascii="Arial" w:eastAsia="Arial" w:hAnsi="Arial" w:cs="Arial"/>
          <w:sz w:val="20"/>
        </w:rPr>
        <w:t>s</w:t>
      </w:r>
      <w:r>
        <w:rPr>
          <w:rFonts w:ascii="Arial" w:eastAsia="Arial" w:hAnsi="Arial" w:cs="Arial"/>
          <w:sz w:val="20"/>
        </w:rPr>
        <w:t xml:space="preserve">. For a narrow melting </w:t>
      </w:r>
      <w:r w:rsidR="0065481F">
        <w:rPr>
          <w:rFonts w:ascii="Arial" w:eastAsia="Arial" w:hAnsi="Arial" w:cs="Arial"/>
          <w:sz w:val="20"/>
        </w:rPr>
        <w:t xml:space="preserve">or freezing </w:t>
      </w:r>
      <w:r>
        <w:rPr>
          <w:rFonts w:ascii="Arial" w:eastAsia="Arial" w:hAnsi="Arial" w:cs="Arial"/>
          <w:sz w:val="20"/>
        </w:rPr>
        <w:t xml:space="preserve">range, the curve is steep (Figure 1 Curve A) and includes minimal characteristic rounding above and below the melting region. </w:t>
      </w:r>
    </w:p>
    <w:p w:rsidR="0065481F" w:rsidRDefault="0065481F" w:rsidP="0065481F">
      <w:pPr>
        <w:ind w:left="1080"/>
        <w:rPr>
          <w:rFonts w:ascii="Arial" w:eastAsia="Arial" w:hAnsi="Arial" w:cs="Arial"/>
          <w:sz w:val="20"/>
        </w:rPr>
      </w:pPr>
    </w:p>
    <w:p w:rsidR="001052BD" w:rsidRDefault="00D7633F" w:rsidP="00391D78">
      <w:pPr>
        <w:ind w:left="1080"/>
      </w:pPr>
      <w:r>
        <w:rPr>
          <w:rFonts w:ascii="Arial" w:eastAsia="Arial" w:hAnsi="Arial" w:cs="Arial"/>
          <w:b/>
          <w:sz w:val="20"/>
        </w:rPr>
        <w:t xml:space="preserve">Figure 1 </w:t>
      </w:r>
      <w:r>
        <w:rPr>
          <w:rFonts w:ascii="Arial" w:eastAsia="Arial" w:hAnsi="Arial" w:cs="Arial"/>
          <w:sz w:val="20"/>
        </w:rPr>
        <w:t>Discontinuous (A) and continuous (B) functions for enthalpy (Ad</w:t>
      </w:r>
      <w:r w:rsidR="00391D78">
        <w:rPr>
          <w:rFonts w:ascii="Arial" w:eastAsia="Arial" w:hAnsi="Arial" w:cs="Arial"/>
          <w:sz w:val="20"/>
        </w:rPr>
        <w:t xml:space="preserve">apted from </w:t>
      </w:r>
      <w:proofErr w:type="spellStart"/>
      <w:r w:rsidR="00391D78">
        <w:rPr>
          <w:rFonts w:ascii="Arial" w:eastAsia="Arial" w:hAnsi="Arial" w:cs="Arial"/>
          <w:sz w:val="20"/>
        </w:rPr>
        <w:t>Egolf</w:t>
      </w:r>
      <w:proofErr w:type="spellEnd"/>
      <w:r w:rsidR="00391D78">
        <w:rPr>
          <w:rFonts w:ascii="Arial" w:eastAsia="Arial" w:hAnsi="Arial" w:cs="Arial"/>
          <w:sz w:val="20"/>
        </w:rPr>
        <w:t xml:space="preserve"> and </w:t>
      </w:r>
      <w:proofErr w:type="spellStart"/>
      <w:r w:rsidR="00391D78">
        <w:rPr>
          <w:rFonts w:ascii="Arial" w:eastAsia="Arial" w:hAnsi="Arial" w:cs="Arial"/>
          <w:sz w:val="20"/>
        </w:rPr>
        <w:t>Manz</w:t>
      </w:r>
      <w:proofErr w:type="spellEnd"/>
      <w:r w:rsidR="00391D78">
        <w:rPr>
          <w:rFonts w:ascii="Arial" w:eastAsia="Arial" w:hAnsi="Arial" w:cs="Arial"/>
          <w:sz w:val="20"/>
        </w:rPr>
        <w:t xml:space="preserve"> 1994)</w:t>
      </w:r>
      <w:r>
        <w:rPr>
          <w:noProof/>
        </w:rPr>
        <w:drawing>
          <wp:anchor distT="19050" distB="19050" distL="19050" distR="19050" simplePos="0" relativeHeight="251658240" behindDoc="0" locked="0" layoutInCell="0" hidden="0" allowOverlap="0" wp14:anchorId="79DD6F66" wp14:editId="3F07942A">
            <wp:simplePos x="0" y="0"/>
            <wp:positionH relativeFrom="margin">
              <wp:posOffset>420369</wp:posOffset>
            </wp:positionH>
            <wp:positionV relativeFrom="paragraph">
              <wp:posOffset>95250</wp:posOffset>
            </wp:positionV>
            <wp:extent cx="4432300" cy="3332480"/>
            <wp:effectExtent l="0" t="0" r="0" b="0"/>
            <wp:wrapSquare wrapText="bothSides" distT="19050" distB="19050" distL="19050" distR="1905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052BD" w:rsidRDefault="001052BD">
      <w:pPr>
        <w:spacing w:before="60" w:after="60"/>
        <w:ind w:left="1440"/>
        <w:jc w:val="both"/>
        <w:rPr>
          <w:noProof/>
        </w:rPr>
      </w:pPr>
    </w:p>
    <w:p w:rsidR="001052BD" w:rsidRDefault="001052BD">
      <w:pPr>
        <w:spacing w:before="60" w:after="60"/>
        <w:ind w:left="1440"/>
        <w:jc w:val="both"/>
        <w:rPr>
          <w:noProof/>
        </w:rPr>
      </w:pPr>
    </w:p>
    <w:p w:rsidR="003511AC" w:rsidRDefault="00D7633F">
      <w:pPr>
        <w:spacing w:before="60" w:after="60"/>
        <w:ind w:left="1440"/>
        <w:jc w:val="both"/>
      </w:pPr>
      <w:r>
        <w:rPr>
          <w:noProof/>
        </w:rPr>
        <w:drawing>
          <wp:inline distT="19050" distB="19050" distL="19050" distR="19050">
            <wp:extent cx="5041265" cy="1409700"/>
            <wp:effectExtent l="0" t="0" r="0" b="0"/>
            <wp:docPr id="9" name="image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png"/>
                    <pic:cNvPicPr preferRelativeResize="0"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126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1AC" w:rsidRDefault="00D7633F">
      <w:pPr>
        <w:spacing w:before="60" w:after="60"/>
        <w:ind w:left="1440"/>
        <w:jc w:val="both"/>
      </w:pPr>
      <w:r>
        <w:rPr>
          <w:rFonts w:ascii="Arial" w:eastAsia="Arial" w:hAnsi="Arial" w:cs="Arial"/>
          <w:sz w:val="20"/>
        </w:rPr>
        <w:t>Where</w:t>
      </w:r>
    </w:p>
    <w:p w:rsidR="003511AC" w:rsidRDefault="00D7633F">
      <w:pPr>
        <w:spacing w:before="60" w:after="60"/>
        <w:ind w:left="1440"/>
        <w:jc w:val="both"/>
      </w:pPr>
      <w:r>
        <w:rPr>
          <w:rFonts w:ascii="Arial" w:eastAsia="Arial" w:hAnsi="Arial" w:cs="Arial"/>
          <w:sz w:val="20"/>
        </w:rPr>
        <w:t>Cp</w:t>
      </w:r>
      <w:proofErr w:type="gramStart"/>
      <w:r>
        <w:rPr>
          <w:rFonts w:ascii="Arial" w:eastAsia="Arial" w:hAnsi="Arial" w:cs="Arial"/>
          <w:sz w:val="20"/>
        </w:rPr>
        <w:t>,1</w:t>
      </w:r>
      <w:proofErr w:type="gramEnd"/>
      <w:r>
        <w:rPr>
          <w:rFonts w:ascii="Arial" w:eastAsia="Arial" w:hAnsi="Arial" w:cs="Arial"/>
          <w:sz w:val="20"/>
        </w:rPr>
        <w:t xml:space="preserve">   = specific heat in solid state (J/kg-k)</w:t>
      </w:r>
    </w:p>
    <w:p w:rsidR="003511AC" w:rsidRDefault="00D7633F">
      <w:pPr>
        <w:spacing w:before="60" w:after="60"/>
        <w:ind w:left="1440"/>
        <w:jc w:val="both"/>
      </w:pPr>
      <w:r>
        <w:rPr>
          <w:rFonts w:ascii="Arial" w:eastAsia="Arial" w:hAnsi="Arial" w:cs="Arial"/>
          <w:sz w:val="20"/>
        </w:rPr>
        <w:t>Cp</w:t>
      </w:r>
      <w:proofErr w:type="gramStart"/>
      <w:r>
        <w:rPr>
          <w:rFonts w:ascii="Arial" w:eastAsia="Arial" w:hAnsi="Arial" w:cs="Arial"/>
          <w:sz w:val="20"/>
        </w:rPr>
        <w:t>,2</w:t>
      </w:r>
      <w:proofErr w:type="gramEnd"/>
      <w:r>
        <w:rPr>
          <w:rFonts w:ascii="Arial" w:eastAsia="Arial" w:hAnsi="Arial" w:cs="Arial"/>
          <w:sz w:val="20"/>
        </w:rPr>
        <w:t xml:space="preserve">   = specific heat in liquid state (J/kg-k) </w:t>
      </w:r>
    </w:p>
    <w:p w:rsidR="003511AC" w:rsidRDefault="00D7633F">
      <w:pPr>
        <w:spacing w:before="60" w:after="60"/>
        <w:ind w:left="1440"/>
        <w:jc w:val="both"/>
      </w:pPr>
      <w:r>
        <w:rPr>
          <w:rFonts w:ascii="Arial" w:eastAsia="Arial" w:hAnsi="Arial" w:cs="Arial"/>
          <w:sz w:val="20"/>
        </w:rPr>
        <w:t>Tm     = Melt (Or Freeze) temperature (</w:t>
      </w:r>
      <w:r>
        <w:rPr>
          <w:rFonts w:ascii="Arial" w:eastAsia="Arial" w:hAnsi="Arial" w:cs="Arial"/>
          <w:color w:val="444444"/>
          <w:sz w:val="20"/>
        </w:rPr>
        <w:t>°</w:t>
      </w:r>
      <w:r>
        <w:rPr>
          <w:rFonts w:ascii="Arial" w:eastAsia="Arial" w:hAnsi="Arial" w:cs="Arial"/>
          <w:sz w:val="20"/>
        </w:rPr>
        <w:t>C)</w:t>
      </w:r>
    </w:p>
    <w:p w:rsidR="003511AC" w:rsidRDefault="00D7633F">
      <w:pPr>
        <w:spacing w:before="60" w:after="60"/>
        <w:ind w:left="1440"/>
        <w:jc w:val="both"/>
      </w:pPr>
      <w:proofErr w:type="gramStart"/>
      <w:r>
        <w:rPr>
          <w:rFonts w:ascii="Arial" w:eastAsia="Arial" w:hAnsi="Arial" w:cs="Arial"/>
          <w:sz w:val="20"/>
        </w:rPr>
        <w:t>h2-h1</w:t>
      </w:r>
      <w:proofErr w:type="gramEnd"/>
      <w:r>
        <w:rPr>
          <w:rFonts w:ascii="Arial" w:eastAsia="Arial" w:hAnsi="Arial" w:cs="Arial"/>
          <w:sz w:val="20"/>
        </w:rPr>
        <w:t xml:space="preserve"> = Latent Heat stored (J/kg)</w:t>
      </w:r>
    </w:p>
    <w:p w:rsidR="003511AC" w:rsidRDefault="00D7633F">
      <w:pPr>
        <w:spacing w:before="60" w:after="60"/>
        <w:ind w:left="1440"/>
        <w:jc w:val="both"/>
      </w:pPr>
      <w:proofErr w:type="spellStart"/>
      <w:proofErr w:type="gramStart"/>
      <w:r>
        <w:rPr>
          <w:rFonts w:ascii="Arial" w:eastAsia="Arial" w:hAnsi="Arial" w:cs="Arial"/>
          <w:sz w:val="20"/>
        </w:rPr>
        <w:t>Tn</w:t>
      </w:r>
      <w:proofErr w:type="spellEnd"/>
      <w:proofErr w:type="gramEnd"/>
      <w:r>
        <w:rPr>
          <w:rFonts w:ascii="Arial" w:eastAsia="Arial" w:hAnsi="Arial" w:cs="Arial"/>
          <w:sz w:val="20"/>
        </w:rPr>
        <w:t xml:space="preserve">      = Melt (Or Freeze) range </w:t>
      </w:r>
    </w:p>
    <w:p w:rsidR="003511AC" w:rsidRDefault="003511AC">
      <w:pPr>
        <w:spacing w:before="60" w:after="60"/>
        <w:ind w:left="1440"/>
        <w:jc w:val="both"/>
      </w:pPr>
    </w:p>
    <w:p w:rsidR="003511AC" w:rsidRDefault="00D7633F" w:rsidP="00391D78">
      <w:pPr>
        <w:spacing w:after="85" w:line="273" w:lineRule="auto"/>
        <w:ind w:left="1416" w:right="1331"/>
        <w:jc w:val="both"/>
      </w:pPr>
      <w:r>
        <w:rPr>
          <w:rFonts w:ascii="Arial" w:eastAsia="Arial" w:hAnsi="Arial" w:cs="Arial"/>
          <w:b/>
          <w:sz w:val="20"/>
        </w:rPr>
        <w:t xml:space="preserve">Figure 2: Equations used in Dual Curve PCM model: </w:t>
      </w:r>
      <w:r>
        <w:rPr>
          <w:rFonts w:ascii="Arial" w:eastAsia="Arial" w:hAnsi="Arial" w:cs="Arial"/>
          <w:sz w:val="20"/>
        </w:rPr>
        <w:t xml:space="preserve">Above are the equations for enthalpy as a function of temperature used in the model for both the melting and freezing curves adapted from the work of </w:t>
      </w:r>
      <w:proofErr w:type="spellStart"/>
      <w:r>
        <w:rPr>
          <w:rFonts w:ascii="Arial" w:eastAsia="Arial" w:hAnsi="Arial" w:cs="Arial"/>
          <w:sz w:val="20"/>
        </w:rPr>
        <w:t>Egolf</w:t>
      </w:r>
      <w:proofErr w:type="spellEnd"/>
      <w:r>
        <w:rPr>
          <w:rFonts w:ascii="Arial" w:eastAsia="Arial" w:hAnsi="Arial" w:cs="Arial"/>
          <w:sz w:val="20"/>
        </w:rPr>
        <w:t xml:space="preserve"> and </w:t>
      </w:r>
      <w:proofErr w:type="spellStart"/>
      <w:r>
        <w:rPr>
          <w:rFonts w:ascii="Arial" w:eastAsia="Arial" w:hAnsi="Arial" w:cs="Arial"/>
          <w:sz w:val="20"/>
        </w:rPr>
        <w:t>Manz</w:t>
      </w:r>
      <w:proofErr w:type="spellEnd"/>
      <w:r>
        <w:rPr>
          <w:rFonts w:ascii="Arial" w:eastAsia="Arial" w:hAnsi="Arial" w:cs="Arial"/>
          <w:sz w:val="20"/>
        </w:rPr>
        <w:t xml:space="preserve"> (1994).  </w:t>
      </w:r>
    </w:p>
    <w:p w:rsidR="003511AC" w:rsidRDefault="003511AC">
      <w:pPr>
        <w:ind w:left="1080"/>
      </w:pPr>
    </w:p>
    <w:p w:rsidR="003511AC" w:rsidRDefault="00D7633F">
      <w:pPr>
        <w:spacing w:after="85" w:line="273" w:lineRule="auto"/>
        <w:ind w:left="1416" w:right="1331"/>
        <w:jc w:val="both"/>
      </w:pPr>
      <w:r w:rsidRPr="00391D78">
        <w:rPr>
          <w:rFonts w:ascii="Arial" w:eastAsia="Arial" w:hAnsi="Arial" w:cs="Arial"/>
          <w:b/>
          <w:sz w:val="20"/>
        </w:rPr>
        <w:t>Modeling options:</w:t>
      </w:r>
      <w:r>
        <w:rPr>
          <w:rFonts w:ascii="Arial" w:eastAsia="Arial" w:hAnsi="Arial" w:cs="Arial"/>
          <w:sz w:val="20"/>
        </w:rPr>
        <w:t xml:space="preserve"> There are two hyste</w:t>
      </w:r>
      <w:r w:rsidR="00391D78">
        <w:rPr>
          <w:rFonts w:ascii="Arial" w:eastAsia="Arial" w:hAnsi="Arial" w:cs="Arial"/>
          <w:sz w:val="20"/>
        </w:rPr>
        <w:t>resis modeling methods</w:t>
      </w:r>
      <w:r>
        <w:rPr>
          <w:rFonts w:ascii="Arial" w:eastAsia="Arial" w:hAnsi="Arial" w:cs="Arial"/>
          <w:sz w:val="20"/>
        </w:rPr>
        <w:t xml:space="preserve">, curve switch and curve track as described below:  </w:t>
      </w:r>
    </w:p>
    <w:p w:rsidR="003511AC" w:rsidRDefault="00D7633F">
      <w:pPr>
        <w:pStyle w:val="Heading2"/>
        <w:numPr>
          <w:ilvl w:val="1"/>
          <w:numId w:val="1"/>
        </w:numPr>
        <w:ind w:left="1416"/>
      </w:pPr>
      <w:proofErr w:type="spellStart"/>
      <w:r>
        <w:rPr>
          <w:rFonts w:ascii="Arial" w:eastAsia="Arial" w:hAnsi="Arial" w:cs="Arial"/>
          <w:sz w:val="20"/>
        </w:rPr>
        <w:t>CurveShift</w:t>
      </w:r>
      <w:proofErr w:type="spellEnd"/>
      <w:r>
        <w:rPr>
          <w:rFonts w:ascii="Arial" w:eastAsia="Arial" w:hAnsi="Arial" w:cs="Arial"/>
          <w:sz w:val="20"/>
        </w:rPr>
        <w:t xml:space="preserve">:  </w:t>
      </w:r>
    </w:p>
    <w:p w:rsidR="003511AC" w:rsidRDefault="00D7633F">
      <w:pPr>
        <w:spacing w:after="266" w:line="273" w:lineRule="auto"/>
        <w:ind w:left="1440" w:right="734" w:hanging="9"/>
        <w:jc w:val="both"/>
      </w:pPr>
      <w:r>
        <w:rPr>
          <w:rFonts w:ascii="Arial" w:eastAsia="Arial" w:hAnsi="Arial" w:cs="Arial"/>
          <w:sz w:val="20"/>
        </w:rPr>
        <w:t xml:space="preserve">Figure 3a shows the transition between melting and freezing is a straight line model (y = mx + c) between the two curves. Hysteresis modeling is accomplished as the current thermo-physical state of PCM is based upon the temperature of the material sampled at a previous time; if the temperature shows an increase the model assumes melting curve, whereas if it decreases, the model assumes freezing curve. The transition process is modeled as a straight line between the two curves. Reference: Bony and </w:t>
      </w:r>
      <w:proofErr w:type="spellStart"/>
      <w:r>
        <w:rPr>
          <w:rFonts w:ascii="Arial" w:eastAsia="Arial" w:hAnsi="Arial" w:cs="Arial"/>
          <w:sz w:val="20"/>
        </w:rPr>
        <w:t>Citherlet</w:t>
      </w:r>
      <w:proofErr w:type="spellEnd"/>
      <w:r>
        <w:rPr>
          <w:rFonts w:ascii="Arial" w:eastAsia="Arial" w:hAnsi="Arial" w:cs="Arial"/>
          <w:sz w:val="20"/>
        </w:rPr>
        <w:t xml:space="preserve"> 2007. </w:t>
      </w:r>
    </w:p>
    <w:p w:rsidR="003511AC" w:rsidRDefault="003511AC">
      <w:pPr>
        <w:spacing w:after="266" w:line="273" w:lineRule="auto"/>
        <w:ind w:left="1440" w:right="734" w:hanging="9"/>
        <w:jc w:val="both"/>
      </w:pPr>
    </w:p>
    <w:p w:rsidR="003511AC" w:rsidRDefault="003511AC">
      <w:pPr>
        <w:spacing w:after="266" w:line="273" w:lineRule="auto"/>
        <w:ind w:left="1440" w:right="734" w:hanging="9"/>
        <w:jc w:val="both"/>
      </w:pPr>
    </w:p>
    <w:p w:rsidR="003511AC" w:rsidRDefault="003511AC">
      <w:pPr>
        <w:spacing w:after="266" w:line="273" w:lineRule="auto"/>
        <w:ind w:left="1440" w:right="734" w:hanging="9"/>
        <w:jc w:val="both"/>
      </w:pPr>
    </w:p>
    <w:p w:rsidR="003511AC" w:rsidRDefault="003511AC">
      <w:pPr>
        <w:spacing w:after="266" w:line="273" w:lineRule="auto"/>
        <w:ind w:left="1440" w:right="734" w:hanging="9"/>
        <w:jc w:val="both"/>
      </w:pPr>
    </w:p>
    <w:p w:rsidR="003511AC" w:rsidRDefault="003511AC">
      <w:pPr>
        <w:spacing w:after="266" w:line="273" w:lineRule="auto"/>
        <w:ind w:left="1440" w:right="734" w:hanging="9"/>
        <w:jc w:val="both"/>
      </w:pPr>
    </w:p>
    <w:p w:rsidR="003511AC" w:rsidRDefault="003511AC">
      <w:pPr>
        <w:spacing w:after="266" w:line="273" w:lineRule="auto"/>
        <w:ind w:left="1440" w:right="734" w:hanging="9"/>
        <w:jc w:val="both"/>
      </w:pPr>
    </w:p>
    <w:p w:rsidR="003511AC" w:rsidRDefault="00556E34">
      <w:pPr>
        <w:pStyle w:val="Heading2"/>
        <w:numPr>
          <w:ilvl w:val="1"/>
          <w:numId w:val="1"/>
        </w:numPr>
        <w:ind w:left="1416"/>
      </w:pPr>
      <w:proofErr w:type="spellStart"/>
      <w:r>
        <w:rPr>
          <w:rFonts w:ascii="Arial" w:eastAsia="Arial" w:hAnsi="Arial" w:cs="Arial"/>
          <w:sz w:val="20"/>
        </w:rPr>
        <w:t>CurveTrack</w:t>
      </w:r>
      <w:proofErr w:type="spellEnd"/>
      <w:r>
        <w:rPr>
          <w:rFonts w:ascii="Arial" w:eastAsia="Arial" w:hAnsi="Arial" w:cs="Arial"/>
          <w:sz w:val="20"/>
        </w:rPr>
        <w:t>:</w:t>
      </w:r>
    </w:p>
    <w:p w:rsidR="003511AC" w:rsidRDefault="00D7633F">
      <w:pPr>
        <w:spacing w:after="85" w:line="273" w:lineRule="auto"/>
        <w:ind w:left="1416" w:right="1328"/>
        <w:jc w:val="both"/>
      </w:pPr>
      <w:r>
        <w:rPr>
          <w:rFonts w:ascii="Arial" w:eastAsia="Arial" w:hAnsi="Arial" w:cs="Arial"/>
          <w:sz w:val="20"/>
        </w:rPr>
        <w:t>The curve track method assumes that the material will follow the same curve until a full tran</w:t>
      </w:r>
      <w:r w:rsidR="00556E34">
        <w:rPr>
          <w:rFonts w:ascii="Arial" w:eastAsia="Arial" w:hAnsi="Arial" w:cs="Arial"/>
          <w:sz w:val="20"/>
        </w:rPr>
        <w:t xml:space="preserve">sition has been made. </w:t>
      </w:r>
      <w:proofErr w:type="spellStart"/>
      <w:r>
        <w:rPr>
          <w:rFonts w:ascii="Arial" w:eastAsia="Arial" w:hAnsi="Arial" w:cs="Arial"/>
          <w:sz w:val="20"/>
        </w:rPr>
        <w:t>CurveTrack</w:t>
      </w:r>
      <w:proofErr w:type="spellEnd"/>
      <w:r>
        <w:rPr>
          <w:rFonts w:ascii="Arial" w:eastAsia="Arial" w:hAnsi="Arial" w:cs="Arial"/>
          <w:sz w:val="20"/>
        </w:rPr>
        <w:t xml:space="preserve"> tracks the phase change state</w:t>
      </w:r>
      <w:r w:rsidR="00556E34">
        <w:rPr>
          <w:rFonts w:ascii="Arial" w:eastAsia="Arial" w:hAnsi="Arial" w:cs="Arial"/>
          <w:sz w:val="20"/>
        </w:rPr>
        <w:t xml:space="preserve">, </w:t>
      </w:r>
      <w:r>
        <w:rPr>
          <w:rFonts w:ascii="Arial" w:eastAsia="Arial" w:hAnsi="Arial" w:cs="Arial"/>
          <w:sz w:val="20"/>
        </w:rPr>
        <w:t>and when a full transitions has been made switches from melting to freezing</w:t>
      </w:r>
      <w:r w:rsidR="00556E34">
        <w:rPr>
          <w:rFonts w:ascii="Arial" w:eastAsia="Arial" w:hAnsi="Arial" w:cs="Arial"/>
          <w:sz w:val="20"/>
        </w:rPr>
        <w:t xml:space="preserve"> curve, as shown in Figure 3(b)</w:t>
      </w:r>
      <w:r>
        <w:rPr>
          <w:rFonts w:ascii="Arial" w:eastAsia="Arial" w:hAnsi="Arial" w:cs="Arial"/>
          <w:sz w:val="20"/>
        </w:rPr>
        <w:t xml:space="preserve">. This transition occurs similarly when switching from the freezing to the melting curve. </w:t>
      </w:r>
      <w:r w:rsidR="00556E34">
        <w:rPr>
          <w:rFonts w:ascii="Arial" w:eastAsia="Arial" w:hAnsi="Arial" w:cs="Arial"/>
          <w:sz w:val="20"/>
        </w:rPr>
        <w:t>Hysteresis for such materials is seen only when it cools from a complete liquid state</w:t>
      </w:r>
      <w:r>
        <w:rPr>
          <w:rFonts w:ascii="Arial" w:eastAsia="Arial" w:hAnsi="Arial" w:cs="Arial"/>
          <w:sz w:val="20"/>
        </w:rPr>
        <w:t xml:space="preserve"> This approach is based on the research of </w:t>
      </w:r>
      <w:proofErr w:type="spellStart"/>
      <w:r>
        <w:rPr>
          <w:rFonts w:ascii="Arial" w:eastAsia="Arial" w:hAnsi="Arial" w:cs="Arial"/>
          <w:sz w:val="20"/>
        </w:rPr>
        <w:t>Som</w:t>
      </w:r>
      <w:proofErr w:type="spellEnd"/>
      <w:r>
        <w:rPr>
          <w:rFonts w:ascii="Arial" w:eastAsia="Arial" w:hAnsi="Arial" w:cs="Arial"/>
          <w:sz w:val="20"/>
        </w:rPr>
        <w:t xml:space="preserve"> Shrestha, PhD at Oak Ridge National Lab. </w:t>
      </w:r>
    </w:p>
    <w:p w:rsidR="003511AC" w:rsidRDefault="003511AC" w:rsidP="00556E34">
      <w:pPr>
        <w:spacing w:after="85" w:line="273" w:lineRule="auto"/>
        <w:ind w:right="1328"/>
        <w:jc w:val="both"/>
      </w:pPr>
    </w:p>
    <w:p w:rsidR="003511AC" w:rsidRDefault="00D7633F">
      <w:pPr>
        <w:spacing w:after="115"/>
        <w:ind w:left="360" w:right="190"/>
        <w:jc w:val="right"/>
      </w:pPr>
      <w:r>
        <w:rPr>
          <w:rFonts w:ascii="Arial" w:eastAsia="Arial" w:hAnsi="Arial" w:cs="Arial"/>
          <w:sz w:val="20"/>
        </w:rPr>
        <w:t xml:space="preserve">  </w:t>
      </w:r>
      <w:r>
        <w:rPr>
          <w:noProof/>
        </w:rPr>
        <w:drawing>
          <wp:anchor distT="19050" distB="19050" distL="19050" distR="19050" simplePos="0" relativeHeight="251659264" behindDoc="0" locked="0" layoutInCell="0" hidden="0" allowOverlap="0">
            <wp:simplePos x="0" y="0"/>
            <wp:positionH relativeFrom="margin">
              <wp:posOffset>22225</wp:posOffset>
            </wp:positionH>
            <wp:positionV relativeFrom="paragraph">
              <wp:posOffset>27940</wp:posOffset>
            </wp:positionV>
            <wp:extent cx="5449570" cy="1555750"/>
            <wp:effectExtent l="0" t="0" r="0" b="0"/>
            <wp:wrapSquare wrapText="bothSides" distT="19050" distB="19050" distL="19050" distR="19050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957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511AC" w:rsidRDefault="00D7633F" w:rsidP="00556E34">
      <w:pPr>
        <w:spacing w:before="60" w:after="60"/>
        <w:ind w:left="1440"/>
        <w:jc w:val="both"/>
      </w:pPr>
      <w:r>
        <w:rPr>
          <w:rFonts w:ascii="Arial" w:eastAsia="Arial" w:hAnsi="Arial" w:cs="Arial"/>
          <w:sz w:val="20"/>
        </w:rPr>
        <w:t xml:space="preserve">Figure 3 Hysteresis methods: (a) </w:t>
      </w:r>
      <w:proofErr w:type="spellStart"/>
      <w:r>
        <w:rPr>
          <w:rFonts w:ascii="Arial" w:eastAsia="Arial" w:hAnsi="Arial" w:cs="Arial"/>
          <w:sz w:val="20"/>
        </w:rPr>
        <w:t>CurveShift</w:t>
      </w:r>
      <w:proofErr w:type="spellEnd"/>
      <w:r>
        <w:rPr>
          <w:rFonts w:ascii="Arial" w:eastAsia="Arial" w:hAnsi="Arial" w:cs="Arial"/>
          <w:sz w:val="20"/>
        </w:rPr>
        <w:t xml:space="preserve"> and (b) </w:t>
      </w:r>
      <w:proofErr w:type="spellStart"/>
      <w:r>
        <w:rPr>
          <w:rFonts w:ascii="Arial" w:eastAsia="Arial" w:hAnsi="Arial" w:cs="Arial"/>
          <w:sz w:val="20"/>
        </w:rPr>
        <w:t>CurveTrack</w:t>
      </w:r>
      <w:proofErr w:type="spellEnd"/>
      <w:r>
        <w:rPr>
          <w:rFonts w:ascii="Arial" w:eastAsia="Arial" w:hAnsi="Arial" w:cs="Arial"/>
          <w:sz w:val="20"/>
        </w:rPr>
        <w:t xml:space="preserve"> </w:t>
      </w:r>
    </w:p>
    <w:p w:rsidR="003511AC" w:rsidRDefault="003511AC">
      <w:pPr>
        <w:spacing w:before="60" w:after="60"/>
        <w:ind w:left="2496"/>
        <w:jc w:val="both"/>
      </w:pPr>
    </w:p>
    <w:p w:rsidR="003511AC" w:rsidRDefault="00D7633F">
      <w:pPr>
        <w:spacing w:after="48"/>
        <w:ind w:left="360" w:right="-14"/>
      </w:pPr>
      <w:r>
        <w:rPr>
          <w:rFonts w:ascii="Arial" w:eastAsia="Arial" w:hAnsi="Arial" w:cs="Arial"/>
          <w:b/>
          <w:sz w:val="20"/>
        </w:rPr>
        <w:t xml:space="preserve">                 Input correlations</w:t>
      </w:r>
    </w:p>
    <w:p w:rsidR="003511AC" w:rsidRDefault="00D7633F">
      <w:pPr>
        <w:spacing w:after="48"/>
        <w:ind w:left="1800" w:right="-14"/>
      </w:pPr>
      <w:r>
        <w:rPr>
          <w:rFonts w:ascii="Arial" w:eastAsia="Arial" w:hAnsi="Arial" w:cs="Arial"/>
          <w:sz w:val="20"/>
        </w:rPr>
        <w:t xml:space="preserve">The following inputs use the corresponding formulas to calculate their values. </w:t>
      </w:r>
    </w:p>
    <w:p w:rsidR="003511AC" w:rsidRDefault="003511AC">
      <w:pPr>
        <w:spacing w:after="41" w:line="242" w:lineRule="auto"/>
        <w:ind w:left="2465" w:right="-14" w:hanging="9"/>
        <w:jc w:val="both"/>
      </w:pPr>
    </w:p>
    <w:p w:rsidR="003511AC" w:rsidRDefault="00D7633F">
      <w:pPr>
        <w:spacing w:after="41" w:line="242" w:lineRule="auto"/>
        <w:ind w:left="2465" w:right="-14" w:hanging="9"/>
        <w:jc w:val="both"/>
      </w:pPr>
      <w:r>
        <w:rPr>
          <w:rFonts w:ascii="Arial" w:eastAsia="Arial" w:hAnsi="Arial" w:cs="Arial"/>
          <w:b/>
          <w:i/>
          <w:sz w:val="20"/>
        </w:rPr>
        <w:t xml:space="preserve"> Temperature Coefficient of Thermal Conductivity</w:t>
      </w:r>
    </w:p>
    <w:p w:rsidR="003511AC" w:rsidRDefault="00D7633F">
      <w:pPr>
        <w:spacing w:after="41" w:line="242" w:lineRule="auto"/>
        <w:ind w:left="2455" w:right="-14"/>
        <w:jc w:val="both"/>
      </w:pPr>
      <w:r>
        <w:rPr>
          <w:rFonts w:ascii="Arial" w:eastAsia="Arial" w:hAnsi="Arial" w:cs="Arial"/>
          <w:sz w:val="20"/>
        </w:rPr>
        <w:t>Units for this parameter are W/m-K</w:t>
      </w:r>
      <w:r>
        <w:rPr>
          <w:rFonts w:ascii="Arial" w:eastAsia="Arial" w:hAnsi="Arial" w:cs="Arial"/>
          <w:sz w:val="20"/>
          <w:vertAlign w:val="superscript"/>
        </w:rPr>
        <w:t>2</w:t>
      </w:r>
      <w:r>
        <w:rPr>
          <w:rFonts w:ascii="Arial" w:eastAsia="Arial" w:hAnsi="Arial" w:cs="Arial"/>
          <w:sz w:val="20"/>
        </w:rPr>
        <w:t xml:space="preserve">. The thermal conductivity is obtained from: </w:t>
      </w:r>
    </w:p>
    <w:p w:rsidR="003511AC" w:rsidRDefault="00D7633F">
      <w:pPr>
        <w:spacing w:after="91"/>
        <w:ind w:left="3924"/>
      </w:pPr>
      <w:r>
        <w:rPr>
          <w:noProof/>
        </w:rPr>
        <w:drawing>
          <wp:inline distT="19050" distB="19050" distL="19050" distR="19050">
            <wp:extent cx="1285875" cy="209550"/>
            <wp:effectExtent l="0" t="0" r="0" b="0"/>
            <wp:docPr id="11" name="image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</w:rPr>
        <w:t xml:space="preserve">  </w:t>
      </w:r>
    </w:p>
    <w:p w:rsidR="003511AC" w:rsidRDefault="00D7633F">
      <w:pPr>
        <w:spacing w:after="41" w:line="242" w:lineRule="auto"/>
        <w:ind w:left="2465" w:right="-14" w:hanging="9"/>
        <w:jc w:val="both"/>
      </w:pPr>
      <w:r>
        <w:rPr>
          <w:rFonts w:ascii="Arial" w:eastAsia="Arial" w:hAnsi="Arial" w:cs="Arial"/>
          <w:b/>
          <w:i/>
          <w:sz w:val="20"/>
        </w:rPr>
        <w:t>Latent Heat of Fusion</w:t>
      </w:r>
    </w:p>
    <w:p w:rsidR="003511AC" w:rsidRDefault="00D7633F">
      <w:pPr>
        <w:spacing w:after="41" w:line="242" w:lineRule="auto"/>
        <w:ind w:left="2465" w:right="-14" w:hanging="9"/>
        <w:jc w:val="both"/>
      </w:pPr>
      <w:r>
        <w:rPr>
          <w:rFonts w:ascii="Arial" w:eastAsia="Arial" w:hAnsi="Arial" w:cs="Arial"/>
          <w:i/>
          <w:sz w:val="20"/>
        </w:rPr>
        <w:t>(h</w:t>
      </w:r>
      <w:r>
        <w:rPr>
          <w:rFonts w:ascii="Arial" w:eastAsia="Arial" w:hAnsi="Arial" w:cs="Arial"/>
          <w:i/>
          <w:sz w:val="20"/>
          <w:vertAlign w:val="subscript"/>
        </w:rPr>
        <w:t>2</w:t>
      </w:r>
      <w:r>
        <w:rPr>
          <w:rFonts w:ascii="Arial" w:eastAsia="Arial" w:hAnsi="Arial" w:cs="Arial"/>
          <w:i/>
          <w:sz w:val="20"/>
        </w:rPr>
        <w:t xml:space="preserve"> - h</w:t>
      </w:r>
      <w:r>
        <w:rPr>
          <w:rFonts w:ascii="Arial" w:eastAsia="Arial" w:hAnsi="Arial" w:cs="Arial"/>
          <w:i/>
          <w:sz w:val="20"/>
          <w:vertAlign w:val="subscript"/>
        </w:rPr>
        <w:t>1</w:t>
      </w:r>
      <w:r>
        <w:rPr>
          <w:rFonts w:ascii="Arial" w:eastAsia="Arial" w:hAnsi="Arial" w:cs="Arial"/>
          <w:i/>
          <w:sz w:val="20"/>
        </w:rPr>
        <w:t xml:space="preserve">) </w:t>
      </w:r>
      <w:r>
        <w:rPr>
          <w:rFonts w:ascii="Arial" w:eastAsia="Arial" w:hAnsi="Arial" w:cs="Arial"/>
          <w:sz w:val="20"/>
        </w:rPr>
        <w:t xml:space="preserve">  (See Figure 4) </w:t>
      </w:r>
    </w:p>
    <w:p w:rsidR="003511AC" w:rsidRDefault="003511AC">
      <w:pPr>
        <w:ind w:left="1416"/>
      </w:pPr>
    </w:p>
    <w:p w:rsidR="003511AC" w:rsidRDefault="00D7633F">
      <w:pPr>
        <w:spacing w:after="41" w:line="242" w:lineRule="auto"/>
        <w:ind w:left="2465" w:right="-14" w:hanging="9"/>
        <w:jc w:val="both"/>
      </w:pPr>
      <w:r>
        <w:rPr>
          <w:rFonts w:ascii="Arial" w:eastAsia="Arial" w:hAnsi="Arial" w:cs="Arial"/>
          <w:b/>
          <w:i/>
          <w:sz w:val="20"/>
        </w:rPr>
        <w:t>Latent Heat of Solidification</w:t>
      </w:r>
    </w:p>
    <w:p w:rsidR="003511AC" w:rsidRDefault="00D7633F">
      <w:pPr>
        <w:spacing w:after="41" w:line="242" w:lineRule="auto"/>
        <w:ind w:left="2465" w:right="-14" w:hanging="9"/>
        <w:jc w:val="both"/>
      </w:pPr>
      <w:r>
        <w:rPr>
          <w:rFonts w:ascii="Arial" w:eastAsia="Arial" w:hAnsi="Arial" w:cs="Arial"/>
          <w:i/>
          <w:sz w:val="20"/>
        </w:rPr>
        <w:t>(h</w:t>
      </w:r>
      <w:r>
        <w:rPr>
          <w:rFonts w:ascii="Arial" w:eastAsia="Arial" w:hAnsi="Arial" w:cs="Arial"/>
          <w:i/>
          <w:sz w:val="20"/>
          <w:vertAlign w:val="subscript"/>
        </w:rPr>
        <w:t>2</w:t>
      </w:r>
      <w:r>
        <w:rPr>
          <w:rFonts w:ascii="Arial" w:eastAsia="Arial" w:hAnsi="Arial" w:cs="Arial"/>
          <w:i/>
          <w:sz w:val="20"/>
          <w:vertAlign w:val="superscript"/>
        </w:rPr>
        <w:t>’</w:t>
      </w:r>
      <w:r>
        <w:rPr>
          <w:rFonts w:ascii="Arial" w:eastAsia="Arial" w:hAnsi="Arial" w:cs="Arial"/>
          <w:i/>
          <w:sz w:val="20"/>
        </w:rPr>
        <w:t xml:space="preserve"> – h</w:t>
      </w:r>
      <w:r>
        <w:rPr>
          <w:rFonts w:ascii="Arial" w:eastAsia="Arial" w:hAnsi="Arial" w:cs="Arial"/>
          <w:i/>
          <w:sz w:val="20"/>
          <w:vertAlign w:val="subscript"/>
        </w:rPr>
        <w:t>1</w:t>
      </w:r>
      <w:r>
        <w:rPr>
          <w:rFonts w:ascii="Arial" w:eastAsia="Arial" w:hAnsi="Arial" w:cs="Arial"/>
          <w:i/>
          <w:sz w:val="20"/>
          <w:vertAlign w:val="superscript"/>
        </w:rPr>
        <w:t>’</w:t>
      </w:r>
      <w:r w:rsidR="00556E34">
        <w:rPr>
          <w:rFonts w:ascii="Arial" w:eastAsia="Arial" w:hAnsi="Arial" w:cs="Arial"/>
          <w:i/>
          <w:sz w:val="20"/>
        </w:rPr>
        <w:t>)</w:t>
      </w:r>
      <w:r>
        <w:rPr>
          <w:rFonts w:ascii="Arial" w:eastAsia="Arial" w:hAnsi="Arial" w:cs="Arial"/>
          <w:sz w:val="20"/>
        </w:rPr>
        <w:t xml:space="preserve"> (See Figure 4)  </w:t>
      </w:r>
    </w:p>
    <w:p w:rsidR="003511AC" w:rsidRDefault="003511AC">
      <w:pPr>
        <w:spacing w:after="41" w:line="242" w:lineRule="auto"/>
        <w:ind w:left="4330" w:right="-14" w:hanging="9"/>
        <w:jc w:val="both"/>
      </w:pPr>
    </w:p>
    <w:p w:rsidR="003511AC" w:rsidRDefault="00D7633F">
      <w:pPr>
        <w:spacing w:after="41" w:line="242" w:lineRule="auto"/>
        <w:ind w:left="2482" w:right="-14" w:hanging="9"/>
        <w:jc w:val="both"/>
      </w:pPr>
      <w:r>
        <w:rPr>
          <w:rFonts w:ascii="Arial" w:eastAsia="Arial" w:hAnsi="Arial" w:cs="Arial"/>
          <w:b/>
          <w:i/>
          <w:sz w:val="20"/>
        </w:rPr>
        <w:t>Peak Melting Temperature</w:t>
      </w:r>
    </w:p>
    <w:p w:rsidR="003511AC" w:rsidRDefault="00556E34">
      <w:pPr>
        <w:spacing w:after="41" w:line="242" w:lineRule="auto"/>
        <w:ind w:left="2448" w:right="-14"/>
        <w:jc w:val="both"/>
      </w:pPr>
      <w:r>
        <w:rPr>
          <w:rFonts w:ascii="Arial" w:eastAsia="Arial" w:hAnsi="Arial" w:cs="Arial"/>
          <w:b/>
          <w:i/>
          <w:sz w:val="20"/>
        </w:rPr>
        <w:t>(Tm)</w:t>
      </w:r>
      <w:r w:rsidR="00D7633F">
        <w:rPr>
          <w:rFonts w:ascii="Arial" w:eastAsia="Arial" w:hAnsi="Arial" w:cs="Arial"/>
          <w:sz w:val="20"/>
        </w:rPr>
        <w:t xml:space="preserve">  (See Figure 4) </w:t>
      </w:r>
    </w:p>
    <w:p w:rsidR="003511AC" w:rsidRDefault="003511AC">
      <w:pPr>
        <w:spacing w:after="41" w:line="242" w:lineRule="auto"/>
        <w:ind w:left="2448" w:right="-14"/>
        <w:jc w:val="both"/>
      </w:pPr>
    </w:p>
    <w:p w:rsidR="003511AC" w:rsidRDefault="00D7633F">
      <w:pPr>
        <w:spacing w:after="41" w:line="242" w:lineRule="auto"/>
        <w:ind w:left="2482" w:right="-14" w:hanging="9"/>
        <w:jc w:val="both"/>
      </w:pPr>
      <w:r>
        <w:rPr>
          <w:rFonts w:ascii="Arial" w:eastAsia="Arial" w:hAnsi="Arial" w:cs="Arial"/>
          <w:b/>
          <w:i/>
          <w:sz w:val="20"/>
        </w:rPr>
        <w:t>Peak Melting Temperature</w:t>
      </w:r>
    </w:p>
    <w:p w:rsidR="003511AC" w:rsidRDefault="00D7633F">
      <w:pPr>
        <w:spacing w:after="41" w:line="242" w:lineRule="auto"/>
        <w:ind w:left="2448" w:right="-14"/>
        <w:jc w:val="both"/>
      </w:pPr>
      <w:r>
        <w:rPr>
          <w:rFonts w:ascii="Arial" w:eastAsia="Arial" w:hAnsi="Arial" w:cs="Arial"/>
          <w:b/>
          <w:i/>
          <w:sz w:val="20"/>
        </w:rPr>
        <w:t>(</w:t>
      </w:r>
      <w:proofErr w:type="spellStart"/>
      <w:r>
        <w:rPr>
          <w:rFonts w:ascii="Arial" w:eastAsia="Arial" w:hAnsi="Arial" w:cs="Arial"/>
          <w:b/>
          <w:i/>
          <w:sz w:val="20"/>
        </w:rPr>
        <w:t>Tf</w:t>
      </w:r>
      <w:proofErr w:type="spellEnd"/>
      <w:r>
        <w:rPr>
          <w:rFonts w:ascii="Arial" w:eastAsia="Arial" w:hAnsi="Arial" w:cs="Arial"/>
          <w:b/>
          <w:i/>
          <w:sz w:val="20"/>
        </w:rPr>
        <w:t>)</w:t>
      </w:r>
      <w:r>
        <w:rPr>
          <w:rFonts w:ascii="Arial" w:eastAsia="Arial" w:hAnsi="Arial" w:cs="Arial"/>
          <w:i/>
          <w:sz w:val="20"/>
        </w:rPr>
        <w:t xml:space="preserve"> </w:t>
      </w:r>
      <w:r>
        <w:rPr>
          <w:rFonts w:ascii="Arial" w:eastAsia="Arial" w:hAnsi="Arial" w:cs="Arial"/>
          <w:sz w:val="20"/>
        </w:rPr>
        <w:t xml:space="preserve">  (See Figure 4) </w:t>
      </w:r>
    </w:p>
    <w:p w:rsidR="003511AC" w:rsidRDefault="003511AC">
      <w:pPr>
        <w:spacing w:after="41" w:line="242" w:lineRule="auto"/>
        <w:ind w:right="-14"/>
        <w:jc w:val="both"/>
      </w:pPr>
    </w:p>
    <w:p w:rsidR="003511AC" w:rsidRDefault="00D7633F">
      <w:pPr>
        <w:spacing w:after="41" w:line="242" w:lineRule="auto"/>
        <w:ind w:left="2465" w:right="-14" w:hanging="9"/>
        <w:jc w:val="both"/>
      </w:pPr>
      <w:r>
        <w:rPr>
          <w:rFonts w:ascii="Arial" w:eastAsia="Arial" w:hAnsi="Arial" w:cs="Arial"/>
          <w:b/>
          <w:i/>
          <w:sz w:val="20"/>
        </w:rPr>
        <w:t>Melting Curve Low Temperature Difference (τ</w:t>
      </w:r>
      <w:r>
        <w:rPr>
          <w:rFonts w:ascii="Arial" w:eastAsia="Arial" w:hAnsi="Arial" w:cs="Arial"/>
          <w:b/>
          <w:i/>
          <w:sz w:val="20"/>
          <w:vertAlign w:val="subscript"/>
        </w:rPr>
        <w:t>1</w:t>
      </w:r>
      <w:r>
        <w:rPr>
          <w:rFonts w:ascii="Arial" w:eastAsia="Arial" w:hAnsi="Arial" w:cs="Arial"/>
          <w:b/>
          <w:i/>
          <w:sz w:val="20"/>
        </w:rPr>
        <w:t>)</w:t>
      </w:r>
    </w:p>
    <w:p w:rsidR="003511AC" w:rsidRDefault="00D7633F">
      <w:pPr>
        <w:spacing w:after="41" w:line="242" w:lineRule="auto"/>
        <w:ind w:left="2465" w:right="-14" w:hanging="9"/>
        <w:jc w:val="both"/>
      </w:pPr>
      <w:r>
        <w:rPr>
          <w:noProof/>
        </w:rPr>
        <w:lastRenderedPageBreak/>
        <w:drawing>
          <wp:inline distT="19050" distB="19050" distL="19050" distR="19050">
            <wp:extent cx="802640" cy="133350"/>
            <wp:effectExtent l="0" t="0" r="0" b="0"/>
            <wp:docPr id="12" name="image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/>
                    <pic:cNvPicPr preferRelativeResize="0"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264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</w:rPr>
        <w:t xml:space="preserve"> (See Figure 4)  The total melting range </w:t>
      </w:r>
      <w:r>
        <w:rPr>
          <w:rFonts w:ascii="Arial" w:eastAsia="Arial" w:hAnsi="Arial" w:cs="Arial"/>
          <w:i/>
          <w:sz w:val="20"/>
        </w:rPr>
        <w:t>τ</w:t>
      </w:r>
      <w:r>
        <w:rPr>
          <w:rFonts w:ascii="Arial" w:eastAsia="Arial" w:hAnsi="Arial" w:cs="Arial"/>
          <w:sz w:val="20"/>
        </w:rPr>
        <w:t xml:space="preserve"> of the material is the sum of </w:t>
      </w:r>
      <w:r>
        <w:rPr>
          <w:rFonts w:ascii="Arial" w:eastAsia="Arial" w:hAnsi="Arial" w:cs="Arial"/>
          <w:i/>
          <w:sz w:val="20"/>
        </w:rPr>
        <w:t>τ</w:t>
      </w:r>
      <w:r>
        <w:rPr>
          <w:rFonts w:ascii="Arial" w:eastAsia="Arial" w:hAnsi="Arial" w:cs="Arial"/>
          <w:i/>
          <w:sz w:val="20"/>
          <w:vertAlign w:val="subscript"/>
        </w:rPr>
        <w:t xml:space="preserve">1 </w:t>
      </w:r>
      <w:r>
        <w:rPr>
          <w:rFonts w:ascii="Arial" w:eastAsia="Arial" w:hAnsi="Arial" w:cs="Arial"/>
          <w:sz w:val="20"/>
        </w:rPr>
        <w:t xml:space="preserve">and </w:t>
      </w:r>
      <w:r>
        <w:rPr>
          <w:rFonts w:ascii="Arial" w:eastAsia="Arial" w:hAnsi="Arial" w:cs="Arial"/>
          <w:i/>
          <w:sz w:val="20"/>
        </w:rPr>
        <w:t>τ</w:t>
      </w:r>
      <w:r>
        <w:rPr>
          <w:rFonts w:ascii="Arial" w:eastAsia="Arial" w:hAnsi="Arial" w:cs="Arial"/>
          <w:i/>
          <w:sz w:val="20"/>
          <w:vertAlign w:val="subscript"/>
        </w:rPr>
        <w:t>2</w:t>
      </w:r>
      <w:r>
        <w:rPr>
          <w:rFonts w:ascii="Arial" w:eastAsia="Arial" w:hAnsi="Arial" w:cs="Arial"/>
          <w:sz w:val="20"/>
        </w:rPr>
        <w:t xml:space="preserve">  </w:t>
      </w:r>
    </w:p>
    <w:p w:rsidR="003511AC" w:rsidRDefault="003511AC">
      <w:pPr>
        <w:spacing w:after="41" w:line="242" w:lineRule="auto"/>
        <w:ind w:right="-14"/>
        <w:jc w:val="both"/>
      </w:pPr>
    </w:p>
    <w:p w:rsidR="003511AC" w:rsidRDefault="00D7633F">
      <w:pPr>
        <w:spacing w:after="41" w:line="242" w:lineRule="auto"/>
        <w:ind w:left="1416" w:right="-14"/>
        <w:jc w:val="both"/>
      </w:pPr>
      <w:r>
        <w:rPr>
          <w:rFonts w:ascii="Arial" w:eastAsia="Arial" w:hAnsi="Arial" w:cs="Arial"/>
          <w:b/>
          <w:i/>
          <w:sz w:val="20"/>
        </w:rPr>
        <w:t xml:space="preserve">                   Melting Curve High Temperature Difference (</w:t>
      </w:r>
      <w:r>
        <w:rPr>
          <w:noProof/>
        </w:rPr>
        <w:drawing>
          <wp:inline distT="19050" distB="19050" distL="19050" distR="19050">
            <wp:extent cx="152400" cy="190500"/>
            <wp:effectExtent l="0" t="0" r="0" b="0"/>
            <wp:docPr id="2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i/>
          <w:sz w:val="20"/>
        </w:rPr>
        <w:t>)</w:t>
      </w:r>
    </w:p>
    <w:p w:rsidR="003511AC" w:rsidRDefault="00D7633F">
      <w:pPr>
        <w:spacing w:after="41" w:line="242" w:lineRule="auto"/>
        <w:ind w:left="2465" w:right="-14" w:hanging="9"/>
        <w:jc w:val="both"/>
      </w:pPr>
      <w:r>
        <w:rPr>
          <w:noProof/>
        </w:rPr>
        <w:drawing>
          <wp:inline distT="19050" distB="19050" distL="19050" distR="19050">
            <wp:extent cx="781050" cy="190500"/>
            <wp:effectExtent l="0" t="0" r="0" b="0"/>
            <wp:docPr id="1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i/>
          <w:sz w:val="20"/>
        </w:rPr>
        <w:t xml:space="preserve">  (</w:t>
      </w:r>
      <w:r>
        <w:rPr>
          <w:rFonts w:ascii="Arial" w:eastAsia="Arial" w:hAnsi="Arial" w:cs="Arial"/>
          <w:sz w:val="20"/>
        </w:rPr>
        <w:t>See Figure 4)</w:t>
      </w:r>
      <w:r>
        <w:rPr>
          <w:rFonts w:ascii="Arial" w:eastAsia="Arial" w:hAnsi="Arial" w:cs="Arial"/>
          <w:i/>
          <w:sz w:val="20"/>
        </w:rPr>
        <w:t xml:space="preserve"> </w:t>
      </w:r>
      <w:r>
        <w:rPr>
          <w:rFonts w:ascii="Arial" w:eastAsia="Arial" w:hAnsi="Arial" w:cs="Arial"/>
          <w:sz w:val="20"/>
        </w:rPr>
        <w:t xml:space="preserve">The total melting range </w:t>
      </w:r>
      <w:r>
        <w:rPr>
          <w:rFonts w:ascii="Arial" w:eastAsia="Arial" w:hAnsi="Arial" w:cs="Arial"/>
          <w:i/>
          <w:sz w:val="20"/>
        </w:rPr>
        <w:t>τ</w:t>
      </w:r>
      <w:r>
        <w:rPr>
          <w:rFonts w:ascii="Arial" w:eastAsia="Arial" w:hAnsi="Arial" w:cs="Arial"/>
          <w:sz w:val="20"/>
        </w:rPr>
        <w:t xml:space="preserve"> of the material is the sum of </w:t>
      </w:r>
      <w:r>
        <w:rPr>
          <w:rFonts w:ascii="Arial" w:eastAsia="Arial" w:hAnsi="Arial" w:cs="Arial"/>
          <w:i/>
          <w:sz w:val="20"/>
        </w:rPr>
        <w:t>τ</w:t>
      </w:r>
      <w:r>
        <w:rPr>
          <w:rFonts w:ascii="Arial" w:eastAsia="Arial" w:hAnsi="Arial" w:cs="Arial"/>
          <w:i/>
          <w:sz w:val="20"/>
          <w:vertAlign w:val="subscript"/>
        </w:rPr>
        <w:t xml:space="preserve">1 </w:t>
      </w:r>
      <w:r>
        <w:rPr>
          <w:rFonts w:ascii="Arial" w:eastAsia="Arial" w:hAnsi="Arial" w:cs="Arial"/>
          <w:sz w:val="20"/>
        </w:rPr>
        <w:t xml:space="preserve">and </w:t>
      </w:r>
      <w:r>
        <w:rPr>
          <w:rFonts w:ascii="Arial" w:eastAsia="Arial" w:hAnsi="Arial" w:cs="Arial"/>
          <w:i/>
          <w:sz w:val="20"/>
        </w:rPr>
        <w:t>τ</w:t>
      </w:r>
      <w:r>
        <w:rPr>
          <w:rFonts w:ascii="Arial" w:eastAsia="Arial" w:hAnsi="Arial" w:cs="Arial"/>
          <w:i/>
          <w:sz w:val="20"/>
          <w:vertAlign w:val="subscript"/>
        </w:rPr>
        <w:t>2</w:t>
      </w:r>
      <w:r>
        <w:rPr>
          <w:rFonts w:ascii="Arial" w:eastAsia="Arial" w:hAnsi="Arial" w:cs="Arial"/>
          <w:sz w:val="20"/>
        </w:rPr>
        <w:t xml:space="preserve">  </w:t>
      </w:r>
    </w:p>
    <w:p w:rsidR="003511AC" w:rsidRDefault="003511AC">
      <w:pPr>
        <w:spacing w:after="41" w:line="242" w:lineRule="auto"/>
        <w:ind w:left="1416" w:right="-14"/>
        <w:jc w:val="both"/>
      </w:pPr>
    </w:p>
    <w:p w:rsidR="003511AC" w:rsidRDefault="00D7633F">
      <w:pPr>
        <w:spacing w:after="41" w:line="242" w:lineRule="auto"/>
        <w:ind w:left="2465" w:right="-14" w:hanging="9"/>
        <w:jc w:val="both"/>
      </w:pPr>
      <w:r>
        <w:rPr>
          <w:rFonts w:ascii="Arial" w:eastAsia="Arial" w:hAnsi="Arial" w:cs="Arial"/>
          <w:b/>
          <w:i/>
          <w:sz w:val="20"/>
        </w:rPr>
        <w:t>Freezing Curve Low Temperature Difference (</w:t>
      </w:r>
      <w:r>
        <w:rPr>
          <w:noProof/>
        </w:rPr>
        <w:drawing>
          <wp:inline distT="19050" distB="19050" distL="19050" distR="19050">
            <wp:extent cx="180975" cy="190500"/>
            <wp:effectExtent l="0" t="0" r="0" b="0"/>
            <wp:docPr id="4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1AC" w:rsidRDefault="00D7633F">
      <w:pPr>
        <w:spacing w:after="41" w:line="242" w:lineRule="auto"/>
        <w:ind w:left="2465" w:right="-14" w:hanging="9"/>
        <w:jc w:val="both"/>
      </w:pPr>
      <w:r>
        <w:rPr>
          <w:noProof/>
        </w:rPr>
        <w:drawing>
          <wp:inline distT="19050" distB="19050" distL="19050" distR="19050">
            <wp:extent cx="970280" cy="161925"/>
            <wp:effectExtent l="0" t="0" r="0" b="0"/>
            <wp:docPr id="3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 preferRelativeResize="0"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7028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i/>
          <w:sz w:val="20"/>
        </w:rPr>
        <w:t xml:space="preserve"> 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i/>
          <w:sz w:val="20"/>
        </w:rPr>
        <w:t>(</w:t>
      </w:r>
      <w:r>
        <w:rPr>
          <w:rFonts w:ascii="Arial" w:eastAsia="Arial" w:hAnsi="Arial" w:cs="Arial"/>
          <w:sz w:val="20"/>
        </w:rPr>
        <w:t xml:space="preserve">See Figure 4)The total freezing range </w:t>
      </w:r>
      <w:r>
        <w:rPr>
          <w:rFonts w:ascii="Arial" w:eastAsia="Arial" w:hAnsi="Arial" w:cs="Arial"/>
          <w:i/>
          <w:sz w:val="20"/>
        </w:rPr>
        <w:t>τ</w:t>
      </w:r>
      <w:r>
        <w:rPr>
          <w:rFonts w:ascii="Arial" w:eastAsia="Arial" w:hAnsi="Arial" w:cs="Arial"/>
          <w:i/>
          <w:sz w:val="20"/>
          <w:vertAlign w:val="superscript"/>
        </w:rPr>
        <w:t>’</w:t>
      </w:r>
      <w:r>
        <w:rPr>
          <w:rFonts w:ascii="Arial" w:eastAsia="Arial" w:hAnsi="Arial" w:cs="Arial"/>
          <w:sz w:val="20"/>
        </w:rPr>
        <w:t xml:space="preserve"> of the material is the sum of </w:t>
      </w:r>
      <w:r>
        <w:rPr>
          <w:rFonts w:ascii="Arial" w:eastAsia="Arial" w:hAnsi="Arial" w:cs="Arial"/>
          <w:i/>
          <w:sz w:val="20"/>
        </w:rPr>
        <w:t>τ</w:t>
      </w:r>
      <w:r>
        <w:rPr>
          <w:rFonts w:ascii="Arial" w:eastAsia="Arial" w:hAnsi="Arial" w:cs="Arial"/>
          <w:i/>
          <w:sz w:val="20"/>
          <w:vertAlign w:val="subscript"/>
        </w:rPr>
        <w:t>1</w:t>
      </w:r>
      <w:r>
        <w:rPr>
          <w:rFonts w:ascii="Arial" w:eastAsia="Arial" w:hAnsi="Arial" w:cs="Arial"/>
          <w:i/>
          <w:sz w:val="20"/>
          <w:vertAlign w:val="superscript"/>
        </w:rPr>
        <w:t>’</w:t>
      </w:r>
      <w:r>
        <w:rPr>
          <w:rFonts w:ascii="Arial" w:eastAsia="Arial" w:hAnsi="Arial" w:cs="Arial"/>
          <w:i/>
          <w:sz w:val="20"/>
          <w:vertAlign w:val="subscript"/>
        </w:rPr>
        <w:t xml:space="preserve"> </w:t>
      </w:r>
      <w:r>
        <w:rPr>
          <w:rFonts w:ascii="Arial" w:eastAsia="Arial" w:hAnsi="Arial" w:cs="Arial"/>
          <w:sz w:val="20"/>
        </w:rPr>
        <w:t xml:space="preserve">and </w:t>
      </w:r>
      <w:r>
        <w:rPr>
          <w:rFonts w:ascii="Arial" w:eastAsia="Arial" w:hAnsi="Arial" w:cs="Arial"/>
          <w:i/>
          <w:sz w:val="20"/>
        </w:rPr>
        <w:t>τ</w:t>
      </w:r>
      <w:r>
        <w:rPr>
          <w:rFonts w:ascii="Arial" w:eastAsia="Arial" w:hAnsi="Arial" w:cs="Arial"/>
          <w:i/>
          <w:sz w:val="20"/>
          <w:vertAlign w:val="subscript"/>
        </w:rPr>
        <w:t>2</w:t>
      </w:r>
      <w:r>
        <w:rPr>
          <w:rFonts w:ascii="Arial" w:eastAsia="Arial" w:hAnsi="Arial" w:cs="Arial"/>
          <w:i/>
          <w:sz w:val="20"/>
          <w:vertAlign w:val="superscript"/>
        </w:rPr>
        <w:t>’</w:t>
      </w:r>
      <w:r>
        <w:rPr>
          <w:rFonts w:ascii="Arial" w:eastAsia="Arial" w:hAnsi="Arial" w:cs="Arial"/>
          <w:sz w:val="20"/>
        </w:rPr>
        <w:t xml:space="preserve">  </w:t>
      </w:r>
    </w:p>
    <w:p w:rsidR="003511AC" w:rsidRDefault="003511AC">
      <w:pPr>
        <w:spacing w:after="41" w:line="242" w:lineRule="auto"/>
        <w:ind w:left="2465" w:right="-14" w:hanging="9"/>
        <w:jc w:val="both"/>
      </w:pPr>
    </w:p>
    <w:p w:rsidR="003511AC" w:rsidRDefault="00D7633F">
      <w:pPr>
        <w:spacing w:after="257" w:line="242" w:lineRule="auto"/>
        <w:ind w:left="2465" w:right="-14" w:hanging="9"/>
        <w:jc w:val="both"/>
      </w:pPr>
      <w:r>
        <w:rPr>
          <w:rFonts w:ascii="Arial" w:eastAsia="Arial" w:hAnsi="Arial" w:cs="Arial"/>
          <w:b/>
          <w:i/>
          <w:sz w:val="20"/>
        </w:rPr>
        <w:t>Freezing Curve High Temperature Difference (</w:t>
      </w:r>
      <w:r>
        <w:rPr>
          <w:noProof/>
        </w:rPr>
        <w:drawing>
          <wp:inline distT="19050" distB="19050" distL="19050" distR="19050">
            <wp:extent cx="190500" cy="190500"/>
            <wp:effectExtent l="0" t="0" r="0" b="0"/>
            <wp:docPr id="5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1AC" w:rsidRDefault="00D7633F">
      <w:pPr>
        <w:spacing w:after="257" w:line="242" w:lineRule="auto"/>
        <w:ind w:left="2455" w:right="-14"/>
        <w:jc w:val="both"/>
      </w:pPr>
      <w:r>
        <w:rPr>
          <w:rFonts w:ascii="Arial" w:eastAsia="Arial" w:hAnsi="Arial" w:cs="Arial"/>
          <w:sz w:val="20"/>
        </w:rPr>
        <w:t xml:space="preserve">  </w:t>
      </w:r>
      <w:r>
        <w:rPr>
          <w:noProof/>
        </w:rPr>
        <w:drawing>
          <wp:inline distT="19050" distB="19050" distL="19050" distR="19050">
            <wp:extent cx="771525" cy="209550"/>
            <wp:effectExtent l="0" t="0" r="0" b="0"/>
            <wp:docPr id="6" name="image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/>
                    <pic:cNvPicPr preferRelativeResize="0"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</w:rPr>
        <w:t xml:space="preserve">  (See Figure 4) The total freezing range </w:t>
      </w:r>
      <w:r>
        <w:rPr>
          <w:rFonts w:ascii="Arial" w:eastAsia="Arial" w:hAnsi="Arial" w:cs="Arial"/>
          <w:i/>
          <w:sz w:val="20"/>
        </w:rPr>
        <w:t>τ</w:t>
      </w:r>
      <w:r>
        <w:rPr>
          <w:rFonts w:ascii="Arial" w:eastAsia="Arial" w:hAnsi="Arial" w:cs="Arial"/>
          <w:i/>
          <w:sz w:val="20"/>
          <w:vertAlign w:val="superscript"/>
        </w:rPr>
        <w:t>’</w:t>
      </w:r>
      <w:r>
        <w:rPr>
          <w:rFonts w:ascii="Arial" w:eastAsia="Arial" w:hAnsi="Arial" w:cs="Arial"/>
          <w:sz w:val="20"/>
        </w:rPr>
        <w:t xml:space="preserve"> of the material is the sum of </w:t>
      </w:r>
      <w:r>
        <w:rPr>
          <w:rFonts w:ascii="Arial" w:eastAsia="Arial" w:hAnsi="Arial" w:cs="Arial"/>
          <w:i/>
          <w:sz w:val="20"/>
        </w:rPr>
        <w:t>τ</w:t>
      </w:r>
      <w:r>
        <w:rPr>
          <w:rFonts w:ascii="Arial" w:eastAsia="Arial" w:hAnsi="Arial" w:cs="Arial"/>
          <w:i/>
          <w:sz w:val="20"/>
          <w:vertAlign w:val="subscript"/>
        </w:rPr>
        <w:t>1</w:t>
      </w:r>
      <w:r>
        <w:rPr>
          <w:rFonts w:ascii="Arial" w:eastAsia="Arial" w:hAnsi="Arial" w:cs="Arial"/>
          <w:i/>
          <w:sz w:val="20"/>
          <w:vertAlign w:val="superscript"/>
        </w:rPr>
        <w:t>’</w:t>
      </w:r>
      <w:r>
        <w:rPr>
          <w:rFonts w:ascii="Arial" w:eastAsia="Arial" w:hAnsi="Arial" w:cs="Arial"/>
          <w:i/>
          <w:sz w:val="20"/>
          <w:vertAlign w:val="subscript"/>
        </w:rPr>
        <w:t xml:space="preserve"> </w:t>
      </w:r>
      <w:r>
        <w:rPr>
          <w:rFonts w:ascii="Arial" w:eastAsia="Arial" w:hAnsi="Arial" w:cs="Arial"/>
          <w:sz w:val="20"/>
        </w:rPr>
        <w:t xml:space="preserve">and </w:t>
      </w:r>
      <w:r>
        <w:rPr>
          <w:rFonts w:ascii="Arial" w:eastAsia="Arial" w:hAnsi="Arial" w:cs="Arial"/>
          <w:i/>
          <w:sz w:val="20"/>
        </w:rPr>
        <w:t>τ</w:t>
      </w:r>
      <w:r>
        <w:rPr>
          <w:rFonts w:ascii="Arial" w:eastAsia="Arial" w:hAnsi="Arial" w:cs="Arial"/>
          <w:i/>
          <w:sz w:val="20"/>
          <w:vertAlign w:val="subscript"/>
        </w:rPr>
        <w:t>2</w:t>
      </w:r>
      <w:r>
        <w:rPr>
          <w:rFonts w:ascii="Arial" w:eastAsia="Arial" w:hAnsi="Arial" w:cs="Arial"/>
          <w:i/>
          <w:sz w:val="20"/>
          <w:vertAlign w:val="superscript"/>
        </w:rPr>
        <w:t>’</w:t>
      </w:r>
      <w:r>
        <w:rPr>
          <w:rFonts w:ascii="Arial" w:eastAsia="Arial" w:hAnsi="Arial" w:cs="Arial"/>
          <w:sz w:val="20"/>
        </w:rPr>
        <w:t xml:space="preserve">  </w:t>
      </w:r>
    </w:p>
    <w:p w:rsidR="003511AC" w:rsidRDefault="00D7633F">
      <w:pPr>
        <w:spacing w:after="48"/>
        <w:ind w:left="360" w:right="-14"/>
      </w:pPr>
      <w:r>
        <w:rPr>
          <w:noProof/>
        </w:rPr>
        <w:drawing>
          <wp:anchor distT="19050" distB="19050" distL="19050" distR="19050" simplePos="0" relativeHeight="251660288" behindDoc="0" locked="0" layoutInCell="0" hidden="0" allowOverlap="0">
            <wp:simplePos x="0" y="0"/>
            <wp:positionH relativeFrom="margin">
              <wp:posOffset>52070</wp:posOffset>
            </wp:positionH>
            <wp:positionV relativeFrom="paragraph">
              <wp:posOffset>22860</wp:posOffset>
            </wp:positionV>
            <wp:extent cx="5410200" cy="3304540"/>
            <wp:effectExtent l="0" t="0" r="0" b="0"/>
            <wp:wrapSquare wrapText="bothSides" distT="19050" distB="19050" distL="19050" distR="19050"/>
            <wp:docPr id="7" name="image0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jpg"/>
                    <pic:cNvPicPr preferRelativeResize="0"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511AC" w:rsidRDefault="00D7633F">
      <w:pPr>
        <w:spacing w:after="48" w:line="242" w:lineRule="auto"/>
        <w:ind w:left="360" w:right="-14"/>
        <w:jc w:val="both"/>
      </w:pPr>
      <w:r>
        <w:rPr>
          <w:rFonts w:ascii="Arial" w:eastAsia="Arial" w:hAnsi="Arial" w:cs="Arial"/>
          <w:b/>
          <w:i/>
          <w:sz w:val="20"/>
        </w:rPr>
        <w:t>Figure 4: Enthalpy vs. Temperature graph showing Energy</w:t>
      </w:r>
      <w:r w:rsidR="00391D78">
        <w:rPr>
          <w:rFonts w:ascii="Arial" w:eastAsia="Arial" w:hAnsi="Arial" w:cs="Arial"/>
          <w:b/>
          <w:i/>
          <w:sz w:val="20"/>
        </w:rPr>
        <w:t xml:space="preserve"> </w:t>
      </w:r>
      <w:r>
        <w:rPr>
          <w:rFonts w:ascii="Arial" w:eastAsia="Arial" w:hAnsi="Arial" w:cs="Arial"/>
          <w:b/>
          <w:i/>
          <w:sz w:val="20"/>
        </w:rPr>
        <w:t>Plus input parameters</w:t>
      </w:r>
    </w:p>
    <w:p w:rsidR="003511AC" w:rsidRDefault="003511AC">
      <w:pPr>
        <w:spacing w:after="48" w:line="242" w:lineRule="auto"/>
        <w:ind w:left="360" w:right="-14"/>
        <w:jc w:val="both"/>
      </w:pPr>
    </w:p>
    <w:p w:rsidR="003511AC" w:rsidRDefault="003511AC">
      <w:pPr>
        <w:spacing w:before="60" w:after="60"/>
        <w:ind w:left="2136"/>
        <w:jc w:val="both"/>
      </w:pPr>
    </w:p>
    <w:sectPr w:rsidR="003511AC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874403"/>
    <w:multiLevelType w:val="multilevel"/>
    <w:tmpl w:val="C878592C"/>
    <w:lvl w:ilvl="0">
      <w:start w:val="1"/>
      <w:numFmt w:val="decimal"/>
      <w:lvlText w:val=""/>
      <w:lvlJc w:val="left"/>
      <w:pPr>
        <w:ind w:left="432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"/>
      <w:lvlJc w:val="left"/>
      <w:pPr>
        <w:ind w:left="576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"/>
      <w:lvlJc w:val="left"/>
      <w:pPr>
        <w:ind w:left="72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"/>
      <w:lvlJc w:val="left"/>
      <w:pPr>
        <w:ind w:left="864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"/>
      <w:lvlJc w:val="left"/>
      <w:pPr>
        <w:ind w:left="1008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"/>
      <w:lvlJc w:val="left"/>
      <w:pPr>
        <w:ind w:left="1152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"/>
      <w:lvlJc w:val="left"/>
      <w:pPr>
        <w:ind w:left="1296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"/>
      <w:lvlJc w:val="left"/>
      <w:pPr>
        <w:ind w:left="144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"/>
      <w:lvlJc w:val="left"/>
      <w:pPr>
        <w:ind w:left="1584" w:firstLine="0"/>
      </w:pPr>
      <w:rPr>
        <w:rFonts w:ascii="Arial" w:eastAsia="Arial" w:hAnsi="Arial" w:cs="Arial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1AC"/>
    <w:rsid w:val="000F17AE"/>
    <w:rsid w:val="001052BD"/>
    <w:rsid w:val="0011283F"/>
    <w:rsid w:val="003511AC"/>
    <w:rsid w:val="00391D78"/>
    <w:rsid w:val="00556E34"/>
    <w:rsid w:val="0065481F"/>
    <w:rsid w:val="006D501C"/>
    <w:rsid w:val="00792582"/>
    <w:rsid w:val="0093070D"/>
    <w:rsid w:val="00D7633F"/>
    <w:rsid w:val="00E83491"/>
    <w:rsid w:val="00FD1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BE62303-07E8-4FED-9933-ADE4E1FCF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basedOn w:val="Normal"/>
    <w:next w:val="Normal"/>
    <w:pPr>
      <w:spacing w:before="240" w:after="60"/>
      <w:ind w:left="432" w:hanging="431"/>
      <w:outlineLvl w:val="0"/>
    </w:pPr>
    <w:rPr>
      <w:rFonts w:ascii="Calibri" w:eastAsia="Calibri" w:hAnsi="Calibri" w:cs="Calibri"/>
      <w:b/>
      <w:sz w:val="32"/>
    </w:rPr>
  </w:style>
  <w:style w:type="paragraph" w:styleId="Heading2">
    <w:name w:val="heading 2"/>
    <w:basedOn w:val="Normal"/>
    <w:next w:val="Normal"/>
    <w:pPr>
      <w:spacing w:before="240" w:after="240"/>
      <w:ind w:left="576" w:hanging="575"/>
      <w:outlineLvl w:val="1"/>
    </w:pPr>
    <w:rPr>
      <w:rFonts w:ascii="Arial Black" w:eastAsia="Arial Black" w:hAnsi="Arial Black" w:cs="Arial Black"/>
      <w:sz w:val="22"/>
    </w:rPr>
  </w:style>
  <w:style w:type="paragraph" w:styleId="Heading3">
    <w:name w:val="heading 3"/>
    <w:basedOn w:val="Normal"/>
    <w:next w:val="Normal"/>
    <w:pPr>
      <w:spacing w:before="120" w:after="120"/>
      <w:ind w:left="1080"/>
      <w:outlineLvl w:val="2"/>
    </w:pPr>
    <w:rPr>
      <w:rFonts w:ascii="Arial Black" w:eastAsia="Arial Black" w:hAnsi="Arial Black" w:cs="Arial Black"/>
      <w:sz w:val="20"/>
    </w:rPr>
  </w:style>
  <w:style w:type="paragraph" w:styleId="Heading4">
    <w:name w:val="heading 4"/>
    <w:basedOn w:val="Normal"/>
    <w:next w:val="Normal"/>
    <w:pPr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700</Words>
  <Characters>3991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V8.2DraftEngRefMaterialPropertyPhaseChangeDualCurve (1).docx</vt:lpstr>
    </vt:vector>
  </TitlesOfParts>
  <Company/>
  <LinksUpToDate>false</LinksUpToDate>
  <CharactersWithSpaces>4682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V8.2DraftEngRefMaterialPropertyPhaseChangeDualCurve (1).docx</dc:title>
  <dc:creator>Jeremiah</dc:creator>
  <cp:lastModifiedBy>Jeremiah Crossett</cp:lastModifiedBy>
  <cp:revision>2</cp:revision>
  <dcterms:created xsi:type="dcterms:W3CDTF">2014-01-07T17:47:00Z</dcterms:created>
  <dcterms:modified xsi:type="dcterms:W3CDTF">2014-01-07T17:47:00Z</dcterms:modified>
</cp:coreProperties>
</file>