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511AC" w:rsidRDefault="009B1E09" w:rsidP="006D501C">
      <w:pPr>
        <w:spacing w:after="89"/>
      </w:pPr>
      <w:proofErr w:type="spellStart"/>
      <w:proofErr w:type="gramStart"/>
      <w:r>
        <w:rPr>
          <w:rFonts w:ascii="Arial Black" w:eastAsia="Arial Black" w:hAnsi="Arial Black" w:cs="Arial Black"/>
          <w:b/>
          <w:sz w:val="20"/>
        </w:rPr>
        <w:t>MaterialProperty:PhaseChangeHysteresis</w:t>
      </w:r>
      <w:proofErr w:type="spellEnd"/>
      <w:proofErr w:type="gramEnd"/>
      <w:r>
        <w:rPr>
          <w:rFonts w:ascii="Arial Black" w:eastAsia="Arial Black" w:hAnsi="Arial Black" w:cs="Arial Black"/>
          <w:b/>
          <w:sz w:val="20"/>
        </w:rPr>
        <w:t xml:space="preserve"> </w:t>
      </w:r>
      <w:r w:rsidR="00D7633F">
        <w:rPr>
          <w:rFonts w:ascii="Arial Black" w:eastAsia="Arial Black" w:hAnsi="Arial Black" w:cs="Arial Black"/>
          <w:b/>
          <w:sz w:val="20"/>
        </w:rPr>
        <w:t xml:space="preserve">    </w:t>
      </w:r>
    </w:p>
    <w:p w:rsidR="00F53F8A" w:rsidRDefault="006D501C" w:rsidP="00F53F8A">
      <w:pPr>
        <w:spacing w:before="60" w:after="60"/>
        <w:ind w:left="1080"/>
        <w:jc w:val="both"/>
        <w:rPr>
          <w:rFonts w:ascii="Arial" w:eastAsia="Arial" w:hAnsi="Arial" w:cs="Arial"/>
          <w:sz w:val="20"/>
        </w:rPr>
      </w:pPr>
      <w:r>
        <w:rPr>
          <w:rFonts w:ascii="Arial" w:eastAsia="Arial" w:hAnsi="Arial" w:cs="Arial"/>
          <w:sz w:val="20"/>
        </w:rPr>
        <w:t>Material p</w:t>
      </w:r>
      <w:r w:rsidR="009B1E09">
        <w:rPr>
          <w:rFonts w:ascii="Arial" w:eastAsia="Arial" w:hAnsi="Arial" w:cs="Arial"/>
          <w:sz w:val="20"/>
        </w:rPr>
        <w:t xml:space="preserve">roperty phase change hysteresis </w:t>
      </w:r>
      <w:r w:rsidR="00D7633F">
        <w:rPr>
          <w:rFonts w:ascii="Arial" w:eastAsia="Arial" w:hAnsi="Arial" w:cs="Arial"/>
          <w:sz w:val="20"/>
        </w:rPr>
        <w:t>us</w:t>
      </w:r>
      <w:r>
        <w:rPr>
          <w:rFonts w:ascii="Arial" w:eastAsia="Arial" w:hAnsi="Arial" w:cs="Arial"/>
          <w:sz w:val="20"/>
        </w:rPr>
        <w:t>es an equation based approach for</w:t>
      </w:r>
      <w:r w:rsidR="00D7633F">
        <w:rPr>
          <w:rFonts w:ascii="Arial" w:eastAsia="Arial" w:hAnsi="Arial" w:cs="Arial"/>
          <w:sz w:val="20"/>
        </w:rPr>
        <w:t xml:space="preserve"> modeling dynamic phase change materials “PCM's” with minimal inputs. </w:t>
      </w:r>
    </w:p>
    <w:p w:rsidR="00F53F8A" w:rsidRDefault="00F53F8A" w:rsidP="00F53F8A">
      <w:pPr>
        <w:spacing w:before="60" w:after="60"/>
        <w:ind w:left="1080"/>
        <w:jc w:val="both"/>
        <w:rPr>
          <w:rFonts w:ascii="Arial" w:eastAsia="Arial" w:hAnsi="Arial" w:cs="Arial"/>
          <w:sz w:val="20"/>
        </w:rPr>
      </w:pPr>
    </w:p>
    <w:p w:rsidR="00251C54" w:rsidRDefault="00D7633F" w:rsidP="00251C54">
      <w:pPr>
        <w:spacing w:before="60" w:after="60"/>
        <w:ind w:left="1080"/>
        <w:jc w:val="both"/>
        <w:rPr>
          <w:rFonts w:ascii="Arial" w:eastAsia="Arial" w:hAnsi="Arial" w:cs="Arial"/>
          <w:sz w:val="20"/>
        </w:rPr>
      </w:pPr>
      <w:r>
        <w:rPr>
          <w:rFonts w:ascii="Arial" w:eastAsia="Arial" w:hAnsi="Arial" w:cs="Arial"/>
          <w:sz w:val="20"/>
        </w:rPr>
        <w:t xml:space="preserve">The inputs are designed to match the results of </w:t>
      </w:r>
      <w:r w:rsidR="001302A6">
        <w:rPr>
          <w:rFonts w:ascii="Arial" w:eastAsia="Arial" w:hAnsi="Arial" w:cs="Arial"/>
          <w:sz w:val="20"/>
        </w:rPr>
        <w:t xml:space="preserve">the ATSM test method Designation: C1784 – 14 Standard Test Method for </w:t>
      </w:r>
      <w:r w:rsidR="001302A6" w:rsidRPr="001302A6">
        <w:rPr>
          <w:rFonts w:ascii="Arial" w:eastAsia="Arial" w:hAnsi="Arial" w:cs="Arial"/>
          <w:sz w:val="20"/>
        </w:rPr>
        <w:t>Using a Heat Flow Meter Apparatus for Measur</w:t>
      </w:r>
      <w:r w:rsidR="001302A6">
        <w:rPr>
          <w:rFonts w:ascii="Arial" w:eastAsia="Arial" w:hAnsi="Arial" w:cs="Arial"/>
          <w:sz w:val="20"/>
        </w:rPr>
        <w:t xml:space="preserve">ing Thermal </w:t>
      </w:r>
      <w:r w:rsidR="001302A6" w:rsidRPr="001302A6">
        <w:rPr>
          <w:rFonts w:ascii="Arial" w:eastAsia="Arial" w:hAnsi="Arial" w:cs="Arial"/>
          <w:sz w:val="20"/>
        </w:rPr>
        <w:t>Storage Propertie</w:t>
      </w:r>
      <w:r w:rsidR="001302A6">
        <w:rPr>
          <w:rFonts w:ascii="Arial" w:eastAsia="Arial" w:hAnsi="Arial" w:cs="Arial"/>
          <w:sz w:val="20"/>
        </w:rPr>
        <w:t xml:space="preserve">s of Phase Change Materials and </w:t>
      </w:r>
      <w:r w:rsidR="001302A6" w:rsidRPr="001302A6">
        <w:rPr>
          <w:rFonts w:ascii="Arial" w:eastAsia="Arial" w:hAnsi="Arial" w:cs="Arial"/>
          <w:sz w:val="20"/>
        </w:rPr>
        <w:t>Products</w:t>
      </w:r>
      <w:r w:rsidR="001302A6">
        <w:rPr>
          <w:rFonts w:ascii="Arial" w:eastAsia="Arial" w:hAnsi="Arial" w:cs="Arial"/>
          <w:sz w:val="20"/>
        </w:rPr>
        <w:t xml:space="preserve">. </w:t>
      </w:r>
      <w:r w:rsidR="00F53F8A" w:rsidRPr="00F53F8A">
        <w:rPr>
          <w:rFonts w:ascii="Arial" w:eastAsia="Arial" w:hAnsi="Arial" w:cs="Arial"/>
          <w:sz w:val="20"/>
        </w:rPr>
        <w:t>This test method ma</w:t>
      </w:r>
      <w:r w:rsidR="00F53F8A">
        <w:rPr>
          <w:rFonts w:ascii="Arial" w:eastAsia="Arial" w:hAnsi="Arial" w:cs="Arial"/>
          <w:sz w:val="20"/>
        </w:rPr>
        <w:t xml:space="preserve">kes a series of measurements to </w:t>
      </w:r>
      <w:r w:rsidR="00F53F8A" w:rsidRPr="00F53F8A">
        <w:rPr>
          <w:rFonts w:ascii="Arial" w:eastAsia="Arial" w:hAnsi="Arial" w:cs="Arial"/>
          <w:sz w:val="20"/>
        </w:rPr>
        <w:t>determine the thermal energy st</w:t>
      </w:r>
      <w:r w:rsidR="00F53F8A">
        <w:rPr>
          <w:rFonts w:ascii="Arial" w:eastAsia="Arial" w:hAnsi="Arial" w:cs="Arial"/>
          <w:sz w:val="20"/>
        </w:rPr>
        <w:t xml:space="preserve">orage of a test specimen over a </w:t>
      </w:r>
      <w:r w:rsidR="00F53F8A" w:rsidRPr="00F53F8A">
        <w:rPr>
          <w:rFonts w:ascii="Arial" w:eastAsia="Arial" w:hAnsi="Arial" w:cs="Arial"/>
          <w:sz w:val="20"/>
        </w:rPr>
        <w:t>temperature range. First, b</w:t>
      </w:r>
      <w:r w:rsidR="00F53F8A">
        <w:rPr>
          <w:rFonts w:ascii="Arial" w:eastAsia="Arial" w:hAnsi="Arial" w:cs="Arial"/>
          <w:sz w:val="20"/>
        </w:rPr>
        <w:t xml:space="preserve">oth HFMA plates are held at the same constant </w:t>
      </w:r>
      <w:r w:rsidR="00F53F8A" w:rsidRPr="00F53F8A">
        <w:rPr>
          <w:rFonts w:ascii="Arial" w:eastAsia="Arial" w:hAnsi="Arial" w:cs="Arial"/>
          <w:sz w:val="20"/>
        </w:rPr>
        <w:t xml:space="preserve">temperature </w:t>
      </w:r>
      <w:r w:rsidR="00F53F8A">
        <w:rPr>
          <w:rFonts w:ascii="Arial" w:eastAsia="Arial" w:hAnsi="Arial" w:cs="Arial"/>
          <w:sz w:val="20"/>
        </w:rPr>
        <w:t xml:space="preserve">until steady state is achieved. </w:t>
      </w:r>
      <w:r w:rsidR="00F53F8A" w:rsidRPr="00F53F8A">
        <w:rPr>
          <w:rFonts w:ascii="Arial" w:eastAsia="Arial" w:hAnsi="Arial" w:cs="Arial"/>
          <w:sz w:val="20"/>
        </w:rPr>
        <w:t>Steady</w:t>
      </w:r>
      <w:r w:rsidR="00F53F8A">
        <w:rPr>
          <w:rFonts w:ascii="Arial" w:eastAsia="Arial" w:hAnsi="Arial" w:cs="Arial"/>
          <w:sz w:val="20"/>
        </w:rPr>
        <w:t xml:space="preserve"> </w:t>
      </w:r>
      <w:r w:rsidR="00F53F8A" w:rsidRPr="00F53F8A">
        <w:rPr>
          <w:rFonts w:ascii="Arial" w:eastAsia="Arial" w:hAnsi="Arial" w:cs="Arial"/>
          <w:sz w:val="20"/>
        </w:rPr>
        <w:t>state</w:t>
      </w:r>
      <w:r w:rsidR="00F53F8A">
        <w:rPr>
          <w:rFonts w:ascii="Arial" w:eastAsia="Arial" w:hAnsi="Arial" w:cs="Arial"/>
          <w:sz w:val="20"/>
        </w:rPr>
        <w:t xml:space="preserve"> </w:t>
      </w:r>
      <w:r w:rsidR="00F53F8A" w:rsidRPr="00F53F8A">
        <w:rPr>
          <w:rFonts w:ascii="Arial" w:eastAsia="Arial" w:hAnsi="Arial" w:cs="Arial"/>
          <w:sz w:val="20"/>
        </w:rPr>
        <w:t>is</w:t>
      </w:r>
      <w:r w:rsidR="00F53F8A">
        <w:rPr>
          <w:rFonts w:ascii="Arial" w:eastAsia="Arial" w:hAnsi="Arial" w:cs="Arial"/>
          <w:sz w:val="20"/>
        </w:rPr>
        <w:t xml:space="preserve"> </w:t>
      </w:r>
      <w:r w:rsidR="00F53F8A" w:rsidRPr="00F53F8A">
        <w:rPr>
          <w:rFonts w:ascii="Arial" w:eastAsia="Arial" w:hAnsi="Arial" w:cs="Arial"/>
          <w:sz w:val="20"/>
        </w:rPr>
        <w:t>deﬁned</w:t>
      </w:r>
      <w:r w:rsidR="00F53F8A">
        <w:rPr>
          <w:rFonts w:ascii="Arial" w:eastAsia="Arial" w:hAnsi="Arial" w:cs="Arial"/>
          <w:sz w:val="20"/>
        </w:rPr>
        <w:t xml:space="preserve"> </w:t>
      </w:r>
      <w:r w:rsidR="00F53F8A" w:rsidRPr="00F53F8A">
        <w:rPr>
          <w:rFonts w:ascii="Arial" w:eastAsia="Arial" w:hAnsi="Arial" w:cs="Arial"/>
          <w:sz w:val="20"/>
        </w:rPr>
        <w:t>by</w:t>
      </w:r>
      <w:r w:rsidR="00F53F8A">
        <w:rPr>
          <w:rFonts w:ascii="Arial" w:eastAsia="Arial" w:hAnsi="Arial" w:cs="Arial"/>
          <w:sz w:val="20"/>
        </w:rPr>
        <w:t xml:space="preserve"> the reduction in the amount of energy </w:t>
      </w:r>
      <w:r w:rsidR="00F53F8A" w:rsidRPr="00F53F8A">
        <w:rPr>
          <w:rFonts w:ascii="Arial" w:eastAsia="Arial" w:hAnsi="Arial" w:cs="Arial"/>
          <w:sz w:val="20"/>
        </w:rPr>
        <w:t xml:space="preserve">entering the specimen from </w:t>
      </w:r>
      <w:r w:rsidR="00F53F8A">
        <w:rPr>
          <w:rFonts w:ascii="Arial" w:eastAsia="Arial" w:hAnsi="Arial" w:cs="Arial"/>
          <w:sz w:val="20"/>
        </w:rPr>
        <w:t xml:space="preserve">both plates to a very small and </w:t>
      </w:r>
      <w:r w:rsidR="00F53F8A" w:rsidRPr="00F53F8A">
        <w:rPr>
          <w:rFonts w:ascii="Arial" w:eastAsia="Arial" w:hAnsi="Arial" w:cs="Arial"/>
          <w:sz w:val="20"/>
        </w:rPr>
        <w:t>nearly constant value. Ne</w:t>
      </w:r>
      <w:r w:rsidR="00F53F8A">
        <w:rPr>
          <w:rFonts w:ascii="Arial" w:eastAsia="Arial" w:hAnsi="Arial" w:cs="Arial"/>
          <w:sz w:val="20"/>
        </w:rPr>
        <w:t xml:space="preserve">xt, both plate temperatures are </w:t>
      </w:r>
      <w:r w:rsidR="00F53F8A" w:rsidRPr="00F53F8A">
        <w:rPr>
          <w:rFonts w:ascii="Arial" w:eastAsia="Arial" w:hAnsi="Arial" w:cs="Arial"/>
          <w:sz w:val="20"/>
        </w:rPr>
        <w:t>changed by identical amounts and held at th</w:t>
      </w:r>
      <w:r w:rsidR="00F53F8A">
        <w:rPr>
          <w:rFonts w:ascii="Arial" w:eastAsia="Arial" w:hAnsi="Arial" w:cs="Arial"/>
          <w:sz w:val="20"/>
        </w:rPr>
        <w:t xml:space="preserve">e new temperature until steady state </w:t>
      </w:r>
      <w:r w:rsidR="00F53F8A" w:rsidRPr="00F53F8A">
        <w:rPr>
          <w:rFonts w:ascii="Arial" w:eastAsia="Arial" w:hAnsi="Arial" w:cs="Arial"/>
          <w:sz w:val="20"/>
        </w:rPr>
        <w:t>is again a</w:t>
      </w:r>
      <w:r w:rsidR="00F53F8A">
        <w:rPr>
          <w:rFonts w:ascii="Arial" w:eastAsia="Arial" w:hAnsi="Arial" w:cs="Arial"/>
          <w:sz w:val="20"/>
        </w:rPr>
        <w:t xml:space="preserve">chieved. The energy absorbed or </w:t>
      </w:r>
      <w:r w:rsidR="00F53F8A" w:rsidRPr="00F53F8A">
        <w:rPr>
          <w:rFonts w:ascii="Arial" w:eastAsia="Arial" w:hAnsi="Arial" w:cs="Arial"/>
          <w:sz w:val="20"/>
        </w:rPr>
        <w:t>released by the specimen f</w:t>
      </w:r>
      <w:r w:rsidR="00F53F8A">
        <w:rPr>
          <w:rFonts w:ascii="Arial" w:eastAsia="Arial" w:hAnsi="Arial" w:cs="Arial"/>
          <w:sz w:val="20"/>
        </w:rPr>
        <w:t xml:space="preserve">rom the time of the temperature </w:t>
      </w:r>
      <w:r w:rsidR="00F53F8A" w:rsidRPr="00F53F8A">
        <w:rPr>
          <w:rFonts w:ascii="Arial" w:eastAsia="Arial" w:hAnsi="Arial" w:cs="Arial"/>
          <w:sz w:val="20"/>
        </w:rPr>
        <w:t>change until steady state is a</w:t>
      </w:r>
      <w:r w:rsidR="00F53F8A">
        <w:rPr>
          <w:rFonts w:ascii="Arial" w:eastAsia="Arial" w:hAnsi="Arial" w:cs="Arial"/>
          <w:sz w:val="20"/>
        </w:rPr>
        <w:t xml:space="preserve">gain achieved will be recorded. </w:t>
      </w:r>
      <w:r w:rsidR="00F53F8A" w:rsidRPr="00F53F8A">
        <w:rPr>
          <w:rFonts w:ascii="Arial" w:eastAsia="Arial" w:hAnsi="Arial" w:cs="Arial"/>
          <w:sz w:val="20"/>
        </w:rPr>
        <w:t>Using a series of temperature step changes, the cumulativ</w:t>
      </w:r>
      <w:r w:rsidR="00F53F8A">
        <w:rPr>
          <w:rFonts w:ascii="Arial" w:eastAsia="Arial" w:hAnsi="Arial" w:cs="Arial"/>
          <w:sz w:val="20"/>
        </w:rPr>
        <w:t xml:space="preserve">e </w:t>
      </w:r>
      <w:r w:rsidR="00F53F8A" w:rsidRPr="00F53F8A">
        <w:rPr>
          <w:rFonts w:ascii="Arial" w:eastAsia="Arial" w:hAnsi="Arial" w:cs="Arial"/>
          <w:sz w:val="20"/>
        </w:rPr>
        <w:t>enthalpy stored or released over</w:t>
      </w:r>
      <w:r w:rsidR="00F53F8A">
        <w:rPr>
          <w:rFonts w:ascii="Arial" w:eastAsia="Arial" w:hAnsi="Arial" w:cs="Arial"/>
          <w:sz w:val="20"/>
        </w:rPr>
        <w:t xml:space="preserve"> a certain temperature range is </w:t>
      </w:r>
      <w:r w:rsidR="00F53F8A" w:rsidRPr="00F53F8A">
        <w:rPr>
          <w:rFonts w:ascii="Arial" w:eastAsia="Arial" w:hAnsi="Arial" w:cs="Arial"/>
          <w:sz w:val="20"/>
        </w:rPr>
        <w:t>determined.</w:t>
      </w:r>
      <w:r w:rsidR="00F53F8A" w:rsidRPr="00F53F8A">
        <w:t xml:space="preserve"> </w:t>
      </w:r>
      <w:r w:rsidR="00F53F8A" w:rsidRPr="00F53F8A">
        <w:rPr>
          <w:rFonts w:ascii="Arial" w:eastAsia="Arial" w:hAnsi="Arial" w:cs="Arial"/>
          <w:sz w:val="20"/>
        </w:rPr>
        <w:t xml:space="preserve">The speciﬁc heats of </w:t>
      </w:r>
      <w:r w:rsidR="00F53F8A">
        <w:rPr>
          <w:rFonts w:ascii="Arial" w:eastAsia="Arial" w:hAnsi="Arial" w:cs="Arial"/>
          <w:sz w:val="20"/>
        </w:rPr>
        <w:t xml:space="preserve">the solid and liquid phases are </w:t>
      </w:r>
      <w:r w:rsidR="00F53F8A" w:rsidRPr="00F53F8A">
        <w:rPr>
          <w:rFonts w:ascii="Arial" w:eastAsia="Arial" w:hAnsi="Arial" w:cs="Arial"/>
          <w:sz w:val="20"/>
        </w:rPr>
        <w:t>determined from the slope of the temperature-</w:t>
      </w:r>
      <w:r w:rsidR="00251C54" w:rsidRPr="00F53F8A">
        <w:rPr>
          <w:rFonts w:ascii="Arial" w:eastAsia="Arial" w:hAnsi="Arial" w:cs="Arial"/>
          <w:sz w:val="20"/>
        </w:rPr>
        <w:t>dependent</w:t>
      </w:r>
      <w:bookmarkStart w:id="0" w:name="_GoBack"/>
      <w:bookmarkEnd w:id="0"/>
      <w:r w:rsidR="00F53F8A" w:rsidRPr="00F53F8A">
        <w:rPr>
          <w:rFonts w:ascii="Arial" w:eastAsia="Arial" w:hAnsi="Arial" w:cs="Arial"/>
          <w:sz w:val="20"/>
        </w:rPr>
        <w:t xml:space="preserve"> enthalpy function during sensible heating/cooling, before and</w:t>
      </w:r>
      <w:r w:rsidR="00F53F8A">
        <w:rPr>
          <w:rFonts w:ascii="Arial" w:eastAsia="Arial" w:hAnsi="Arial" w:cs="Arial"/>
          <w:sz w:val="20"/>
        </w:rPr>
        <w:t xml:space="preserve"> </w:t>
      </w:r>
      <w:r w:rsidR="00F53F8A" w:rsidRPr="00F53F8A">
        <w:rPr>
          <w:rFonts w:ascii="Arial" w:eastAsia="Arial" w:hAnsi="Arial" w:cs="Arial"/>
          <w:sz w:val="20"/>
        </w:rPr>
        <w:t>after the phase change process.</w:t>
      </w:r>
      <w:r w:rsidR="00F53F8A">
        <w:rPr>
          <w:rFonts w:ascii="Arial" w:eastAsia="Arial" w:hAnsi="Arial" w:cs="Arial"/>
          <w:sz w:val="20"/>
        </w:rPr>
        <w:t xml:space="preserve"> </w:t>
      </w:r>
      <w:r w:rsidR="00F53F8A" w:rsidRPr="00F53F8A">
        <w:rPr>
          <w:rFonts w:ascii="Arial" w:eastAsia="Arial" w:hAnsi="Arial" w:cs="Arial"/>
          <w:sz w:val="20"/>
        </w:rPr>
        <w:t xml:space="preserve">This test method </w:t>
      </w:r>
      <w:r w:rsidR="00F53F8A">
        <w:rPr>
          <w:rFonts w:ascii="Arial" w:eastAsia="Arial" w:hAnsi="Arial" w:cs="Arial"/>
          <w:sz w:val="20"/>
        </w:rPr>
        <w:t xml:space="preserve">applies to PCMs and composites, </w:t>
      </w:r>
      <w:r w:rsidR="00F53F8A" w:rsidRPr="00F53F8A">
        <w:rPr>
          <w:rFonts w:ascii="Arial" w:eastAsia="Arial" w:hAnsi="Arial" w:cs="Arial"/>
          <w:sz w:val="20"/>
        </w:rPr>
        <w:t>products and systems inco</w:t>
      </w:r>
      <w:r w:rsidR="00F53F8A">
        <w:rPr>
          <w:rFonts w:ascii="Arial" w:eastAsia="Arial" w:hAnsi="Arial" w:cs="Arial"/>
          <w:sz w:val="20"/>
        </w:rPr>
        <w:t xml:space="preserve">rporating PCMs, including those </w:t>
      </w:r>
      <w:r w:rsidR="00F53F8A" w:rsidRPr="00F53F8A">
        <w:rPr>
          <w:rFonts w:ascii="Arial" w:eastAsia="Arial" w:hAnsi="Arial" w:cs="Arial"/>
          <w:sz w:val="20"/>
        </w:rPr>
        <w:t>with PCM dispersed in or com</w:t>
      </w:r>
      <w:r w:rsidR="00F53F8A">
        <w:rPr>
          <w:rFonts w:ascii="Arial" w:eastAsia="Arial" w:hAnsi="Arial" w:cs="Arial"/>
          <w:sz w:val="20"/>
        </w:rPr>
        <w:t xml:space="preserve">bined with a thermal insulation </w:t>
      </w:r>
      <w:r w:rsidR="00F53F8A" w:rsidRPr="00F53F8A">
        <w:rPr>
          <w:rFonts w:ascii="Arial" w:eastAsia="Arial" w:hAnsi="Arial" w:cs="Arial"/>
          <w:sz w:val="20"/>
        </w:rPr>
        <w:t>material, boards or membr</w:t>
      </w:r>
      <w:r w:rsidR="00F53F8A">
        <w:rPr>
          <w:rFonts w:ascii="Arial" w:eastAsia="Arial" w:hAnsi="Arial" w:cs="Arial"/>
          <w:sz w:val="20"/>
        </w:rPr>
        <w:t xml:space="preserve">anes containing concentrated or </w:t>
      </w:r>
      <w:r w:rsidR="00F53F8A" w:rsidRPr="00F53F8A">
        <w:rPr>
          <w:rFonts w:ascii="Arial" w:eastAsia="Arial" w:hAnsi="Arial" w:cs="Arial"/>
          <w:sz w:val="20"/>
        </w:rPr>
        <w:t>dispersed PCM, etc. Spe</w:t>
      </w:r>
      <w:r w:rsidR="00F53F8A">
        <w:rPr>
          <w:rFonts w:ascii="Arial" w:eastAsia="Arial" w:hAnsi="Arial" w:cs="Arial"/>
          <w:sz w:val="20"/>
        </w:rPr>
        <w:t xml:space="preserve">ciﬁc examples include solid PCM </w:t>
      </w:r>
      <w:r w:rsidR="00F53F8A" w:rsidRPr="00F53F8A">
        <w:rPr>
          <w:rFonts w:ascii="Arial" w:eastAsia="Arial" w:hAnsi="Arial" w:cs="Arial"/>
          <w:sz w:val="20"/>
        </w:rPr>
        <w:t>composites and products, loose blended materials incorporating PCMs, a</w:t>
      </w:r>
      <w:r w:rsidR="00F53F8A">
        <w:rPr>
          <w:rFonts w:ascii="Arial" w:eastAsia="Arial" w:hAnsi="Arial" w:cs="Arial"/>
          <w:sz w:val="20"/>
        </w:rPr>
        <w:t xml:space="preserve">nd discretely contained PCM. </w:t>
      </w:r>
      <w:r w:rsidR="00F53F8A" w:rsidRPr="00F53F8A">
        <w:rPr>
          <w:rFonts w:ascii="Arial" w:eastAsia="Arial" w:hAnsi="Arial" w:cs="Arial"/>
          <w:sz w:val="20"/>
        </w:rPr>
        <w:t>This test method may be used to characterize material</w:t>
      </w:r>
      <w:r w:rsidR="00F53F8A">
        <w:rPr>
          <w:rFonts w:ascii="Arial" w:eastAsia="Arial" w:hAnsi="Arial" w:cs="Arial"/>
          <w:sz w:val="20"/>
        </w:rPr>
        <w:t xml:space="preserve"> </w:t>
      </w:r>
      <w:r w:rsidR="00F53F8A" w:rsidRPr="00F53F8A">
        <w:rPr>
          <w:rFonts w:ascii="Arial" w:eastAsia="Arial" w:hAnsi="Arial" w:cs="Arial"/>
          <w:sz w:val="20"/>
        </w:rPr>
        <w:t>properties, which may or may not be representative of actual</w:t>
      </w:r>
      <w:r w:rsidR="00F53F8A">
        <w:rPr>
          <w:rFonts w:ascii="Arial" w:eastAsia="Arial" w:hAnsi="Arial" w:cs="Arial"/>
          <w:sz w:val="20"/>
        </w:rPr>
        <w:t xml:space="preserve"> </w:t>
      </w:r>
      <w:r w:rsidR="00F53F8A" w:rsidRPr="00F53F8A">
        <w:rPr>
          <w:rFonts w:ascii="Arial" w:eastAsia="Arial" w:hAnsi="Arial" w:cs="Arial"/>
          <w:sz w:val="20"/>
        </w:rPr>
        <w:t>conditions of use.</w:t>
      </w:r>
    </w:p>
    <w:p w:rsidR="00F53F8A" w:rsidRDefault="00F53F8A" w:rsidP="00F53F8A">
      <w:pPr>
        <w:spacing w:before="60" w:after="60"/>
        <w:ind w:left="1080"/>
        <w:jc w:val="both"/>
        <w:rPr>
          <w:rFonts w:ascii="Arial" w:eastAsia="Arial" w:hAnsi="Arial" w:cs="Arial"/>
          <w:sz w:val="20"/>
        </w:rPr>
      </w:pPr>
    </w:p>
    <w:p w:rsidR="00F53F8A" w:rsidRDefault="00F53F8A" w:rsidP="00F53F8A">
      <w:pPr>
        <w:spacing w:before="60" w:after="60"/>
        <w:ind w:left="1080"/>
        <w:jc w:val="both"/>
        <w:rPr>
          <w:rFonts w:ascii="Arial" w:eastAsia="Arial" w:hAnsi="Arial" w:cs="Arial"/>
          <w:sz w:val="20"/>
        </w:rPr>
      </w:pPr>
      <w:r>
        <w:rPr>
          <w:rFonts w:ascii="Arial" w:eastAsia="Arial" w:hAnsi="Arial" w:cs="Arial"/>
          <w:sz w:val="20"/>
        </w:rPr>
        <w:t xml:space="preserve">The Material Property Phase Change Hysteresis object matches the </w:t>
      </w:r>
      <w:r>
        <w:rPr>
          <w:rFonts w:ascii="Arial" w:eastAsia="Arial" w:hAnsi="Arial" w:cs="Arial"/>
          <w:sz w:val="20"/>
        </w:rPr>
        <w:t>C1784</w:t>
      </w:r>
      <w:r>
        <w:rPr>
          <w:rFonts w:ascii="Arial" w:eastAsia="Arial" w:hAnsi="Arial" w:cs="Arial"/>
          <w:sz w:val="20"/>
        </w:rPr>
        <w:t xml:space="preserve"> test method b</w:t>
      </w:r>
      <w:r>
        <w:rPr>
          <w:rFonts w:ascii="Arial" w:eastAsia="Arial" w:hAnsi="Arial" w:cs="Arial"/>
          <w:sz w:val="20"/>
        </w:rPr>
        <w:t>y individually modeling both melting and freezing curves the dual curve PCM model provides hysteresis capabilities.</w:t>
      </w:r>
      <w:r>
        <w:rPr>
          <w:rFonts w:ascii="Arial" w:eastAsia="Arial" w:hAnsi="Arial" w:cs="Arial"/>
          <w:sz w:val="20"/>
        </w:rPr>
        <w:t xml:space="preserve"> </w:t>
      </w:r>
      <w:r>
        <w:rPr>
          <w:rFonts w:ascii="Arial" w:eastAsia="Arial" w:hAnsi="Arial" w:cs="Arial"/>
          <w:sz w:val="20"/>
        </w:rPr>
        <w:t>Material Property Phase Change Hysteresis</w:t>
      </w:r>
      <w:r>
        <w:rPr>
          <w:rFonts w:ascii="Arial" w:eastAsia="Arial" w:hAnsi="Arial" w:cs="Arial"/>
          <w:sz w:val="20"/>
        </w:rPr>
        <w:t xml:space="preserve"> inputs are the peak melting temperature, melt high temperature difference melt low temperature difference, peak freezing temperature, freezing high temperature difference, freezing low temperature difference, latent heat of fusion, latent heat of solidification, liquid state specific heat, solid state specific heat and temperature coefficient for thermal conductivity.  </w:t>
      </w:r>
      <w:r>
        <w:rPr>
          <w:rFonts w:ascii="Arial" w:eastAsia="Arial" w:hAnsi="Arial" w:cs="Arial"/>
          <w:sz w:val="20"/>
        </w:rPr>
        <w:t xml:space="preserve">The dual curve method enables the algorithm to include the effects of hysteresis by a straight line shift between curves when temperatures change directions. </w:t>
      </w:r>
      <w:r>
        <w:rPr>
          <w:rFonts w:ascii="Arial" w:eastAsia="Arial" w:hAnsi="Arial" w:cs="Arial"/>
          <w:sz w:val="20"/>
        </w:rPr>
        <w:t xml:space="preserve">  </w:t>
      </w:r>
    </w:p>
    <w:p w:rsidR="00F53F8A" w:rsidRDefault="00F53F8A" w:rsidP="00F53F8A">
      <w:pPr>
        <w:spacing w:before="60" w:after="60"/>
        <w:ind w:left="1080"/>
        <w:jc w:val="both"/>
        <w:rPr>
          <w:rFonts w:ascii="Arial" w:eastAsia="Arial" w:hAnsi="Arial" w:cs="Arial"/>
          <w:sz w:val="20"/>
        </w:rPr>
      </w:pPr>
    </w:p>
    <w:p w:rsidR="003511AC" w:rsidRPr="001302A6" w:rsidRDefault="00F53F8A" w:rsidP="00F53F8A">
      <w:pPr>
        <w:spacing w:before="60" w:after="60"/>
        <w:ind w:left="1080"/>
        <w:jc w:val="both"/>
        <w:rPr>
          <w:rFonts w:ascii="Arial" w:eastAsia="Arial" w:hAnsi="Arial" w:cs="Arial"/>
          <w:sz w:val="20"/>
        </w:rPr>
      </w:pPr>
      <w:r>
        <w:rPr>
          <w:rFonts w:ascii="Arial" w:eastAsia="Arial" w:hAnsi="Arial" w:cs="Arial"/>
          <w:sz w:val="20"/>
        </w:rPr>
        <w:t xml:space="preserve">The model has surface nodal outputs for temperature and </w:t>
      </w:r>
      <w:r w:rsidR="006D501C">
        <w:rPr>
          <w:rFonts w:ascii="Arial" w:eastAsia="Arial" w:hAnsi="Arial" w:cs="Arial"/>
          <w:sz w:val="20"/>
        </w:rPr>
        <w:t xml:space="preserve">phase change state at the </w:t>
      </w:r>
      <w:proofErr w:type="spellStart"/>
      <w:r w:rsidR="006D501C">
        <w:rPr>
          <w:rFonts w:ascii="Arial" w:eastAsia="Arial" w:hAnsi="Arial" w:cs="Arial"/>
          <w:sz w:val="20"/>
        </w:rPr>
        <w:t>timestep</w:t>
      </w:r>
      <w:proofErr w:type="spellEnd"/>
      <w:r w:rsidR="00D7633F">
        <w:rPr>
          <w:rFonts w:ascii="Arial" w:eastAsia="Arial" w:hAnsi="Arial" w:cs="Arial"/>
          <w:sz w:val="20"/>
        </w:rPr>
        <w:t xml:space="preserve"> </w:t>
      </w:r>
      <w:r w:rsidR="006D501C">
        <w:rPr>
          <w:rFonts w:ascii="Arial" w:eastAsia="Arial" w:hAnsi="Arial" w:cs="Arial"/>
          <w:sz w:val="20"/>
        </w:rPr>
        <w:t>and averaged</w:t>
      </w:r>
      <w:r w:rsidR="00FD141D">
        <w:rPr>
          <w:rFonts w:ascii="Arial" w:eastAsia="Arial" w:hAnsi="Arial" w:cs="Arial"/>
          <w:sz w:val="20"/>
        </w:rPr>
        <w:t xml:space="preserve"> for the repo</w:t>
      </w:r>
      <w:r>
        <w:rPr>
          <w:rFonts w:ascii="Arial" w:eastAsia="Arial" w:hAnsi="Arial" w:cs="Arial"/>
          <w:sz w:val="20"/>
        </w:rPr>
        <w:t xml:space="preserve">rting frequency, surface outputs for heat flux and PCM </w:t>
      </w:r>
      <w:r w:rsidR="004B2A3A">
        <w:rPr>
          <w:rFonts w:ascii="Arial" w:eastAsia="Arial" w:hAnsi="Arial" w:cs="Arial"/>
          <w:sz w:val="20"/>
        </w:rPr>
        <w:t>cooling and heating enthalpy</w:t>
      </w:r>
      <w:r>
        <w:rPr>
          <w:rFonts w:ascii="Arial" w:eastAsia="Arial" w:hAnsi="Arial" w:cs="Arial"/>
          <w:sz w:val="20"/>
        </w:rPr>
        <w:t xml:space="preserve">, </w:t>
      </w:r>
      <w:r w:rsidR="004B2A3A">
        <w:rPr>
          <w:rFonts w:ascii="Arial" w:eastAsia="Arial" w:hAnsi="Arial" w:cs="Arial"/>
          <w:sz w:val="20"/>
        </w:rPr>
        <w:t xml:space="preserve">zone and building outputs for </w:t>
      </w:r>
      <w:r w:rsidR="004B2A3A">
        <w:rPr>
          <w:rFonts w:ascii="Arial" w:eastAsia="Arial" w:hAnsi="Arial" w:cs="Arial"/>
          <w:sz w:val="20"/>
        </w:rPr>
        <w:t>PCM cooling and heating enthalpy</w:t>
      </w:r>
      <w:r w:rsidR="004B2A3A">
        <w:rPr>
          <w:rFonts w:ascii="Arial" w:eastAsia="Arial" w:hAnsi="Arial" w:cs="Arial"/>
          <w:sz w:val="20"/>
        </w:rPr>
        <w:t xml:space="preserve">. </w:t>
      </w:r>
    </w:p>
    <w:p w:rsidR="003511AC" w:rsidRDefault="003511AC">
      <w:pPr>
        <w:spacing w:before="60" w:after="60"/>
        <w:ind w:left="1080"/>
        <w:jc w:val="both"/>
      </w:pPr>
    </w:p>
    <w:p w:rsidR="004B2A3A" w:rsidRDefault="004B2A3A">
      <w:pPr>
        <w:spacing w:before="60" w:after="60"/>
        <w:ind w:left="1080"/>
        <w:jc w:val="both"/>
      </w:pPr>
    </w:p>
    <w:p w:rsidR="004B2A3A" w:rsidRDefault="004B2A3A">
      <w:pPr>
        <w:spacing w:before="60" w:after="60"/>
        <w:ind w:left="1080"/>
        <w:jc w:val="both"/>
      </w:pPr>
    </w:p>
    <w:p w:rsidR="004B2A3A" w:rsidRDefault="004B2A3A">
      <w:pPr>
        <w:spacing w:before="60" w:after="60"/>
        <w:ind w:left="1080"/>
        <w:jc w:val="both"/>
      </w:pPr>
    </w:p>
    <w:p w:rsidR="004B2A3A" w:rsidRDefault="004B2A3A">
      <w:pPr>
        <w:spacing w:before="60" w:after="60"/>
        <w:ind w:left="1080"/>
        <w:jc w:val="both"/>
      </w:pPr>
    </w:p>
    <w:p w:rsidR="004B2A3A" w:rsidRDefault="004B2A3A">
      <w:pPr>
        <w:spacing w:before="60" w:after="60"/>
        <w:ind w:left="1080"/>
        <w:jc w:val="both"/>
      </w:pPr>
    </w:p>
    <w:p w:rsidR="004B2A3A" w:rsidRDefault="004B2A3A">
      <w:pPr>
        <w:spacing w:before="60" w:after="60"/>
        <w:ind w:left="1080"/>
        <w:jc w:val="both"/>
      </w:pPr>
    </w:p>
    <w:p w:rsidR="004B2A3A" w:rsidRDefault="004B2A3A">
      <w:pPr>
        <w:spacing w:before="60" w:after="60"/>
        <w:ind w:left="1080"/>
        <w:jc w:val="both"/>
      </w:pPr>
    </w:p>
    <w:p w:rsidR="004B2A3A" w:rsidRDefault="004B2A3A">
      <w:pPr>
        <w:spacing w:before="60" w:after="60"/>
        <w:ind w:left="1080"/>
        <w:jc w:val="both"/>
      </w:pPr>
    </w:p>
    <w:p w:rsidR="003511AC" w:rsidRDefault="004B2A3A">
      <w:pPr>
        <w:ind w:left="1080"/>
      </w:pPr>
      <w:r>
        <w:rPr>
          <w:rFonts w:ascii="Arial" w:eastAsia="Arial" w:hAnsi="Arial" w:cs="Arial"/>
          <w:b/>
          <w:sz w:val="20"/>
        </w:rPr>
        <w:lastRenderedPageBreak/>
        <w:t xml:space="preserve">Dual </w:t>
      </w:r>
      <w:r>
        <w:rPr>
          <w:rFonts w:ascii="Arial" w:eastAsia="Arial" w:hAnsi="Arial" w:cs="Arial"/>
          <w:b/>
          <w:sz w:val="20"/>
        </w:rPr>
        <w:t>Enthalpy Curve</w:t>
      </w:r>
      <w:r>
        <w:rPr>
          <w:rFonts w:ascii="Arial" w:eastAsia="Arial" w:hAnsi="Arial" w:cs="Arial"/>
          <w:b/>
          <w:sz w:val="20"/>
        </w:rPr>
        <w:t xml:space="preserve"> Mathematical Model</w:t>
      </w:r>
      <w:r w:rsidR="007401BB">
        <w:rPr>
          <w:rFonts w:ascii="Arial" w:eastAsia="Arial" w:hAnsi="Arial" w:cs="Arial"/>
          <w:b/>
          <w:sz w:val="20"/>
        </w:rPr>
        <w:t>:</w:t>
      </w:r>
    </w:p>
    <w:p w:rsidR="003511AC" w:rsidRDefault="003511AC" w:rsidP="004B2A3A"/>
    <w:p w:rsidR="0065481F" w:rsidRDefault="00D7633F" w:rsidP="007401BB">
      <w:pPr>
        <w:ind w:left="1080"/>
        <w:rPr>
          <w:rFonts w:ascii="Arial" w:eastAsia="Arial" w:hAnsi="Arial" w:cs="Arial"/>
          <w:sz w:val="20"/>
        </w:rPr>
      </w:pPr>
      <w:r>
        <w:rPr>
          <w:rFonts w:ascii="Arial" w:eastAsia="Arial" w:hAnsi="Arial" w:cs="Arial"/>
          <w:sz w:val="20"/>
        </w:rPr>
        <w:t xml:space="preserve">The model uses polynomial fitting curves to describe the properties of PCM adapted from the </w:t>
      </w:r>
      <w:proofErr w:type="spellStart"/>
      <w:r>
        <w:rPr>
          <w:rFonts w:ascii="Arial" w:eastAsia="Arial" w:hAnsi="Arial" w:cs="Arial"/>
          <w:sz w:val="20"/>
        </w:rPr>
        <w:t>Ginzburg</w:t>
      </w:r>
      <w:proofErr w:type="spellEnd"/>
      <w:r>
        <w:rPr>
          <w:rFonts w:ascii="Arial" w:eastAsia="Arial" w:hAnsi="Arial" w:cs="Arial"/>
          <w:sz w:val="20"/>
        </w:rPr>
        <w:t>-Landau theory of phase transitions.  Dependent upon the composition, congruency and if the material is eutectic; PCM's can exhibit discontinuity at the melting temperature (Figure 1 Curve A) thus enthalpy is not a</w:t>
      </w:r>
      <w:r w:rsidR="0065481F">
        <w:rPr>
          <w:rFonts w:ascii="Arial" w:eastAsia="Arial" w:hAnsi="Arial" w:cs="Arial"/>
          <w:sz w:val="20"/>
        </w:rPr>
        <w:t xml:space="preserve"> unique function of temperature, </w:t>
      </w:r>
      <w:r>
        <w:rPr>
          <w:rFonts w:ascii="Arial" w:eastAsia="Arial" w:hAnsi="Arial" w:cs="Arial"/>
          <w:sz w:val="20"/>
        </w:rPr>
        <w:t xml:space="preserve">or can exhibit enthalpy as a continuous function of temperature (Figure 1 Curve B). This results in </w:t>
      </w:r>
      <w:r w:rsidR="0065481F">
        <w:rPr>
          <w:rFonts w:ascii="Arial" w:eastAsia="Arial" w:hAnsi="Arial" w:cs="Arial"/>
          <w:sz w:val="20"/>
        </w:rPr>
        <w:t xml:space="preserve">a ‘mushy’ phase change state </w:t>
      </w:r>
      <w:r>
        <w:rPr>
          <w:rFonts w:ascii="Arial" w:eastAsia="Arial" w:hAnsi="Arial" w:cs="Arial"/>
          <w:sz w:val="20"/>
        </w:rPr>
        <w:t>between solid and liquid regions.</w:t>
      </w:r>
      <w:r w:rsidR="007401BB">
        <w:rPr>
          <w:rFonts w:ascii="Arial" w:eastAsia="Arial" w:hAnsi="Arial" w:cs="Arial"/>
          <w:sz w:val="20"/>
        </w:rPr>
        <w:t xml:space="preserve"> </w:t>
      </w:r>
      <w:r>
        <w:rPr>
          <w:rFonts w:ascii="Arial" w:eastAsia="Arial" w:hAnsi="Arial" w:cs="Arial"/>
          <w:sz w:val="20"/>
        </w:rPr>
        <w:t xml:space="preserve">To address this “mushy region” explicit equations adapted from the work of </w:t>
      </w:r>
      <w:proofErr w:type="spellStart"/>
      <w:r>
        <w:rPr>
          <w:rFonts w:ascii="Arial" w:eastAsia="Arial" w:hAnsi="Arial" w:cs="Arial"/>
          <w:sz w:val="20"/>
        </w:rPr>
        <w:t>Egolf</w:t>
      </w:r>
      <w:proofErr w:type="spellEnd"/>
      <w:r>
        <w:rPr>
          <w:rFonts w:ascii="Arial" w:eastAsia="Arial" w:hAnsi="Arial" w:cs="Arial"/>
          <w:sz w:val="20"/>
        </w:rPr>
        <w:t xml:space="preserve"> and </w:t>
      </w:r>
      <w:proofErr w:type="spellStart"/>
      <w:r>
        <w:rPr>
          <w:rFonts w:ascii="Arial" w:eastAsia="Arial" w:hAnsi="Arial" w:cs="Arial"/>
          <w:sz w:val="20"/>
        </w:rPr>
        <w:t>Manz</w:t>
      </w:r>
      <w:proofErr w:type="spellEnd"/>
      <w:r>
        <w:rPr>
          <w:rFonts w:ascii="Arial" w:eastAsia="Arial" w:hAnsi="Arial" w:cs="Arial"/>
          <w:sz w:val="20"/>
        </w:rPr>
        <w:t xml:space="preserve"> (1994) are used for the enthalpy as a function of temperature</w:t>
      </w:r>
      <w:r w:rsidR="0065481F">
        <w:rPr>
          <w:rFonts w:ascii="Arial" w:eastAsia="Arial" w:hAnsi="Arial" w:cs="Arial"/>
          <w:sz w:val="20"/>
        </w:rPr>
        <w:t xml:space="preserve">. This method is </w:t>
      </w:r>
      <w:r>
        <w:rPr>
          <w:rFonts w:ascii="Arial" w:eastAsia="Arial" w:hAnsi="Arial" w:cs="Arial"/>
          <w:sz w:val="20"/>
        </w:rPr>
        <w:t>applicable to PCMs that show different widths of melting</w:t>
      </w:r>
      <w:r w:rsidR="0065481F">
        <w:rPr>
          <w:rFonts w:ascii="Arial" w:eastAsia="Arial" w:hAnsi="Arial" w:cs="Arial"/>
          <w:sz w:val="20"/>
        </w:rPr>
        <w:t xml:space="preserve"> or freezing</w:t>
      </w:r>
      <w:r>
        <w:rPr>
          <w:rFonts w:ascii="Arial" w:eastAsia="Arial" w:hAnsi="Arial" w:cs="Arial"/>
          <w:sz w:val="20"/>
        </w:rPr>
        <w:t xml:space="preserve"> region</w:t>
      </w:r>
      <w:r w:rsidR="0065481F">
        <w:rPr>
          <w:rFonts w:ascii="Arial" w:eastAsia="Arial" w:hAnsi="Arial" w:cs="Arial"/>
          <w:sz w:val="20"/>
        </w:rPr>
        <w:t>s</w:t>
      </w:r>
      <w:r>
        <w:rPr>
          <w:rFonts w:ascii="Arial" w:eastAsia="Arial" w:hAnsi="Arial" w:cs="Arial"/>
          <w:sz w:val="20"/>
        </w:rPr>
        <w:t xml:space="preserve"> and different specific heats in the solid and liquid phases. Performance of the curve depends on the width of the melting </w:t>
      </w:r>
      <w:r w:rsidR="0065481F">
        <w:rPr>
          <w:rFonts w:ascii="Arial" w:eastAsia="Arial" w:hAnsi="Arial" w:cs="Arial"/>
          <w:sz w:val="20"/>
        </w:rPr>
        <w:t xml:space="preserve">and freezing </w:t>
      </w:r>
      <w:r>
        <w:rPr>
          <w:rFonts w:ascii="Arial" w:eastAsia="Arial" w:hAnsi="Arial" w:cs="Arial"/>
          <w:sz w:val="20"/>
        </w:rPr>
        <w:t>region</w:t>
      </w:r>
      <w:r w:rsidR="0065481F">
        <w:rPr>
          <w:rFonts w:ascii="Arial" w:eastAsia="Arial" w:hAnsi="Arial" w:cs="Arial"/>
          <w:sz w:val="20"/>
        </w:rPr>
        <w:t>s</w:t>
      </w:r>
      <w:r>
        <w:rPr>
          <w:rFonts w:ascii="Arial" w:eastAsia="Arial" w:hAnsi="Arial" w:cs="Arial"/>
          <w:sz w:val="20"/>
        </w:rPr>
        <w:t xml:space="preserve">. For a narrow melting </w:t>
      </w:r>
      <w:r w:rsidR="0065481F">
        <w:rPr>
          <w:rFonts w:ascii="Arial" w:eastAsia="Arial" w:hAnsi="Arial" w:cs="Arial"/>
          <w:sz w:val="20"/>
        </w:rPr>
        <w:t xml:space="preserve">or freezing </w:t>
      </w:r>
      <w:r>
        <w:rPr>
          <w:rFonts w:ascii="Arial" w:eastAsia="Arial" w:hAnsi="Arial" w:cs="Arial"/>
          <w:sz w:val="20"/>
        </w:rPr>
        <w:t xml:space="preserve">range, the curve is steep (Figure 1 Curve A) and includes minimal characteristic rounding above and below the melting region. </w:t>
      </w:r>
    </w:p>
    <w:p w:rsidR="007401BB" w:rsidRDefault="007401BB" w:rsidP="0065481F">
      <w:pPr>
        <w:ind w:left="1080"/>
        <w:rPr>
          <w:rFonts w:ascii="Arial" w:eastAsia="Arial" w:hAnsi="Arial" w:cs="Arial"/>
          <w:sz w:val="20"/>
        </w:rPr>
      </w:pPr>
    </w:p>
    <w:p w:rsidR="001052BD" w:rsidRDefault="007401BB" w:rsidP="00391D78">
      <w:pPr>
        <w:ind w:left="1080"/>
      </w:pPr>
      <w:r>
        <w:rPr>
          <w:noProof/>
        </w:rPr>
        <w:drawing>
          <wp:anchor distT="19050" distB="19050" distL="19050" distR="19050" simplePos="0" relativeHeight="251658240" behindDoc="0" locked="0" layoutInCell="0" hidden="0" allowOverlap="0" wp14:anchorId="73F4437E" wp14:editId="7CCE21BF">
            <wp:simplePos x="0" y="0"/>
            <wp:positionH relativeFrom="margin">
              <wp:align>right</wp:align>
            </wp:positionH>
            <wp:positionV relativeFrom="paragraph">
              <wp:posOffset>333375</wp:posOffset>
            </wp:positionV>
            <wp:extent cx="4878070" cy="3158490"/>
            <wp:effectExtent l="0" t="0" r="0" b="3810"/>
            <wp:wrapSquare wrapText="bothSides" distT="19050" distB="19050" distL="19050" distR="1905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tretch>
                      <a:fillRect/>
                    </a:stretch>
                  </pic:blipFill>
                  <pic:spPr>
                    <a:xfrm>
                      <a:off x="0" y="0"/>
                      <a:ext cx="4878070" cy="3158490"/>
                    </a:xfrm>
                    <a:prstGeom prst="rect">
                      <a:avLst/>
                    </a:prstGeom>
                  </pic:spPr>
                </pic:pic>
              </a:graphicData>
            </a:graphic>
            <wp14:sizeRelH relativeFrom="margin">
              <wp14:pctWidth>0</wp14:pctWidth>
            </wp14:sizeRelH>
            <wp14:sizeRelV relativeFrom="margin">
              <wp14:pctHeight>0</wp14:pctHeight>
            </wp14:sizeRelV>
          </wp:anchor>
        </w:drawing>
      </w:r>
      <w:r w:rsidR="00D7633F">
        <w:rPr>
          <w:rFonts w:ascii="Arial" w:eastAsia="Arial" w:hAnsi="Arial" w:cs="Arial"/>
          <w:b/>
          <w:sz w:val="20"/>
        </w:rPr>
        <w:t xml:space="preserve">Figure 1 </w:t>
      </w:r>
      <w:r w:rsidR="00D7633F">
        <w:rPr>
          <w:rFonts w:ascii="Arial" w:eastAsia="Arial" w:hAnsi="Arial" w:cs="Arial"/>
          <w:sz w:val="20"/>
        </w:rPr>
        <w:t>Discontinuous (A) and continuous (B) functions for enthalpy (Ad</w:t>
      </w:r>
      <w:r w:rsidR="00391D78">
        <w:rPr>
          <w:rFonts w:ascii="Arial" w:eastAsia="Arial" w:hAnsi="Arial" w:cs="Arial"/>
          <w:sz w:val="20"/>
        </w:rPr>
        <w:t xml:space="preserve">apted from </w:t>
      </w:r>
      <w:proofErr w:type="spellStart"/>
      <w:r w:rsidR="00391D78">
        <w:rPr>
          <w:rFonts w:ascii="Arial" w:eastAsia="Arial" w:hAnsi="Arial" w:cs="Arial"/>
          <w:sz w:val="20"/>
        </w:rPr>
        <w:t>Egolf</w:t>
      </w:r>
      <w:proofErr w:type="spellEnd"/>
      <w:r w:rsidR="00391D78">
        <w:rPr>
          <w:rFonts w:ascii="Arial" w:eastAsia="Arial" w:hAnsi="Arial" w:cs="Arial"/>
          <w:sz w:val="20"/>
        </w:rPr>
        <w:t xml:space="preserve"> and </w:t>
      </w:r>
      <w:proofErr w:type="spellStart"/>
      <w:r w:rsidR="00391D78">
        <w:rPr>
          <w:rFonts w:ascii="Arial" w:eastAsia="Arial" w:hAnsi="Arial" w:cs="Arial"/>
          <w:sz w:val="20"/>
        </w:rPr>
        <w:t>Manz</w:t>
      </w:r>
      <w:proofErr w:type="spellEnd"/>
      <w:r w:rsidR="00391D78">
        <w:rPr>
          <w:rFonts w:ascii="Arial" w:eastAsia="Arial" w:hAnsi="Arial" w:cs="Arial"/>
          <w:sz w:val="20"/>
        </w:rPr>
        <w:t xml:space="preserve"> 1994)</w:t>
      </w:r>
    </w:p>
    <w:p w:rsidR="001052BD" w:rsidRDefault="001052BD">
      <w:pPr>
        <w:spacing w:before="60" w:after="60"/>
        <w:ind w:left="1440"/>
        <w:jc w:val="both"/>
        <w:rPr>
          <w:noProof/>
        </w:rPr>
      </w:pPr>
    </w:p>
    <w:p w:rsidR="001052BD" w:rsidRDefault="001052BD">
      <w:pPr>
        <w:spacing w:before="60" w:after="60"/>
        <w:ind w:left="1440"/>
        <w:jc w:val="both"/>
        <w:rPr>
          <w:noProof/>
        </w:rPr>
      </w:pPr>
    </w:p>
    <w:p w:rsidR="003511AC" w:rsidRDefault="003511AC">
      <w:pPr>
        <w:spacing w:before="60" w:after="60"/>
        <w:ind w:left="1440"/>
        <w:jc w:val="both"/>
      </w:pPr>
    </w:p>
    <w:p w:rsidR="009B1E09" w:rsidRDefault="009B1E09" w:rsidP="009B1E09">
      <w:pPr>
        <w:widowControl w:val="0"/>
        <w:spacing w:after="240"/>
        <w:jc w:val="both"/>
        <w:rPr>
          <w:rFonts w:ascii="Calibri" w:hAnsi="Calibri"/>
        </w:rPr>
      </w:pPr>
      <m:oMathPara>
        <m:oMath>
          <m:r>
            <w:rPr>
              <w:rFonts w:ascii="Cambria Math" w:hAnsi="Cambria Math"/>
            </w:rPr>
            <m:t>h</m:t>
          </m:r>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T+</m:t>
                    </m:r>
                    <m:sSub>
                      <m:sSubPr>
                        <m:ctrlPr>
                          <w:rPr>
                            <w:rFonts w:ascii="Cambria Math" w:hAnsi="Cambria Math"/>
                          </w:rPr>
                        </m:ctrlPr>
                      </m:sSubPr>
                      <m:e>
                        <m:r>
                          <w:rPr>
                            <w:rFonts w:ascii="Cambria Math" w:hAnsi="Cambria Math"/>
                          </w:rPr>
                          <m:t>η</m:t>
                        </m:r>
                      </m:e>
                      <m:sub>
                        <m:r>
                          <w:rPr>
                            <w:rFonts w:ascii="Cambria Math" w:hAnsi="Cambria Math"/>
                          </w:rPr>
                          <m:t>1</m:t>
                        </m:r>
                      </m:sub>
                    </m:sSub>
                  </m:e>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m</m:t>
                        </m:r>
                      </m:sub>
                    </m:sSub>
                  </m:e>
                </m:mr>
                <m:mr>
                  <m:e>
                    <m:sSub>
                      <m:sSubPr>
                        <m:ctrlPr>
                          <w:rPr>
                            <w:rFonts w:ascii="Cambria Math" w:hAnsi="Cambria Math"/>
                          </w:rPr>
                        </m:ctrlPr>
                      </m:sSubPr>
                      <m:e>
                        <m:r>
                          <w:rPr>
                            <w:rFonts w:ascii="Cambria Math" w:hAnsi="Cambria Math"/>
                          </w:rPr>
                          <m:t>C</m:t>
                        </m:r>
                      </m:e>
                      <m:sub>
                        <m:r>
                          <w:rPr>
                            <w:rFonts w:ascii="Cambria Math" w:hAnsi="Cambria Math"/>
                          </w:rPr>
                          <m:t>p,1</m:t>
                        </m:r>
                      </m:sub>
                    </m:sSub>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p,2</m:t>
                        </m:r>
                      </m:sub>
                    </m:sSub>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m</m:t>
                            </m:r>
                          </m:sub>
                        </m:sSub>
                      </m:e>
                    </m:d>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m:t>
                        </m:r>
                      </m:sub>
                    </m:sSub>
                  </m:e>
                  <m:e>
                    <m:r>
                      <w:rPr>
                        <w:rFonts w:ascii="Cambria Math" w:hAnsi="Cambria Math"/>
                      </w:rPr>
                      <m:t>T&gt;</m:t>
                    </m:r>
                    <m:sSub>
                      <m:sSubPr>
                        <m:ctrlPr>
                          <w:rPr>
                            <w:rFonts w:ascii="Cambria Math" w:hAnsi="Cambria Math"/>
                          </w:rPr>
                        </m:ctrlPr>
                      </m:sSubPr>
                      <m:e>
                        <m:r>
                          <w:rPr>
                            <w:rFonts w:ascii="Cambria Math" w:hAnsi="Cambria Math"/>
                          </w:rPr>
                          <m:t>T</m:t>
                        </m:r>
                      </m:e>
                      <m:sub>
                        <m:r>
                          <w:rPr>
                            <w:rFonts w:ascii="Cambria Math" w:hAnsi="Cambria Math"/>
                          </w:rPr>
                          <m:t>m</m:t>
                        </m:r>
                      </m:sub>
                    </m:sSub>
                  </m:e>
                </m:mr>
              </m:m>
            </m:e>
          </m:d>
        </m:oMath>
      </m:oMathPara>
    </w:p>
    <w:p w:rsidR="009B1E09" w:rsidRDefault="00251C54" w:rsidP="009B1E09">
      <w:pPr>
        <w:widowControl w:val="0"/>
        <w:spacing w:after="240"/>
        <w:jc w:val="both"/>
        <w:rPr>
          <w:rFonts w:ascii="Calibri" w:hAnsi="Calibri"/>
        </w:rPr>
      </w:pPr>
      <m:oMathPara>
        <m:oMath>
          <m:sSub>
            <m:sSubPr>
              <m:ctrlPr>
                <w:rPr>
                  <w:rFonts w:ascii="Cambria Math" w:hAnsi="Cambria Math"/>
                </w:rPr>
              </m:ctrlPr>
            </m:sSubPr>
            <m:e>
              <m:r>
                <w:rPr>
                  <w:rFonts w:ascii="Cambria Math" w:hAnsi="Cambria Math"/>
                </w:rPr>
                <m:t>η</m:t>
              </m:r>
            </m:e>
            <m:sub>
              <m:r>
                <w:rPr>
                  <w:rFonts w:ascii="Cambria Math" w:hAnsi="Cambria Math"/>
                </w:rPr>
                <m:t>n</m:t>
              </m:r>
            </m:sub>
          </m:sSub>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2</m:t>
                  </m:r>
                </m:den>
              </m:f>
            </m:e>
          </m:d>
          <m:sSup>
            <m:sSupPr>
              <m:ctrlPr>
                <w:rPr>
                  <w:rFonts w:ascii="Cambria Math" w:hAnsi="Cambria Math"/>
                </w:rPr>
              </m:ctrlPr>
            </m:sSupPr>
            <m:e>
              <m:r>
                <w:rPr>
                  <w:rFonts w:ascii="Cambria Math" w:hAnsi="Cambria Math"/>
                </w:rPr>
                <m:t>e</m:t>
              </m:r>
            </m:e>
            <m:sup>
              <m:d>
                <m:dPr>
                  <m:ctrlPr>
                    <w:rPr>
                      <w:rFonts w:ascii="Cambria Math" w:hAnsi="Cambria Math"/>
                    </w:rPr>
                  </m:ctrlPr>
                </m:dPr>
                <m:e>
                  <m:f>
                    <m:fPr>
                      <m:ctrlPr>
                        <w:rPr>
                          <w:rFonts w:ascii="Cambria Math" w:hAnsi="Cambria Math"/>
                        </w:rPr>
                      </m:ctrlPr>
                    </m:fPr>
                    <m:num>
                      <m:r>
                        <w:rPr>
                          <w:rFonts w:ascii="Cambria Math" w:hAnsi="Cambria Math"/>
                        </w:rPr>
                        <m:t>-2</m:t>
                      </m:r>
                      <m:d>
                        <m:dPr>
                          <m:begChr m:val="|"/>
                          <m:endChr m:val="|"/>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m</m:t>
                              </m:r>
                            </m:sub>
                          </m:sSub>
                        </m:e>
                      </m:d>
                    </m:num>
                    <m:den>
                      <m:sSub>
                        <m:sSubPr>
                          <m:ctrlPr>
                            <w:rPr>
                              <w:rFonts w:ascii="Cambria Math" w:hAnsi="Cambria Math"/>
                            </w:rPr>
                          </m:ctrlPr>
                        </m:sSubPr>
                        <m:e>
                          <m:r>
                            <w:rPr>
                              <w:rFonts w:ascii="Cambria Math" w:hAnsi="Cambria Math"/>
                            </w:rPr>
                            <m:t>τ</m:t>
                          </m:r>
                        </m:e>
                        <m:sub>
                          <m:r>
                            <w:rPr>
                              <w:rFonts w:ascii="Cambria Math" w:hAnsi="Cambria Math"/>
                            </w:rPr>
                            <m:t>n</m:t>
                          </m:r>
                        </m:sub>
                      </m:sSub>
                    </m:den>
                  </m:f>
                </m:e>
              </m:d>
            </m:sup>
          </m:sSup>
        </m:oMath>
      </m:oMathPara>
    </w:p>
    <w:p w:rsidR="009B1E09" w:rsidRDefault="009B1E09" w:rsidP="009B1E09">
      <w:pPr>
        <w:widowControl w:val="0"/>
        <w:spacing w:after="240"/>
        <w:jc w:val="both"/>
        <w:rPr>
          <w:rFonts w:ascii="Calibri" w:hAnsi="Calibri"/>
        </w:rPr>
      </w:pPr>
      <w:r>
        <w:rPr>
          <w:rFonts w:ascii="Calibri" w:hAnsi="Calibri"/>
        </w:rPr>
        <w:t>Where:</w:t>
      </w:r>
    </w:p>
    <w:p w:rsidR="009B1E09" w:rsidRDefault="00251C54" w:rsidP="009B1E09">
      <w:pPr>
        <w:pStyle w:val="ListParagraph"/>
        <w:widowControl w:val="0"/>
        <w:numPr>
          <w:ilvl w:val="0"/>
          <w:numId w:val="2"/>
        </w:numPr>
        <w:tabs>
          <w:tab w:val="left" w:pos="1800"/>
        </w:tabs>
        <w:spacing w:after="240"/>
        <w:jc w:val="both"/>
        <w:rPr>
          <w:rFonts w:ascii="Calibri" w:hAnsi="Calibri"/>
        </w:rPr>
      </w:pPr>
      <m:oMath>
        <m:sSub>
          <m:sSubPr>
            <m:ctrlPr>
              <w:rPr>
                <w:rFonts w:ascii="Cambria Math" w:hAnsi="Cambria Math"/>
              </w:rPr>
            </m:ctrlPr>
          </m:sSubPr>
          <m:e>
            <m:r>
              <w:rPr>
                <w:rFonts w:ascii="Cambria Math" w:hAnsi="Cambria Math"/>
              </w:rPr>
              <m:t>C</m:t>
            </m:r>
          </m:e>
          <m:sub>
            <m:r>
              <w:rPr>
                <w:rFonts w:ascii="Cambria Math" w:hAnsi="Cambria Math"/>
              </w:rPr>
              <m:t>p,1</m:t>
            </m:r>
          </m:sub>
        </m:sSub>
      </m:oMath>
      <w:r w:rsidR="009B1E09">
        <w:rPr>
          <w:rFonts w:ascii="Calibri" w:hAnsi="Calibri"/>
        </w:rPr>
        <w:tab/>
        <w:t>specific heat in solid state (J/g-C)</w:t>
      </w:r>
    </w:p>
    <w:p w:rsidR="009B1E09" w:rsidRDefault="00251C54" w:rsidP="009B1E09">
      <w:pPr>
        <w:pStyle w:val="ListParagraph"/>
        <w:widowControl w:val="0"/>
        <w:numPr>
          <w:ilvl w:val="0"/>
          <w:numId w:val="2"/>
        </w:numPr>
        <w:tabs>
          <w:tab w:val="left" w:pos="1800"/>
        </w:tabs>
        <w:spacing w:after="240"/>
        <w:jc w:val="both"/>
        <w:rPr>
          <w:rFonts w:ascii="Calibri" w:hAnsi="Calibri"/>
        </w:rPr>
      </w:pPr>
      <m:oMath>
        <m:sSub>
          <m:sSubPr>
            <m:ctrlPr>
              <w:rPr>
                <w:rFonts w:ascii="Cambria Math" w:hAnsi="Cambria Math"/>
              </w:rPr>
            </m:ctrlPr>
          </m:sSubPr>
          <m:e>
            <m:r>
              <w:rPr>
                <w:rFonts w:ascii="Cambria Math" w:hAnsi="Cambria Math"/>
              </w:rPr>
              <m:t>C</m:t>
            </m:r>
          </m:e>
          <m:sub>
            <m:r>
              <w:rPr>
                <w:rFonts w:ascii="Cambria Math" w:hAnsi="Cambria Math"/>
              </w:rPr>
              <m:t>p,2</m:t>
            </m:r>
          </m:sub>
        </m:sSub>
      </m:oMath>
      <w:r w:rsidR="009B1E09">
        <w:rPr>
          <w:rFonts w:ascii="Calibri" w:hAnsi="Calibri"/>
        </w:rPr>
        <w:tab/>
        <w:t>specific heat in liquid state (J/g-C)</w:t>
      </w:r>
    </w:p>
    <w:p w:rsidR="009B1E09" w:rsidRDefault="00251C54" w:rsidP="009B1E09">
      <w:pPr>
        <w:pStyle w:val="ListParagraph"/>
        <w:widowControl w:val="0"/>
        <w:numPr>
          <w:ilvl w:val="0"/>
          <w:numId w:val="2"/>
        </w:numPr>
        <w:tabs>
          <w:tab w:val="left" w:pos="1800"/>
        </w:tabs>
        <w:spacing w:after="240"/>
        <w:jc w:val="both"/>
        <w:rPr>
          <w:rFonts w:ascii="Calibri" w:hAnsi="Calibri"/>
        </w:rPr>
      </w:pPr>
      <m:oMath>
        <m:sSub>
          <m:sSubPr>
            <m:ctrlPr>
              <w:rPr>
                <w:rFonts w:ascii="Cambria Math" w:hAnsi="Cambria Math"/>
              </w:rPr>
            </m:ctrlPr>
          </m:sSubPr>
          <m:e>
            <m:r>
              <w:rPr>
                <w:rFonts w:ascii="Cambria Math" w:hAnsi="Cambria Math"/>
              </w:rPr>
              <m:t>T</m:t>
            </m:r>
          </m:e>
          <m:sub>
            <m:r>
              <w:rPr>
                <w:rFonts w:ascii="Cambria Math" w:hAnsi="Cambria Math"/>
              </w:rPr>
              <m:t>m</m:t>
            </m:r>
          </m:sub>
        </m:sSub>
      </m:oMath>
      <w:r w:rsidR="009B1E09">
        <w:rPr>
          <w:rFonts w:ascii="Calibri" w:hAnsi="Calibri"/>
        </w:rPr>
        <w:tab/>
        <w:t>melting temperature (C)</w:t>
      </w:r>
    </w:p>
    <w:p w:rsidR="009B1E09" w:rsidRDefault="00251C54" w:rsidP="009B1E09">
      <w:pPr>
        <w:pStyle w:val="ListParagraph"/>
        <w:widowControl w:val="0"/>
        <w:numPr>
          <w:ilvl w:val="0"/>
          <w:numId w:val="2"/>
        </w:numPr>
        <w:tabs>
          <w:tab w:val="left" w:pos="1800"/>
        </w:tabs>
        <w:spacing w:after="240"/>
        <w:jc w:val="both"/>
        <w:rPr>
          <w:rFonts w:ascii="Calibri" w:hAnsi="Calibri"/>
        </w:rPr>
      </w:pPr>
      <m:oMath>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oMath>
      <w:r w:rsidR="009B1E09">
        <w:rPr>
          <w:rFonts w:ascii="Calibri" w:hAnsi="Calibri"/>
        </w:rPr>
        <w:tab/>
        <w:t>latent heat stored (J/g)</w:t>
      </w:r>
    </w:p>
    <w:p w:rsidR="009B1E09" w:rsidRDefault="00251C54" w:rsidP="009B1E09">
      <w:pPr>
        <w:pStyle w:val="ListParagraph"/>
        <w:widowControl w:val="0"/>
        <w:numPr>
          <w:ilvl w:val="0"/>
          <w:numId w:val="2"/>
        </w:numPr>
        <w:tabs>
          <w:tab w:val="left" w:pos="1800"/>
        </w:tabs>
        <w:spacing w:after="240"/>
        <w:jc w:val="both"/>
        <w:rPr>
          <w:rFonts w:ascii="Calibri" w:hAnsi="Calibri"/>
        </w:rPr>
      </w:pPr>
      <m:oMath>
        <m:sSub>
          <m:sSubPr>
            <m:ctrlPr>
              <w:rPr>
                <w:rFonts w:ascii="Cambria Math" w:hAnsi="Cambria Math"/>
              </w:rPr>
            </m:ctrlPr>
          </m:sSubPr>
          <m:e>
            <m:r>
              <w:rPr>
                <w:rFonts w:ascii="Cambria Math" w:hAnsi="Cambria Math"/>
              </w:rPr>
              <m:t>τ</m:t>
            </m:r>
          </m:e>
          <m:sub>
            <m:r>
              <w:rPr>
                <w:rFonts w:ascii="Cambria Math" w:hAnsi="Cambria Math"/>
              </w:rPr>
              <m:t>n</m:t>
            </m:r>
          </m:sub>
        </m:sSub>
      </m:oMath>
      <w:r w:rsidR="009B1E09">
        <w:rPr>
          <w:rFonts w:ascii="Calibri" w:hAnsi="Calibri"/>
        </w:rPr>
        <w:tab/>
        <w:t>melting range (C)</w:t>
      </w:r>
    </w:p>
    <w:p w:rsidR="009B1E09" w:rsidRDefault="009B1E09" w:rsidP="009B1E09">
      <w:pPr>
        <w:spacing w:before="60" w:after="60"/>
        <w:jc w:val="both"/>
      </w:pPr>
    </w:p>
    <w:p w:rsidR="003511AC" w:rsidRDefault="00D7633F" w:rsidP="007401BB">
      <w:pPr>
        <w:spacing w:after="85" w:line="273" w:lineRule="auto"/>
        <w:ind w:left="1416" w:right="1331"/>
        <w:jc w:val="both"/>
      </w:pPr>
      <w:r>
        <w:rPr>
          <w:rFonts w:ascii="Arial" w:eastAsia="Arial" w:hAnsi="Arial" w:cs="Arial"/>
          <w:b/>
          <w:sz w:val="20"/>
        </w:rPr>
        <w:t>Figure</w:t>
      </w:r>
      <w:r w:rsidR="009B1E09">
        <w:rPr>
          <w:rFonts w:ascii="Arial" w:eastAsia="Arial" w:hAnsi="Arial" w:cs="Arial"/>
          <w:b/>
          <w:sz w:val="20"/>
        </w:rPr>
        <w:t xml:space="preserve"> 2: Equations used in the Hysteresis</w:t>
      </w:r>
      <w:r>
        <w:rPr>
          <w:rFonts w:ascii="Arial" w:eastAsia="Arial" w:hAnsi="Arial" w:cs="Arial"/>
          <w:b/>
          <w:sz w:val="20"/>
        </w:rPr>
        <w:t xml:space="preserve"> PCM model: </w:t>
      </w:r>
      <w:r>
        <w:rPr>
          <w:rFonts w:ascii="Arial" w:eastAsia="Arial" w:hAnsi="Arial" w:cs="Arial"/>
          <w:sz w:val="20"/>
        </w:rPr>
        <w:t xml:space="preserve">Above are the equations for enthalpy as a function of temperature used in the model for both the melting and freezing curves adapted from the work of </w:t>
      </w:r>
      <w:proofErr w:type="spellStart"/>
      <w:r>
        <w:rPr>
          <w:rFonts w:ascii="Arial" w:eastAsia="Arial" w:hAnsi="Arial" w:cs="Arial"/>
          <w:sz w:val="20"/>
        </w:rPr>
        <w:t>Egolf</w:t>
      </w:r>
      <w:proofErr w:type="spellEnd"/>
      <w:r>
        <w:rPr>
          <w:rFonts w:ascii="Arial" w:eastAsia="Arial" w:hAnsi="Arial" w:cs="Arial"/>
          <w:sz w:val="20"/>
        </w:rPr>
        <w:t xml:space="preserve"> and </w:t>
      </w:r>
      <w:proofErr w:type="spellStart"/>
      <w:r>
        <w:rPr>
          <w:rFonts w:ascii="Arial" w:eastAsia="Arial" w:hAnsi="Arial" w:cs="Arial"/>
          <w:sz w:val="20"/>
        </w:rPr>
        <w:t>Manz</w:t>
      </w:r>
      <w:proofErr w:type="spellEnd"/>
      <w:r>
        <w:rPr>
          <w:rFonts w:ascii="Arial" w:eastAsia="Arial" w:hAnsi="Arial" w:cs="Arial"/>
          <w:sz w:val="20"/>
        </w:rPr>
        <w:t xml:space="preserve"> (1994).  Figure 3a shows the transition between melting and freezing is a straight line model (y = mx + c) between the two curves. Hysteresis modeling is accomplished as the current thermo-physical state of PCM is based upon the temperature of the material sampled at a previous time; if the temperature shows an increase the model assumes melting curve, whereas if it decreases, the model assumes freezing curve. The transition process is modeled as a straight line between the two curves. Reference: Bony and </w:t>
      </w:r>
      <w:proofErr w:type="spellStart"/>
      <w:r>
        <w:rPr>
          <w:rFonts w:ascii="Arial" w:eastAsia="Arial" w:hAnsi="Arial" w:cs="Arial"/>
          <w:sz w:val="20"/>
        </w:rPr>
        <w:t>Citherlet</w:t>
      </w:r>
      <w:proofErr w:type="spellEnd"/>
      <w:r>
        <w:rPr>
          <w:rFonts w:ascii="Arial" w:eastAsia="Arial" w:hAnsi="Arial" w:cs="Arial"/>
          <w:sz w:val="20"/>
        </w:rPr>
        <w:t xml:space="preserve"> 2007. </w:t>
      </w:r>
    </w:p>
    <w:p w:rsidR="003511AC" w:rsidRDefault="007401BB">
      <w:pPr>
        <w:spacing w:after="266" w:line="273" w:lineRule="auto"/>
        <w:ind w:left="1440" w:right="734" w:hanging="9"/>
        <w:jc w:val="both"/>
      </w:pPr>
      <w:r>
        <w:rPr>
          <w:noProof/>
        </w:rPr>
        <w:drawing>
          <wp:anchor distT="19050" distB="19050" distL="19050" distR="19050" simplePos="0" relativeHeight="251662336" behindDoc="0" locked="0" layoutInCell="0" hidden="0" allowOverlap="0" wp14:anchorId="6ED757BA" wp14:editId="564D7899">
            <wp:simplePos x="0" y="0"/>
            <wp:positionH relativeFrom="margin">
              <wp:posOffset>796290</wp:posOffset>
            </wp:positionH>
            <wp:positionV relativeFrom="paragraph">
              <wp:posOffset>284480</wp:posOffset>
            </wp:positionV>
            <wp:extent cx="4019550" cy="2640330"/>
            <wp:effectExtent l="0" t="0" r="0" b="7620"/>
            <wp:wrapSquare wrapText="bothSides"/>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6"/>
                    <a:srcRect r="57562" b="9323"/>
                    <a:stretch/>
                  </pic:blipFill>
                  <pic:spPr bwMode="auto">
                    <a:xfrm>
                      <a:off x="0" y="0"/>
                      <a:ext cx="4019550" cy="2640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511AC" w:rsidRDefault="003511AC">
      <w:pPr>
        <w:spacing w:after="266" w:line="273" w:lineRule="auto"/>
        <w:ind w:left="1440" w:right="734" w:hanging="9"/>
        <w:jc w:val="both"/>
      </w:pPr>
    </w:p>
    <w:p w:rsidR="003511AC" w:rsidRDefault="003511AC">
      <w:pPr>
        <w:spacing w:after="266" w:line="273" w:lineRule="auto"/>
        <w:ind w:left="1440" w:right="734" w:hanging="9"/>
        <w:jc w:val="both"/>
      </w:pPr>
    </w:p>
    <w:p w:rsidR="003511AC" w:rsidRDefault="003511AC">
      <w:pPr>
        <w:spacing w:after="266" w:line="273" w:lineRule="auto"/>
        <w:ind w:left="1440" w:right="734" w:hanging="9"/>
        <w:jc w:val="both"/>
      </w:pPr>
    </w:p>
    <w:p w:rsidR="003511AC" w:rsidRDefault="003511AC">
      <w:pPr>
        <w:spacing w:after="266" w:line="273" w:lineRule="auto"/>
        <w:ind w:left="1440" w:right="734" w:hanging="9"/>
        <w:jc w:val="both"/>
      </w:pPr>
    </w:p>
    <w:p w:rsidR="003511AC" w:rsidRDefault="003511AC" w:rsidP="00556E34">
      <w:pPr>
        <w:spacing w:after="85" w:line="273" w:lineRule="auto"/>
        <w:ind w:right="1328"/>
        <w:jc w:val="both"/>
      </w:pPr>
    </w:p>
    <w:p w:rsidR="003511AC" w:rsidRDefault="00D7633F">
      <w:pPr>
        <w:spacing w:after="115"/>
        <w:ind w:left="360" w:right="190"/>
        <w:jc w:val="right"/>
      </w:pPr>
      <w:r>
        <w:rPr>
          <w:rFonts w:ascii="Arial" w:eastAsia="Arial" w:hAnsi="Arial" w:cs="Arial"/>
          <w:sz w:val="20"/>
        </w:rPr>
        <w:t xml:space="preserve">  </w:t>
      </w:r>
    </w:p>
    <w:p w:rsidR="009B1E09" w:rsidRDefault="009B1E09" w:rsidP="00556E34">
      <w:pPr>
        <w:spacing w:before="60" w:after="60"/>
        <w:ind w:left="1440"/>
        <w:jc w:val="both"/>
        <w:rPr>
          <w:rFonts w:ascii="Arial" w:eastAsia="Arial" w:hAnsi="Arial" w:cs="Arial"/>
          <w:sz w:val="20"/>
        </w:rPr>
      </w:pPr>
    </w:p>
    <w:p w:rsidR="009B1E09" w:rsidRDefault="009B1E09" w:rsidP="00556E34">
      <w:pPr>
        <w:spacing w:before="60" w:after="60"/>
        <w:ind w:left="1440"/>
        <w:jc w:val="both"/>
        <w:rPr>
          <w:rFonts w:ascii="Arial" w:eastAsia="Arial" w:hAnsi="Arial" w:cs="Arial"/>
          <w:sz w:val="20"/>
        </w:rPr>
      </w:pPr>
    </w:p>
    <w:p w:rsidR="009B1E09" w:rsidRDefault="009B1E09" w:rsidP="00556E34">
      <w:pPr>
        <w:spacing w:before="60" w:after="60"/>
        <w:ind w:left="1440"/>
        <w:jc w:val="both"/>
        <w:rPr>
          <w:rFonts w:ascii="Arial" w:eastAsia="Arial" w:hAnsi="Arial" w:cs="Arial"/>
          <w:sz w:val="20"/>
        </w:rPr>
      </w:pPr>
    </w:p>
    <w:p w:rsidR="009B1E09" w:rsidRDefault="009B1E09" w:rsidP="00556E34">
      <w:pPr>
        <w:spacing w:before="60" w:after="60"/>
        <w:ind w:left="1440"/>
        <w:jc w:val="both"/>
        <w:rPr>
          <w:rFonts w:ascii="Arial" w:eastAsia="Arial" w:hAnsi="Arial" w:cs="Arial"/>
          <w:sz w:val="20"/>
        </w:rPr>
      </w:pPr>
    </w:p>
    <w:p w:rsidR="009B1E09" w:rsidRDefault="009B1E09" w:rsidP="00556E34">
      <w:pPr>
        <w:spacing w:before="60" w:after="60"/>
        <w:ind w:left="1440"/>
        <w:jc w:val="both"/>
        <w:rPr>
          <w:rFonts w:ascii="Arial" w:eastAsia="Arial" w:hAnsi="Arial" w:cs="Arial"/>
          <w:sz w:val="20"/>
        </w:rPr>
      </w:pPr>
    </w:p>
    <w:p w:rsidR="009B1E09" w:rsidRDefault="009B1E09" w:rsidP="00556E34">
      <w:pPr>
        <w:spacing w:before="60" w:after="60"/>
        <w:ind w:left="1440"/>
        <w:jc w:val="both"/>
        <w:rPr>
          <w:rFonts w:ascii="Arial" w:eastAsia="Arial" w:hAnsi="Arial" w:cs="Arial"/>
          <w:sz w:val="20"/>
        </w:rPr>
      </w:pPr>
    </w:p>
    <w:p w:rsidR="009B1E09" w:rsidRDefault="009B1E09" w:rsidP="00556E34">
      <w:pPr>
        <w:spacing w:before="60" w:after="60"/>
        <w:ind w:left="1440"/>
        <w:jc w:val="both"/>
        <w:rPr>
          <w:rFonts w:ascii="Arial" w:eastAsia="Arial" w:hAnsi="Arial" w:cs="Arial"/>
          <w:sz w:val="20"/>
        </w:rPr>
      </w:pPr>
    </w:p>
    <w:p w:rsidR="009B1E09" w:rsidRDefault="009B1E09" w:rsidP="00556E34">
      <w:pPr>
        <w:spacing w:before="60" w:after="60"/>
        <w:ind w:left="1440"/>
        <w:jc w:val="both"/>
        <w:rPr>
          <w:rFonts w:ascii="Arial" w:eastAsia="Arial" w:hAnsi="Arial" w:cs="Arial"/>
          <w:sz w:val="20"/>
        </w:rPr>
      </w:pPr>
    </w:p>
    <w:p w:rsidR="009B1E09" w:rsidRDefault="009B1E09" w:rsidP="00556E34">
      <w:pPr>
        <w:spacing w:before="60" w:after="60"/>
        <w:ind w:left="1440"/>
        <w:jc w:val="both"/>
        <w:rPr>
          <w:rFonts w:ascii="Arial" w:eastAsia="Arial" w:hAnsi="Arial" w:cs="Arial"/>
          <w:sz w:val="20"/>
        </w:rPr>
      </w:pPr>
    </w:p>
    <w:p w:rsidR="003511AC" w:rsidRDefault="00D7633F" w:rsidP="00556E34">
      <w:pPr>
        <w:spacing w:before="60" w:after="60"/>
        <w:ind w:left="1440"/>
        <w:jc w:val="both"/>
      </w:pPr>
      <w:r>
        <w:rPr>
          <w:rFonts w:ascii="Arial" w:eastAsia="Arial" w:hAnsi="Arial" w:cs="Arial"/>
          <w:sz w:val="20"/>
        </w:rPr>
        <w:t xml:space="preserve">Figure 3 </w:t>
      </w:r>
      <w:r w:rsidR="009B1E09">
        <w:rPr>
          <w:rFonts w:ascii="Arial" w:eastAsia="Arial" w:hAnsi="Arial" w:cs="Arial"/>
          <w:sz w:val="20"/>
        </w:rPr>
        <w:t>Hysteresis method</w:t>
      </w:r>
      <w:r>
        <w:rPr>
          <w:rFonts w:ascii="Arial" w:eastAsia="Arial" w:hAnsi="Arial" w:cs="Arial"/>
          <w:sz w:val="20"/>
        </w:rPr>
        <w:t xml:space="preserve"> </w:t>
      </w:r>
    </w:p>
    <w:p w:rsidR="003511AC" w:rsidRDefault="003511AC">
      <w:pPr>
        <w:spacing w:before="60" w:after="60"/>
        <w:ind w:left="2496"/>
        <w:jc w:val="both"/>
      </w:pPr>
    </w:p>
    <w:p w:rsidR="003511AC" w:rsidRDefault="00D7633F">
      <w:pPr>
        <w:spacing w:after="48"/>
        <w:ind w:left="360" w:right="-14"/>
      </w:pPr>
      <w:r>
        <w:rPr>
          <w:rFonts w:ascii="Arial" w:eastAsia="Arial" w:hAnsi="Arial" w:cs="Arial"/>
          <w:b/>
          <w:sz w:val="20"/>
        </w:rPr>
        <w:t xml:space="preserve">                 Input correlations</w:t>
      </w:r>
    </w:p>
    <w:p w:rsidR="003511AC" w:rsidRDefault="00D7633F">
      <w:pPr>
        <w:spacing w:after="48"/>
        <w:ind w:left="1800" w:right="-14"/>
      </w:pPr>
      <w:r>
        <w:rPr>
          <w:rFonts w:ascii="Arial" w:eastAsia="Arial" w:hAnsi="Arial" w:cs="Arial"/>
          <w:sz w:val="20"/>
        </w:rPr>
        <w:t xml:space="preserve">The following inputs use the corresponding formulas to calculate their values. </w:t>
      </w:r>
    </w:p>
    <w:p w:rsidR="003511AC" w:rsidRDefault="003511AC">
      <w:pPr>
        <w:spacing w:after="41" w:line="242" w:lineRule="auto"/>
        <w:ind w:left="2465" w:right="-14" w:hanging="9"/>
        <w:jc w:val="both"/>
      </w:pPr>
    </w:p>
    <w:p w:rsidR="003511AC" w:rsidRDefault="00D7633F">
      <w:pPr>
        <w:spacing w:after="41" w:line="242" w:lineRule="auto"/>
        <w:ind w:left="2465" w:right="-14" w:hanging="9"/>
        <w:jc w:val="both"/>
      </w:pPr>
      <w:r>
        <w:rPr>
          <w:rFonts w:ascii="Arial" w:eastAsia="Arial" w:hAnsi="Arial" w:cs="Arial"/>
          <w:b/>
          <w:i/>
          <w:sz w:val="20"/>
        </w:rPr>
        <w:lastRenderedPageBreak/>
        <w:t xml:space="preserve"> Temperature Coefficient of Thermal Conductivity</w:t>
      </w:r>
    </w:p>
    <w:p w:rsidR="003511AC" w:rsidRDefault="00D7633F">
      <w:pPr>
        <w:spacing w:after="41" w:line="242" w:lineRule="auto"/>
        <w:ind w:left="2455" w:right="-14"/>
        <w:jc w:val="both"/>
      </w:pPr>
      <w:r>
        <w:rPr>
          <w:rFonts w:ascii="Arial" w:eastAsia="Arial" w:hAnsi="Arial" w:cs="Arial"/>
          <w:sz w:val="20"/>
        </w:rPr>
        <w:t>Units for this parameter are W/m-K</w:t>
      </w:r>
      <w:r>
        <w:rPr>
          <w:rFonts w:ascii="Arial" w:eastAsia="Arial" w:hAnsi="Arial" w:cs="Arial"/>
          <w:sz w:val="20"/>
          <w:vertAlign w:val="superscript"/>
        </w:rPr>
        <w:t>2</w:t>
      </w:r>
      <w:r>
        <w:rPr>
          <w:rFonts w:ascii="Arial" w:eastAsia="Arial" w:hAnsi="Arial" w:cs="Arial"/>
          <w:sz w:val="20"/>
        </w:rPr>
        <w:t xml:space="preserve">. The thermal conductivity is obtained from: </w:t>
      </w:r>
    </w:p>
    <w:p w:rsidR="003511AC" w:rsidRDefault="00D7633F">
      <w:pPr>
        <w:spacing w:after="91"/>
        <w:ind w:left="3924"/>
      </w:pPr>
      <w:r>
        <w:rPr>
          <w:noProof/>
        </w:rPr>
        <w:drawing>
          <wp:inline distT="19050" distB="19050" distL="19050" distR="19050">
            <wp:extent cx="1285875" cy="209550"/>
            <wp:effectExtent l="0" t="0" r="0" b="0"/>
            <wp:docPr id="1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tretch>
                      <a:fillRect/>
                    </a:stretch>
                  </pic:blipFill>
                  <pic:spPr>
                    <a:xfrm>
                      <a:off x="0" y="0"/>
                      <a:ext cx="1285875" cy="209550"/>
                    </a:xfrm>
                    <a:prstGeom prst="rect">
                      <a:avLst/>
                    </a:prstGeom>
                  </pic:spPr>
                </pic:pic>
              </a:graphicData>
            </a:graphic>
          </wp:inline>
        </w:drawing>
      </w:r>
      <w:r>
        <w:rPr>
          <w:rFonts w:ascii="Arial" w:eastAsia="Arial" w:hAnsi="Arial" w:cs="Arial"/>
          <w:sz w:val="20"/>
        </w:rPr>
        <w:t xml:space="preserve">  </w:t>
      </w:r>
    </w:p>
    <w:p w:rsidR="003511AC" w:rsidRDefault="00D7633F">
      <w:pPr>
        <w:spacing w:after="41" w:line="242" w:lineRule="auto"/>
        <w:ind w:left="2465" w:right="-14" w:hanging="9"/>
        <w:jc w:val="both"/>
      </w:pPr>
      <w:r>
        <w:rPr>
          <w:rFonts w:ascii="Arial" w:eastAsia="Arial" w:hAnsi="Arial" w:cs="Arial"/>
          <w:b/>
          <w:i/>
          <w:sz w:val="20"/>
        </w:rPr>
        <w:t>Latent Heat of Fusion</w:t>
      </w:r>
    </w:p>
    <w:p w:rsidR="003511AC" w:rsidRDefault="00D7633F">
      <w:pPr>
        <w:spacing w:after="41" w:line="242" w:lineRule="auto"/>
        <w:ind w:left="2465" w:right="-14" w:hanging="9"/>
        <w:jc w:val="both"/>
      </w:pPr>
      <w:r>
        <w:rPr>
          <w:rFonts w:ascii="Arial" w:eastAsia="Arial" w:hAnsi="Arial" w:cs="Arial"/>
          <w:i/>
          <w:sz w:val="20"/>
        </w:rPr>
        <w:t>(h</w:t>
      </w:r>
      <w:r>
        <w:rPr>
          <w:rFonts w:ascii="Arial" w:eastAsia="Arial" w:hAnsi="Arial" w:cs="Arial"/>
          <w:i/>
          <w:sz w:val="20"/>
          <w:vertAlign w:val="subscript"/>
        </w:rPr>
        <w:t>2</w:t>
      </w:r>
      <w:r>
        <w:rPr>
          <w:rFonts w:ascii="Arial" w:eastAsia="Arial" w:hAnsi="Arial" w:cs="Arial"/>
          <w:i/>
          <w:sz w:val="20"/>
        </w:rPr>
        <w:t xml:space="preserve"> - h</w:t>
      </w:r>
      <w:r>
        <w:rPr>
          <w:rFonts w:ascii="Arial" w:eastAsia="Arial" w:hAnsi="Arial" w:cs="Arial"/>
          <w:i/>
          <w:sz w:val="20"/>
          <w:vertAlign w:val="subscript"/>
        </w:rPr>
        <w:t>1</w:t>
      </w:r>
      <w:r>
        <w:rPr>
          <w:rFonts w:ascii="Arial" w:eastAsia="Arial" w:hAnsi="Arial" w:cs="Arial"/>
          <w:i/>
          <w:sz w:val="20"/>
        </w:rPr>
        <w:t xml:space="preserve">) </w:t>
      </w:r>
      <w:r>
        <w:rPr>
          <w:rFonts w:ascii="Arial" w:eastAsia="Arial" w:hAnsi="Arial" w:cs="Arial"/>
          <w:sz w:val="20"/>
        </w:rPr>
        <w:t xml:space="preserve">  (See Figure 4) </w:t>
      </w:r>
    </w:p>
    <w:p w:rsidR="003511AC" w:rsidRDefault="003511AC">
      <w:pPr>
        <w:ind w:left="1416"/>
      </w:pPr>
    </w:p>
    <w:p w:rsidR="003511AC" w:rsidRDefault="00D7633F">
      <w:pPr>
        <w:spacing w:after="41" w:line="242" w:lineRule="auto"/>
        <w:ind w:left="2465" w:right="-14" w:hanging="9"/>
        <w:jc w:val="both"/>
      </w:pPr>
      <w:r>
        <w:rPr>
          <w:rFonts w:ascii="Arial" w:eastAsia="Arial" w:hAnsi="Arial" w:cs="Arial"/>
          <w:b/>
          <w:i/>
          <w:sz w:val="20"/>
        </w:rPr>
        <w:t>Latent Heat of Solidification</w:t>
      </w:r>
    </w:p>
    <w:p w:rsidR="003511AC" w:rsidRDefault="00D7633F">
      <w:pPr>
        <w:spacing w:after="41" w:line="242" w:lineRule="auto"/>
        <w:ind w:left="2465" w:right="-14" w:hanging="9"/>
        <w:jc w:val="both"/>
      </w:pPr>
      <w:r>
        <w:rPr>
          <w:rFonts w:ascii="Arial" w:eastAsia="Arial" w:hAnsi="Arial" w:cs="Arial"/>
          <w:i/>
          <w:sz w:val="20"/>
        </w:rPr>
        <w:t>(h</w:t>
      </w:r>
      <w:r>
        <w:rPr>
          <w:rFonts w:ascii="Arial" w:eastAsia="Arial" w:hAnsi="Arial" w:cs="Arial"/>
          <w:i/>
          <w:sz w:val="20"/>
          <w:vertAlign w:val="subscript"/>
        </w:rPr>
        <w:t>2</w:t>
      </w:r>
      <w:r>
        <w:rPr>
          <w:rFonts w:ascii="Arial" w:eastAsia="Arial" w:hAnsi="Arial" w:cs="Arial"/>
          <w:i/>
          <w:sz w:val="20"/>
          <w:vertAlign w:val="superscript"/>
        </w:rPr>
        <w:t>’</w:t>
      </w:r>
      <w:r>
        <w:rPr>
          <w:rFonts w:ascii="Arial" w:eastAsia="Arial" w:hAnsi="Arial" w:cs="Arial"/>
          <w:i/>
          <w:sz w:val="20"/>
        </w:rPr>
        <w:t xml:space="preserve"> – h</w:t>
      </w:r>
      <w:r>
        <w:rPr>
          <w:rFonts w:ascii="Arial" w:eastAsia="Arial" w:hAnsi="Arial" w:cs="Arial"/>
          <w:i/>
          <w:sz w:val="20"/>
          <w:vertAlign w:val="subscript"/>
        </w:rPr>
        <w:t>1</w:t>
      </w:r>
      <w:r>
        <w:rPr>
          <w:rFonts w:ascii="Arial" w:eastAsia="Arial" w:hAnsi="Arial" w:cs="Arial"/>
          <w:i/>
          <w:sz w:val="20"/>
          <w:vertAlign w:val="superscript"/>
        </w:rPr>
        <w:t>’</w:t>
      </w:r>
      <w:r w:rsidR="00556E34">
        <w:rPr>
          <w:rFonts w:ascii="Arial" w:eastAsia="Arial" w:hAnsi="Arial" w:cs="Arial"/>
          <w:i/>
          <w:sz w:val="20"/>
        </w:rPr>
        <w:t>)</w:t>
      </w:r>
      <w:r>
        <w:rPr>
          <w:rFonts w:ascii="Arial" w:eastAsia="Arial" w:hAnsi="Arial" w:cs="Arial"/>
          <w:sz w:val="20"/>
        </w:rPr>
        <w:t xml:space="preserve"> (See Figure 4)  </w:t>
      </w:r>
    </w:p>
    <w:p w:rsidR="003511AC" w:rsidRDefault="003511AC">
      <w:pPr>
        <w:spacing w:after="41" w:line="242" w:lineRule="auto"/>
        <w:ind w:left="4330" w:right="-14" w:hanging="9"/>
        <w:jc w:val="both"/>
      </w:pPr>
    </w:p>
    <w:p w:rsidR="003511AC" w:rsidRDefault="00D7633F">
      <w:pPr>
        <w:spacing w:after="41" w:line="242" w:lineRule="auto"/>
        <w:ind w:left="2482" w:right="-14" w:hanging="9"/>
        <w:jc w:val="both"/>
      </w:pPr>
      <w:r>
        <w:rPr>
          <w:rFonts w:ascii="Arial" w:eastAsia="Arial" w:hAnsi="Arial" w:cs="Arial"/>
          <w:b/>
          <w:i/>
          <w:sz w:val="20"/>
        </w:rPr>
        <w:t>Peak Melting Temperature</w:t>
      </w:r>
    </w:p>
    <w:p w:rsidR="003511AC" w:rsidRDefault="00556E34">
      <w:pPr>
        <w:spacing w:after="41" w:line="242" w:lineRule="auto"/>
        <w:ind w:left="2448" w:right="-14"/>
        <w:jc w:val="both"/>
      </w:pPr>
      <w:r>
        <w:rPr>
          <w:rFonts w:ascii="Arial" w:eastAsia="Arial" w:hAnsi="Arial" w:cs="Arial"/>
          <w:b/>
          <w:i/>
          <w:sz w:val="20"/>
        </w:rPr>
        <w:t>(Tm)</w:t>
      </w:r>
      <w:r w:rsidR="00D7633F">
        <w:rPr>
          <w:rFonts w:ascii="Arial" w:eastAsia="Arial" w:hAnsi="Arial" w:cs="Arial"/>
          <w:sz w:val="20"/>
        </w:rPr>
        <w:t xml:space="preserve">  (See Figure 4) </w:t>
      </w:r>
    </w:p>
    <w:p w:rsidR="003511AC" w:rsidRDefault="003511AC">
      <w:pPr>
        <w:spacing w:after="41" w:line="242" w:lineRule="auto"/>
        <w:ind w:left="2448" w:right="-14"/>
        <w:jc w:val="both"/>
      </w:pPr>
    </w:p>
    <w:p w:rsidR="003511AC" w:rsidRDefault="00607F5E">
      <w:pPr>
        <w:spacing w:after="41" w:line="242" w:lineRule="auto"/>
        <w:ind w:left="2482" w:right="-14" w:hanging="9"/>
        <w:jc w:val="both"/>
      </w:pPr>
      <w:r>
        <w:rPr>
          <w:rFonts w:ascii="Arial" w:eastAsia="Arial" w:hAnsi="Arial" w:cs="Arial"/>
          <w:b/>
          <w:i/>
          <w:sz w:val="20"/>
        </w:rPr>
        <w:t>Peak Freezing</w:t>
      </w:r>
      <w:r w:rsidR="00D7633F">
        <w:rPr>
          <w:rFonts w:ascii="Arial" w:eastAsia="Arial" w:hAnsi="Arial" w:cs="Arial"/>
          <w:b/>
          <w:i/>
          <w:sz w:val="20"/>
        </w:rPr>
        <w:t xml:space="preserve"> Temperature</w:t>
      </w:r>
    </w:p>
    <w:p w:rsidR="003511AC" w:rsidRDefault="00D7633F">
      <w:pPr>
        <w:spacing w:after="41" w:line="242" w:lineRule="auto"/>
        <w:ind w:left="2448" w:right="-14"/>
        <w:jc w:val="both"/>
      </w:pPr>
      <w:r>
        <w:rPr>
          <w:rFonts w:ascii="Arial" w:eastAsia="Arial" w:hAnsi="Arial" w:cs="Arial"/>
          <w:b/>
          <w:i/>
          <w:sz w:val="20"/>
        </w:rPr>
        <w:t>(</w:t>
      </w:r>
      <w:proofErr w:type="spellStart"/>
      <w:r>
        <w:rPr>
          <w:rFonts w:ascii="Arial" w:eastAsia="Arial" w:hAnsi="Arial" w:cs="Arial"/>
          <w:b/>
          <w:i/>
          <w:sz w:val="20"/>
        </w:rPr>
        <w:t>Tf</w:t>
      </w:r>
      <w:proofErr w:type="spellEnd"/>
      <w:r>
        <w:rPr>
          <w:rFonts w:ascii="Arial" w:eastAsia="Arial" w:hAnsi="Arial" w:cs="Arial"/>
          <w:b/>
          <w:i/>
          <w:sz w:val="20"/>
        </w:rPr>
        <w:t>)</w:t>
      </w:r>
      <w:r>
        <w:rPr>
          <w:rFonts w:ascii="Arial" w:eastAsia="Arial" w:hAnsi="Arial" w:cs="Arial"/>
          <w:i/>
          <w:sz w:val="20"/>
        </w:rPr>
        <w:t xml:space="preserve"> </w:t>
      </w:r>
      <w:r>
        <w:rPr>
          <w:rFonts w:ascii="Arial" w:eastAsia="Arial" w:hAnsi="Arial" w:cs="Arial"/>
          <w:sz w:val="20"/>
        </w:rPr>
        <w:t xml:space="preserve">  (See Figure 4) </w:t>
      </w:r>
    </w:p>
    <w:p w:rsidR="003511AC" w:rsidRDefault="003511AC">
      <w:pPr>
        <w:spacing w:after="41" w:line="242" w:lineRule="auto"/>
        <w:ind w:right="-14"/>
        <w:jc w:val="both"/>
      </w:pPr>
    </w:p>
    <w:p w:rsidR="003511AC" w:rsidRDefault="00D7633F">
      <w:pPr>
        <w:spacing w:after="41" w:line="242" w:lineRule="auto"/>
        <w:ind w:left="2465" w:right="-14" w:hanging="9"/>
        <w:jc w:val="both"/>
      </w:pPr>
      <w:r>
        <w:rPr>
          <w:rFonts w:ascii="Arial" w:eastAsia="Arial" w:hAnsi="Arial" w:cs="Arial"/>
          <w:b/>
          <w:i/>
          <w:sz w:val="20"/>
        </w:rPr>
        <w:t>Melting Curve Low Temperature Difference (τ</w:t>
      </w:r>
      <w:r>
        <w:rPr>
          <w:rFonts w:ascii="Arial" w:eastAsia="Arial" w:hAnsi="Arial" w:cs="Arial"/>
          <w:b/>
          <w:i/>
          <w:sz w:val="20"/>
          <w:vertAlign w:val="subscript"/>
        </w:rPr>
        <w:t>1</w:t>
      </w:r>
      <w:r>
        <w:rPr>
          <w:rFonts w:ascii="Arial" w:eastAsia="Arial" w:hAnsi="Arial" w:cs="Arial"/>
          <w:b/>
          <w:i/>
          <w:sz w:val="20"/>
        </w:rPr>
        <w:t>)</w:t>
      </w:r>
    </w:p>
    <w:p w:rsidR="003511AC" w:rsidRDefault="00D7633F">
      <w:pPr>
        <w:spacing w:after="41" w:line="242" w:lineRule="auto"/>
        <w:ind w:left="2465" w:right="-14" w:hanging="9"/>
        <w:jc w:val="both"/>
      </w:pPr>
      <w:r>
        <w:rPr>
          <w:noProof/>
        </w:rPr>
        <w:drawing>
          <wp:inline distT="19050" distB="19050" distL="19050" distR="19050">
            <wp:extent cx="802640" cy="133350"/>
            <wp:effectExtent l="0" t="0" r="0" b="0"/>
            <wp:docPr id="1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tretch>
                      <a:fillRect/>
                    </a:stretch>
                  </pic:blipFill>
                  <pic:spPr>
                    <a:xfrm>
                      <a:off x="0" y="0"/>
                      <a:ext cx="802640" cy="133350"/>
                    </a:xfrm>
                    <a:prstGeom prst="rect">
                      <a:avLst/>
                    </a:prstGeom>
                  </pic:spPr>
                </pic:pic>
              </a:graphicData>
            </a:graphic>
          </wp:inline>
        </w:drawing>
      </w:r>
      <w:r>
        <w:rPr>
          <w:rFonts w:ascii="Arial" w:eastAsia="Arial" w:hAnsi="Arial" w:cs="Arial"/>
          <w:sz w:val="20"/>
        </w:rPr>
        <w:t xml:space="preserve"> (See Figure 4)  The total melting range </w:t>
      </w:r>
      <w:r>
        <w:rPr>
          <w:rFonts w:ascii="Arial" w:eastAsia="Arial" w:hAnsi="Arial" w:cs="Arial"/>
          <w:i/>
          <w:sz w:val="20"/>
        </w:rPr>
        <w:t>τ</w:t>
      </w:r>
      <w:r>
        <w:rPr>
          <w:rFonts w:ascii="Arial" w:eastAsia="Arial" w:hAnsi="Arial" w:cs="Arial"/>
          <w:sz w:val="20"/>
        </w:rPr>
        <w:t xml:space="preserve"> of the material is the sum of </w:t>
      </w:r>
      <w:r>
        <w:rPr>
          <w:rFonts w:ascii="Arial" w:eastAsia="Arial" w:hAnsi="Arial" w:cs="Arial"/>
          <w:i/>
          <w:sz w:val="20"/>
        </w:rPr>
        <w:t>τ</w:t>
      </w:r>
      <w:r>
        <w:rPr>
          <w:rFonts w:ascii="Arial" w:eastAsia="Arial" w:hAnsi="Arial" w:cs="Arial"/>
          <w:i/>
          <w:sz w:val="20"/>
          <w:vertAlign w:val="subscript"/>
        </w:rPr>
        <w:t xml:space="preserve">1 </w:t>
      </w:r>
      <w:r>
        <w:rPr>
          <w:rFonts w:ascii="Arial" w:eastAsia="Arial" w:hAnsi="Arial" w:cs="Arial"/>
          <w:sz w:val="20"/>
        </w:rPr>
        <w:t xml:space="preserve">and </w:t>
      </w:r>
      <w:r>
        <w:rPr>
          <w:rFonts w:ascii="Arial" w:eastAsia="Arial" w:hAnsi="Arial" w:cs="Arial"/>
          <w:i/>
          <w:sz w:val="20"/>
        </w:rPr>
        <w:t>τ</w:t>
      </w:r>
      <w:r>
        <w:rPr>
          <w:rFonts w:ascii="Arial" w:eastAsia="Arial" w:hAnsi="Arial" w:cs="Arial"/>
          <w:i/>
          <w:sz w:val="20"/>
          <w:vertAlign w:val="subscript"/>
        </w:rPr>
        <w:t>2</w:t>
      </w:r>
      <w:r>
        <w:rPr>
          <w:rFonts w:ascii="Arial" w:eastAsia="Arial" w:hAnsi="Arial" w:cs="Arial"/>
          <w:sz w:val="20"/>
        </w:rPr>
        <w:t xml:space="preserve">  </w:t>
      </w:r>
    </w:p>
    <w:p w:rsidR="003511AC" w:rsidRDefault="003511AC">
      <w:pPr>
        <w:spacing w:after="41" w:line="242" w:lineRule="auto"/>
        <w:ind w:right="-14"/>
        <w:jc w:val="both"/>
      </w:pPr>
    </w:p>
    <w:p w:rsidR="003511AC" w:rsidRDefault="00D7633F">
      <w:pPr>
        <w:spacing w:after="41" w:line="242" w:lineRule="auto"/>
        <w:ind w:left="1416" w:right="-14"/>
        <w:jc w:val="both"/>
      </w:pPr>
      <w:r>
        <w:rPr>
          <w:rFonts w:ascii="Arial" w:eastAsia="Arial" w:hAnsi="Arial" w:cs="Arial"/>
          <w:b/>
          <w:i/>
          <w:sz w:val="20"/>
        </w:rPr>
        <w:t xml:space="preserve">                   Melting Curve High Temperature Difference (</w:t>
      </w:r>
      <w:r>
        <w:rPr>
          <w:noProof/>
        </w:rPr>
        <w:drawing>
          <wp:inline distT="19050" distB="19050" distL="19050" distR="19050">
            <wp:extent cx="152400" cy="1905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152400" cy="190500"/>
                    </a:xfrm>
                    <a:prstGeom prst="rect">
                      <a:avLst/>
                    </a:prstGeom>
                  </pic:spPr>
                </pic:pic>
              </a:graphicData>
            </a:graphic>
          </wp:inline>
        </w:drawing>
      </w:r>
      <w:r>
        <w:rPr>
          <w:rFonts w:ascii="Arial" w:eastAsia="Arial" w:hAnsi="Arial" w:cs="Arial"/>
          <w:b/>
          <w:i/>
          <w:sz w:val="20"/>
        </w:rPr>
        <w:t>)</w:t>
      </w:r>
    </w:p>
    <w:p w:rsidR="003511AC" w:rsidRDefault="00D7633F">
      <w:pPr>
        <w:spacing w:after="41" w:line="242" w:lineRule="auto"/>
        <w:ind w:left="2465" w:right="-14" w:hanging="9"/>
        <w:jc w:val="both"/>
      </w:pPr>
      <w:r>
        <w:rPr>
          <w:noProof/>
        </w:rPr>
        <w:drawing>
          <wp:inline distT="19050" distB="19050" distL="19050" distR="19050">
            <wp:extent cx="781050"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781050" cy="190500"/>
                    </a:xfrm>
                    <a:prstGeom prst="rect">
                      <a:avLst/>
                    </a:prstGeom>
                  </pic:spPr>
                </pic:pic>
              </a:graphicData>
            </a:graphic>
          </wp:inline>
        </w:drawing>
      </w:r>
      <w:r>
        <w:rPr>
          <w:rFonts w:ascii="Arial" w:eastAsia="Arial" w:hAnsi="Arial" w:cs="Arial"/>
          <w:i/>
          <w:sz w:val="20"/>
        </w:rPr>
        <w:t xml:space="preserve">  (</w:t>
      </w:r>
      <w:r>
        <w:rPr>
          <w:rFonts w:ascii="Arial" w:eastAsia="Arial" w:hAnsi="Arial" w:cs="Arial"/>
          <w:sz w:val="20"/>
        </w:rPr>
        <w:t>See Figure 4)</w:t>
      </w:r>
      <w:r>
        <w:rPr>
          <w:rFonts w:ascii="Arial" w:eastAsia="Arial" w:hAnsi="Arial" w:cs="Arial"/>
          <w:i/>
          <w:sz w:val="20"/>
        </w:rPr>
        <w:t xml:space="preserve"> </w:t>
      </w:r>
      <w:r>
        <w:rPr>
          <w:rFonts w:ascii="Arial" w:eastAsia="Arial" w:hAnsi="Arial" w:cs="Arial"/>
          <w:sz w:val="20"/>
        </w:rPr>
        <w:t xml:space="preserve">The total melting range </w:t>
      </w:r>
      <w:r>
        <w:rPr>
          <w:rFonts w:ascii="Arial" w:eastAsia="Arial" w:hAnsi="Arial" w:cs="Arial"/>
          <w:i/>
          <w:sz w:val="20"/>
        </w:rPr>
        <w:t>τ</w:t>
      </w:r>
      <w:r>
        <w:rPr>
          <w:rFonts w:ascii="Arial" w:eastAsia="Arial" w:hAnsi="Arial" w:cs="Arial"/>
          <w:sz w:val="20"/>
        </w:rPr>
        <w:t xml:space="preserve"> of the material is the sum of </w:t>
      </w:r>
      <w:r>
        <w:rPr>
          <w:rFonts w:ascii="Arial" w:eastAsia="Arial" w:hAnsi="Arial" w:cs="Arial"/>
          <w:i/>
          <w:sz w:val="20"/>
        </w:rPr>
        <w:t>τ</w:t>
      </w:r>
      <w:r>
        <w:rPr>
          <w:rFonts w:ascii="Arial" w:eastAsia="Arial" w:hAnsi="Arial" w:cs="Arial"/>
          <w:i/>
          <w:sz w:val="20"/>
          <w:vertAlign w:val="subscript"/>
        </w:rPr>
        <w:t xml:space="preserve">1 </w:t>
      </w:r>
      <w:r>
        <w:rPr>
          <w:rFonts w:ascii="Arial" w:eastAsia="Arial" w:hAnsi="Arial" w:cs="Arial"/>
          <w:sz w:val="20"/>
        </w:rPr>
        <w:t xml:space="preserve">and </w:t>
      </w:r>
      <w:r>
        <w:rPr>
          <w:rFonts w:ascii="Arial" w:eastAsia="Arial" w:hAnsi="Arial" w:cs="Arial"/>
          <w:i/>
          <w:sz w:val="20"/>
        </w:rPr>
        <w:t>τ</w:t>
      </w:r>
      <w:r>
        <w:rPr>
          <w:rFonts w:ascii="Arial" w:eastAsia="Arial" w:hAnsi="Arial" w:cs="Arial"/>
          <w:i/>
          <w:sz w:val="20"/>
          <w:vertAlign w:val="subscript"/>
        </w:rPr>
        <w:t>2</w:t>
      </w:r>
      <w:r>
        <w:rPr>
          <w:rFonts w:ascii="Arial" w:eastAsia="Arial" w:hAnsi="Arial" w:cs="Arial"/>
          <w:sz w:val="20"/>
        </w:rPr>
        <w:t xml:space="preserve">  </w:t>
      </w:r>
    </w:p>
    <w:p w:rsidR="003511AC" w:rsidRDefault="003511AC">
      <w:pPr>
        <w:spacing w:after="41" w:line="242" w:lineRule="auto"/>
        <w:ind w:left="1416" w:right="-14"/>
        <w:jc w:val="both"/>
      </w:pPr>
    </w:p>
    <w:p w:rsidR="003511AC" w:rsidRDefault="00D7633F">
      <w:pPr>
        <w:spacing w:after="41" w:line="242" w:lineRule="auto"/>
        <w:ind w:left="2465" w:right="-14" w:hanging="9"/>
        <w:jc w:val="both"/>
      </w:pPr>
      <w:r>
        <w:rPr>
          <w:rFonts w:ascii="Arial" w:eastAsia="Arial" w:hAnsi="Arial" w:cs="Arial"/>
          <w:b/>
          <w:i/>
          <w:sz w:val="20"/>
        </w:rPr>
        <w:t>Freezing Curve Low Temperature Difference (</w:t>
      </w:r>
      <w:r>
        <w:rPr>
          <w:noProof/>
        </w:rPr>
        <w:drawing>
          <wp:inline distT="19050" distB="19050" distL="19050" distR="19050">
            <wp:extent cx="180975" cy="19050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180975" cy="190500"/>
                    </a:xfrm>
                    <a:prstGeom prst="rect">
                      <a:avLst/>
                    </a:prstGeom>
                  </pic:spPr>
                </pic:pic>
              </a:graphicData>
            </a:graphic>
          </wp:inline>
        </w:drawing>
      </w:r>
    </w:p>
    <w:p w:rsidR="003511AC" w:rsidRDefault="00D7633F">
      <w:pPr>
        <w:spacing w:after="41" w:line="242" w:lineRule="auto"/>
        <w:ind w:left="2465" w:right="-14" w:hanging="9"/>
        <w:jc w:val="both"/>
      </w:pPr>
      <w:r>
        <w:rPr>
          <w:noProof/>
        </w:rPr>
        <w:drawing>
          <wp:inline distT="19050" distB="19050" distL="19050" distR="19050">
            <wp:extent cx="970280" cy="1619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tretch>
                      <a:fillRect/>
                    </a:stretch>
                  </pic:blipFill>
                  <pic:spPr>
                    <a:xfrm>
                      <a:off x="0" y="0"/>
                      <a:ext cx="970280" cy="161925"/>
                    </a:xfrm>
                    <a:prstGeom prst="rect">
                      <a:avLst/>
                    </a:prstGeom>
                  </pic:spPr>
                </pic:pic>
              </a:graphicData>
            </a:graphic>
          </wp:inline>
        </w:drawing>
      </w:r>
      <w:r>
        <w:rPr>
          <w:rFonts w:ascii="Arial" w:eastAsia="Arial" w:hAnsi="Arial" w:cs="Arial"/>
          <w:i/>
          <w:sz w:val="20"/>
        </w:rPr>
        <w:t xml:space="preserve"> </w:t>
      </w:r>
      <w:r>
        <w:rPr>
          <w:rFonts w:ascii="Arial" w:eastAsia="Arial" w:hAnsi="Arial" w:cs="Arial"/>
          <w:sz w:val="20"/>
        </w:rPr>
        <w:t xml:space="preserve"> </w:t>
      </w:r>
      <w:r>
        <w:rPr>
          <w:rFonts w:ascii="Arial" w:eastAsia="Arial" w:hAnsi="Arial" w:cs="Arial"/>
          <w:i/>
          <w:sz w:val="20"/>
        </w:rPr>
        <w:t>(</w:t>
      </w:r>
      <w:r>
        <w:rPr>
          <w:rFonts w:ascii="Arial" w:eastAsia="Arial" w:hAnsi="Arial" w:cs="Arial"/>
          <w:sz w:val="20"/>
        </w:rPr>
        <w:t xml:space="preserve">See Figure 4)The total freezing range </w:t>
      </w:r>
      <w:r>
        <w:rPr>
          <w:rFonts w:ascii="Arial" w:eastAsia="Arial" w:hAnsi="Arial" w:cs="Arial"/>
          <w:i/>
          <w:sz w:val="20"/>
        </w:rPr>
        <w:t>τ</w:t>
      </w:r>
      <w:r>
        <w:rPr>
          <w:rFonts w:ascii="Arial" w:eastAsia="Arial" w:hAnsi="Arial" w:cs="Arial"/>
          <w:i/>
          <w:sz w:val="20"/>
          <w:vertAlign w:val="superscript"/>
        </w:rPr>
        <w:t>’</w:t>
      </w:r>
      <w:r>
        <w:rPr>
          <w:rFonts w:ascii="Arial" w:eastAsia="Arial" w:hAnsi="Arial" w:cs="Arial"/>
          <w:sz w:val="20"/>
        </w:rPr>
        <w:t xml:space="preserve"> of the material is the sum of </w:t>
      </w:r>
      <w:r>
        <w:rPr>
          <w:rFonts w:ascii="Arial" w:eastAsia="Arial" w:hAnsi="Arial" w:cs="Arial"/>
          <w:i/>
          <w:sz w:val="20"/>
        </w:rPr>
        <w:t>τ</w:t>
      </w:r>
      <w:r>
        <w:rPr>
          <w:rFonts w:ascii="Arial" w:eastAsia="Arial" w:hAnsi="Arial" w:cs="Arial"/>
          <w:i/>
          <w:sz w:val="20"/>
          <w:vertAlign w:val="subscript"/>
        </w:rPr>
        <w:t>1</w:t>
      </w:r>
      <w:r>
        <w:rPr>
          <w:rFonts w:ascii="Arial" w:eastAsia="Arial" w:hAnsi="Arial" w:cs="Arial"/>
          <w:i/>
          <w:sz w:val="20"/>
          <w:vertAlign w:val="superscript"/>
        </w:rPr>
        <w:t>’</w:t>
      </w:r>
      <w:r>
        <w:rPr>
          <w:rFonts w:ascii="Arial" w:eastAsia="Arial" w:hAnsi="Arial" w:cs="Arial"/>
          <w:i/>
          <w:sz w:val="20"/>
          <w:vertAlign w:val="subscript"/>
        </w:rPr>
        <w:t xml:space="preserve"> </w:t>
      </w:r>
      <w:r>
        <w:rPr>
          <w:rFonts w:ascii="Arial" w:eastAsia="Arial" w:hAnsi="Arial" w:cs="Arial"/>
          <w:sz w:val="20"/>
        </w:rPr>
        <w:t xml:space="preserve">and </w:t>
      </w:r>
      <w:r>
        <w:rPr>
          <w:rFonts w:ascii="Arial" w:eastAsia="Arial" w:hAnsi="Arial" w:cs="Arial"/>
          <w:i/>
          <w:sz w:val="20"/>
        </w:rPr>
        <w:t>τ</w:t>
      </w:r>
      <w:r>
        <w:rPr>
          <w:rFonts w:ascii="Arial" w:eastAsia="Arial" w:hAnsi="Arial" w:cs="Arial"/>
          <w:i/>
          <w:sz w:val="20"/>
          <w:vertAlign w:val="subscript"/>
        </w:rPr>
        <w:t>2</w:t>
      </w:r>
      <w:r>
        <w:rPr>
          <w:rFonts w:ascii="Arial" w:eastAsia="Arial" w:hAnsi="Arial" w:cs="Arial"/>
          <w:i/>
          <w:sz w:val="20"/>
          <w:vertAlign w:val="superscript"/>
        </w:rPr>
        <w:t>’</w:t>
      </w:r>
      <w:r>
        <w:rPr>
          <w:rFonts w:ascii="Arial" w:eastAsia="Arial" w:hAnsi="Arial" w:cs="Arial"/>
          <w:sz w:val="20"/>
        </w:rPr>
        <w:t xml:space="preserve">  </w:t>
      </w:r>
    </w:p>
    <w:p w:rsidR="003511AC" w:rsidRDefault="003511AC">
      <w:pPr>
        <w:spacing w:after="41" w:line="242" w:lineRule="auto"/>
        <w:ind w:left="2465" w:right="-14" w:hanging="9"/>
        <w:jc w:val="both"/>
      </w:pPr>
    </w:p>
    <w:p w:rsidR="003511AC" w:rsidRDefault="00D7633F">
      <w:pPr>
        <w:spacing w:after="257" w:line="242" w:lineRule="auto"/>
        <w:ind w:left="2465" w:right="-14" w:hanging="9"/>
        <w:jc w:val="both"/>
      </w:pPr>
      <w:r>
        <w:rPr>
          <w:rFonts w:ascii="Arial" w:eastAsia="Arial" w:hAnsi="Arial" w:cs="Arial"/>
          <w:b/>
          <w:i/>
          <w:sz w:val="20"/>
        </w:rPr>
        <w:t>Freezing Curve High Temperature Difference (</w:t>
      </w:r>
      <w:r>
        <w:rPr>
          <w:noProof/>
        </w:rPr>
        <w:drawing>
          <wp:inline distT="19050" distB="19050" distL="19050" distR="19050">
            <wp:extent cx="190500" cy="19050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tretch>
                      <a:fillRect/>
                    </a:stretch>
                  </pic:blipFill>
                  <pic:spPr>
                    <a:xfrm>
                      <a:off x="0" y="0"/>
                      <a:ext cx="190500" cy="190500"/>
                    </a:xfrm>
                    <a:prstGeom prst="rect">
                      <a:avLst/>
                    </a:prstGeom>
                  </pic:spPr>
                </pic:pic>
              </a:graphicData>
            </a:graphic>
          </wp:inline>
        </w:drawing>
      </w:r>
    </w:p>
    <w:p w:rsidR="003511AC" w:rsidRDefault="00D7633F">
      <w:pPr>
        <w:spacing w:after="257" w:line="242" w:lineRule="auto"/>
        <w:ind w:left="2455" w:right="-14"/>
        <w:jc w:val="both"/>
      </w:pPr>
      <w:r>
        <w:rPr>
          <w:rFonts w:ascii="Arial" w:eastAsia="Arial" w:hAnsi="Arial" w:cs="Arial"/>
          <w:sz w:val="20"/>
        </w:rPr>
        <w:t xml:space="preserve">  </w:t>
      </w:r>
      <w:r>
        <w:rPr>
          <w:noProof/>
        </w:rPr>
        <w:drawing>
          <wp:inline distT="19050" distB="19050" distL="19050" distR="19050">
            <wp:extent cx="771525" cy="20955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tretch>
                      <a:fillRect/>
                    </a:stretch>
                  </pic:blipFill>
                  <pic:spPr>
                    <a:xfrm>
                      <a:off x="0" y="0"/>
                      <a:ext cx="771525" cy="209550"/>
                    </a:xfrm>
                    <a:prstGeom prst="rect">
                      <a:avLst/>
                    </a:prstGeom>
                  </pic:spPr>
                </pic:pic>
              </a:graphicData>
            </a:graphic>
          </wp:inline>
        </w:drawing>
      </w:r>
      <w:r>
        <w:rPr>
          <w:rFonts w:ascii="Arial" w:eastAsia="Arial" w:hAnsi="Arial" w:cs="Arial"/>
          <w:sz w:val="20"/>
        </w:rPr>
        <w:t xml:space="preserve">  (See Figure 4) The total freezing range </w:t>
      </w:r>
      <w:r>
        <w:rPr>
          <w:rFonts w:ascii="Arial" w:eastAsia="Arial" w:hAnsi="Arial" w:cs="Arial"/>
          <w:i/>
          <w:sz w:val="20"/>
        </w:rPr>
        <w:t>τ</w:t>
      </w:r>
      <w:r>
        <w:rPr>
          <w:rFonts w:ascii="Arial" w:eastAsia="Arial" w:hAnsi="Arial" w:cs="Arial"/>
          <w:i/>
          <w:sz w:val="20"/>
          <w:vertAlign w:val="superscript"/>
        </w:rPr>
        <w:t>’</w:t>
      </w:r>
      <w:r>
        <w:rPr>
          <w:rFonts w:ascii="Arial" w:eastAsia="Arial" w:hAnsi="Arial" w:cs="Arial"/>
          <w:sz w:val="20"/>
        </w:rPr>
        <w:t xml:space="preserve"> of the material is the sum of </w:t>
      </w:r>
      <w:r>
        <w:rPr>
          <w:rFonts w:ascii="Arial" w:eastAsia="Arial" w:hAnsi="Arial" w:cs="Arial"/>
          <w:i/>
          <w:sz w:val="20"/>
        </w:rPr>
        <w:t>τ</w:t>
      </w:r>
      <w:r>
        <w:rPr>
          <w:rFonts w:ascii="Arial" w:eastAsia="Arial" w:hAnsi="Arial" w:cs="Arial"/>
          <w:i/>
          <w:sz w:val="20"/>
          <w:vertAlign w:val="subscript"/>
        </w:rPr>
        <w:t>1</w:t>
      </w:r>
      <w:r>
        <w:rPr>
          <w:rFonts w:ascii="Arial" w:eastAsia="Arial" w:hAnsi="Arial" w:cs="Arial"/>
          <w:i/>
          <w:sz w:val="20"/>
          <w:vertAlign w:val="superscript"/>
        </w:rPr>
        <w:t>’</w:t>
      </w:r>
      <w:r>
        <w:rPr>
          <w:rFonts w:ascii="Arial" w:eastAsia="Arial" w:hAnsi="Arial" w:cs="Arial"/>
          <w:i/>
          <w:sz w:val="20"/>
          <w:vertAlign w:val="subscript"/>
        </w:rPr>
        <w:t xml:space="preserve"> </w:t>
      </w:r>
      <w:r>
        <w:rPr>
          <w:rFonts w:ascii="Arial" w:eastAsia="Arial" w:hAnsi="Arial" w:cs="Arial"/>
          <w:sz w:val="20"/>
        </w:rPr>
        <w:t xml:space="preserve">and </w:t>
      </w:r>
      <w:r>
        <w:rPr>
          <w:rFonts w:ascii="Arial" w:eastAsia="Arial" w:hAnsi="Arial" w:cs="Arial"/>
          <w:i/>
          <w:sz w:val="20"/>
        </w:rPr>
        <w:t>τ</w:t>
      </w:r>
      <w:r>
        <w:rPr>
          <w:rFonts w:ascii="Arial" w:eastAsia="Arial" w:hAnsi="Arial" w:cs="Arial"/>
          <w:i/>
          <w:sz w:val="20"/>
          <w:vertAlign w:val="subscript"/>
        </w:rPr>
        <w:t>2</w:t>
      </w:r>
      <w:r>
        <w:rPr>
          <w:rFonts w:ascii="Arial" w:eastAsia="Arial" w:hAnsi="Arial" w:cs="Arial"/>
          <w:i/>
          <w:sz w:val="20"/>
          <w:vertAlign w:val="superscript"/>
        </w:rPr>
        <w:t>’</w:t>
      </w:r>
      <w:r>
        <w:rPr>
          <w:rFonts w:ascii="Arial" w:eastAsia="Arial" w:hAnsi="Arial" w:cs="Arial"/>
          <w:sz w:val="20"/>
        </w:rPr>
        <w:t xml:space="preserve">  </w:t>
      </w:r>
    </w:p>
    <w:p w:rsidR="003511AC" w:rsidRDefault="00D7633F">
      <w:pPr>
        <w:spacing w:after="48"/>
        <w:ind w:left="360" w:right="-14"/>
      </w:pPr>
      <w:r>
        <w:rPr>
          <w:noProof/>
        </w:rPr>
        <w:lastRenderedPageBreak/>
        <w:drawing>
          <wp:anchor distT="19050" distB="19050" distL="19050" distR="19050" simplePos="0" relativeHeight="251660288" behindDoc="0" locked="0" layoutInCell="0" hidden="0" allowOverlap="0">
            <wp:simplePos x="0" y="0"/>
            <wp:positionH relativeFrom="margin">
              <wp:posOffset>52070</wp:posOffset>
            </wp:positionH>
            <wp:positionV relativeFrom="paragraph">
              <wp:posOffset>22860</wp:posOffset>
            </wp:positionV>
            <wp:extent cx="5410200" cy="3304540"/>
            <wp:effectExtent l="0" t="0" r="0" b="0"/>
            <wp:wrapSquare wrapText="bothSides" distT="19050" distB="19050" distL="19050" distR="19050"/>
            <wp:docPr id="7"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5"/>
                    <a:stretch>
                      <a:fillRect/>
                    </a:stretch>
                  </pic:blipFill>
                  <pic:spPr>
                    <a:xfrm>
                      <a:off x="0" y="0"/>
                      <a:ext cx="5410200" cy="3304540"/>
                    </a:xfrm>
                    <a:prstGeom prst="rect">
                      <a:avLst/>
                    </a:prstGeom>
                  </pic:spPr>
                </pic:pic>
              </a:graphicData>
            </a:graphic>
          </wp:anchor>
        </w:drawing>
      </w:r>
    </w:p>
    <w:p w:rsidR="003511AC" w:rsidRDefault="00D7633F">
      <w:pPr>
        <w:spacing w:after="48" w:line="242" w:lineRule="auto"/>
        <w:ind w:left="360" w:right="-14"/>
        <w:jc w:val="both"/>
      </w:pPr>
      <w:r>
        <w:rPr>
          <w:rFonts w:ascii="Arial" w:eastAsia="Arial" w:hAnsi="Arial" w:cs="Arial"/>
          <w:b/>
          <w:i/>
          <w:sz w:val="20"/>
        </w:rPr>
        <w:t>Figure 4: Enthalpy vs. Temperature graph showing Energy</w:t>
      </w:r>
      <w:r w:rsidR="00391D78">
        <w:rPr>
          <w:rFonts w:ascii="Arial" w:eastAsia="Arial" w:hAnsi="Arial" w:cs="Arial"/>
          <w:b/>
          <w:i/>
          <w:sz w:val="20"/>
        </w:rPr>
        <w:t xml:space="preserve"> </w:t>
      </w:r>
      <w:r>
        <w:rPr>
          <w:rFonts w:ascii="Arial" w:eastAsia="Arial" w:hAnsi="Arial" w:cs="Arial"/>
          <w:b/>
          <w:i/>
          <w:sz w:val="20"/>
        </w:rPr>
        <w:t>Plus input parameters</w:t>
      </w:r>
    </w:p>
    <w:p w:rsidR="003511AC" w:rsidRDefault="003511AC">
      <w:pPr>
        <w:spacing w:after="48" w:line="242" w:lineRule="auto"/>
        <w:ind w:left="360" w:right="-14"/>
        <w:jc w:val="both"/>
      </w:pPr>
    </w:p>
    <w:p w:rsidR="003511AC" w:rsidRDefault="003511AC">
      <w:pPr>
        <w:spacing w:before="60" w:after="60"/>
        <w:ind w:left="2136"/>
        <w:jc w:val="both"/>
      </w:pPr>
    </w:p>
    <w:sectPr w:rsidR="003511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32B8B"/>
    <w:multiLevelType w:val="multilevel"/>
    <w:tmpl w:val="3EA46D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A874403"/>
    <w:multiLevelType w:val="multilevel"/>
    <w:tmpl w:val="C878592C"/>
    <w:lvl w:ilvl="0">
      <w:start w:val="1"/>
      <w:numFmt w:val="decimal"/>
      <w:lvlText w:val=""/>
      <w:lvlJc w:val="left"/>
      <w:pPr>
        <w:ind w:left="432" w:firstLine="0"/>
      </w:pPr>
      <w:rPr>
        <w:rFonts w:ascii="Arial" w:eastAsia="Arial" w:hAnsi="Arial" w:cs="Arial"/>
        <w:vertAlign w:val="baseline"/>
      </w:rPr>
    </w:lvl>
    <w:lvl w:ilvl="1">
      <w:start w:val="1"/>
      <w:numFmt w:val="decimal"/>
      <w:lvlText w:val=""/>
      <w:lvlJc w:val="left"/>
      <w:pPr>
        <w:ind w:left="576" w:firstLine="0"/>
      </w:pPr>
      <w:rPr>
        <w:rFonts w:ascii="Arial" w:eastAsia="Arial" w:hAnsi="Arial" w:cs="Arial"/>
        <w:vertAlign w:val="baseline"/>
      </w:rPr>
    </w:lvl>
    <w:lvl w:ilvl="2">
      <w:start w:val="1"/>
      <w:numFmt w:val="decimal"/>
      <w:lvlText w:val=""/>
      <w:lvlJc w:val="left"/>
      <w:pPr>
        <w:ind w:left="720" w:firstLine="0"/>
      </w:pPr>
      <w:rPr>
        <w:rFonts w:ascii="Arial" w:eastAsia="Arial" w:hAnsi="Arial" w:cs="Arial"/>
        <w:vertAlign w:val="baseline"/>
      </w:rPr>
    </w:lvl>
    <w:lvl w:ilvl="3">
      <w:start w:val="1"/>
      <w:numFmt w:val="decimal"/>
      <w:lvlText w:val=""/>
      <w:lvlJc w:val="left"/>
      <w:pPr>
        <w:ind w:left="864" w:firstLine="0"/>
      </w:pPr>
      <w:rPr>
        <w:rFonts w:ascii="Arial" w:eastAsia="Arial" w:hAnsi="Arial" w:cs="Arial"/>
        <w:vertAlign w:val="baseline"/>
      </w:rPr>
    </w:lvl>
    <w:lvl w:ilvl="4">
      <w:start w:val="1"/>
      <w:numFmt w:val="decimal"/>
      <w:lvlText w:val=""/>
      <w:lvlJc w:val="left"/>
      <w:pPr>
        <w:ind w:left="1008" w:firstLine="0"/>
      </w:pPr>
      <w:rPr>
        <w:rFonts w:ascii="Arial" w:eastAsia="Arial" w:hAnsi="Arial" w:cs="Arial"/>
        <w:vertAlign w:val="baseline"/>
      </w:rPr>
    </w:lvl>
    <w:lvl w:ilvl="5">
      <w:start w:val="1"/>
      <w:numFmt w:val="decimal"/>
      <w:lvlText w:val=""/>
      <w:lvlJc w:val="left"/>
      <w:pPr>
        <w:ind w:left="1152" w:firstLine="0"/>
      </w:pPr>
      <w:rPr>
        <w:rFonts w:ascii="Arial" w:eastAsia="Arial" w:hAnsi="Arial" w:cs="Arial"/>
        <w:vertAlign w:val="baseline"/>
      </w:rPr>
    </w:lvl>
    <w:lvl w:ilvl="6">
      <w:start w:val="1"/>
      <w:numFmt w:val="decimal"/>
      <w:lvlText w:val=""/>
      <w:lvlJc w:val="left"/>
      <w:pPr>
        <w:ind w:left="1296" w:firstLine="0"/>
      </w:pPr>
      <w:rPr>
        <w:rFonts w:ascii="Arial" w:eastAsia="Arial" w:hAnsi="Arial" w:cs="Arial"/>
        <w:vertAlign w:val="baseline"/>
      </w:rPr>
    </w:lvl>
    <w:lvl w:ilvl="7">
      <w:start w:val="1"/>
      <w:numFmt w:val="decimal"/>
      <w:lvlText w:val=""/>
      <w:lvlJc w:val="left"/>
      <w:pPr>
        <w:ind w:left="1440" w:firstLine="0"/>
      </w:pPr>
      <w:rPr>
        <w:rFonts w:ascii="Arial" w:eastAsia="Arial" w:hAnsi="Arial" w:cs="Arial"/>
        <w:vertAlign w:val="baseline"/>
      </w:rPr>
    </w:lvl>
    <w:lvl w:ilvl="8">
      <w:start w:val="1"/>
      <w:numFmt w:val="decimal"/>
      <w:lvlText w:val=""/>
      <w:lvlJc w:val="left"/>
      <w:pPr>
        <w:ind w:left="1584" w:firstLine="0"/>
      </w:pPr>
      <w:rPr>
        <w:rFonts w:ascii="Arial" w:eastAsia="Arial" w:hAnsi="Arial" w:cs="Arial"/>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AC"/>
    <w:rsid w:val="000F17AE"/>
    <w:rsid w:val="001052BD"/>
    <w:rsid w:val="0011283F"/>
    <w:rsid w:val="001302A6"/>
    <w:rsid w:val="00251C54"/>
    <w:rsid w:val="003511AC"/>
    <w:rsid w:val="00391D78"/>
    <w:rsid w:val="004B2A3A"/>
    <w:rsid w:val="00556E34"/>
    <w:rsid w:val="00607F5E"/>
    <w:rsid w:val="0065481F"/>
    <w:rsid w:val="006D501C"/>
    <w:rsid w:val="007401BB"/>
    <w:rsid w:val="00792582"/>
    <w:rsid w:val="0093070D"/>
    <w:rsid w:val="009B1E09"/>
    <w:rsid w:val="00D7633F"/>
    <w:rsid w:val="00E83491"/>
    <w:rsid w:val="00F53F8A"/>
    <w:rsid w:val="00FD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D514"/>
  <w15:docId w15:val="{5BE62303-07E8-4FED-9933-ADE4E1FC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240" w:after="60"/>
      <w:ind w:left="432" w:hanging="431"/>
      <w:outlineLvl w:val="0"/>
    </w:pPr>
    <w:rPr>
      <w:rFonts w:ascii="Calibri" w:eastAsia="Calibri" w:hAnsi="Calibri" w:cs="Calibri"/>
      <w:b/>
      <w:sz w:val="32"/>
    </w:rPr>
  </w:style>
  <w:style w:type="paragraph" w:styleId="Heading2">
    <w:name w:val="heading 2"/>
    <w:basedOn w:val="Normal"/>
    <w:next w:val="Normal"/>
    <w:pPr>
      <w:spacing w:before="240" w:after="240"/>
      <w:ind w:left="576" w:hanging="575"/>
      <w:outlineLvl w:val="1"/>
    </w:pPr>
    <w:rPr>
      <w:rFonts w:ascii="Arial Black" w:eastAsia="Arial Black" w:hAnsi="Arial Black" w:cs="Arial Black"/>
      <w:sz w:val="22"/>
    </w:rPr>
  </w:style>
  <w:style w:type="paragraph" w:styleId="Heading3">
    <w:name w:val="heading 3"/>
    <w:basedOn w:val="Normal"/>
    <w:next w:val="Normal"/>
    <w:pPr>
      <w:spacing w:before="120" w:after="120"/>
      <w:ind w:left="1080"/>
      <w:outlineLvl w:val="2"/>
    </w:pPr>
    <w:rPr>
      <w:rFonts w:ascii="Arial Black" w:eastAsia="Arial Black" w:hAnsi="Arial Black" w:cs="Arial Black"/>
      <w:sz w:val="20"/>
    </w:rPr>
  </w:style>
  <w:style w:type="paragraph" w:styleId="Heading4">
    <w:name w:val="heading 4"/>
    <w:basedOn w:val="Normal"/>
    <w:next w:val="Normal"/>
    <w:pPr>
      <w:spacing w:before="240" w:after="40"/>
      <w:contextualSpacing/>
      <w:outlineLvl w:val="3"/>
    </w:pPr>
    <w:rPr>
      <w:b/>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9B1E09"/>
    <w:pPr>
      <w:ind w:left="720"/>
      <w:contextualSpacing/>
    </w:pPr>
    <w:rPr>
      <w:color w:val="00000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V8.2DraftEngRefMaterialPropertyPhaseChangeDualCurve (1).docx</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V8.2DraftEngRefMaterialPropertyPhaseChangeDualCurve (1).docx</dc:title>
  <dc:creator>Jeremiah</dc:creator>
  <cp:lastModifiedBy>Jeremiah Crossett</cp:lastModifiedBy>
  <cp:revision>4</cp:revision>
  <dcterms:created xsi:type="dcterms:W3CDTF">2016-08-04T20:34:00Z</dcterms:created>
  <dcterms:modified xsi:type="dcterms:W3CDTF">2016-08-05T06:02:00Z</dcterms:modified>
</cp:coreProperties>
</file>